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95D66">
      <w:pPr>
        <w:jc w:val="center"/>
        <w:rPr>
          <w:rFonts w:hint="default" w:ascii="Times New Roman" w:hAnsi="Times New Roman" w:cs="Times New Roman"/>
          <w:b/>
          <w:bCs/>
          <w:color w:val="auto"/>
          <w:sz w:val="72"/>
          <w:szCs w:val="72"/>
          <w:highlight w:val="none"/>
        </w:rPr>
      </w:pPr>
      <w:bookmarkStart w:id="7" w:name="_GoBack"/>
      <w:bookmarkEnd w:id="7"/>
      <w:bookmarkStart w:id="0" w:name="_Toc182748531"/>
      <w:bookmarkStart w:id="1" w:name="_Toc119763436"/>
    </w:p>
    <w:p w14:paraId="52FB197A">
      <w:pPr>
        <w:jc w:val="center"/>
        <w:rPr>
          <w:rFonts w:hint="default" w:ascii="Times New Roman" w:hAnsi="Times New Roman" w:cs="Times New Roman"/>
          <w:b/>
          <w:bCs/>
          <w:color w:val="auto"/>
          <w:sz w:val="72"/>
          <w:szCs w:val="72"/>
          <w:highlight w:val="none"/>
        </w:rPr>
      </w:pPr>
    </w:p>
    <w:p w14:paraId="66CD8BE5">
      <w:pPr>
        <w:jc w:val="center"/>
        <w:rPr>
          <w:rFonts w:hint="default" w:ascii="Times New Roman" w:hAnsi="Times New Roman" w:cs="Times New Roman"/>
          <w:color w:val="auto"/>
          <w:sz w:val="36"/>
          <w:szCs w:val="36"/>
          <w:highlight w:val="none"/>
        </w:rPr>
      </w:pPr>
      <w:r>
        <w:rPr>
          <w:rFonts w:hint="default" w:ascii="Times New Roman" w:hAnsi="Times New Roman" w:cs="Times New Roman"/>
          <w:b/>
          <w:bCs/>
          <w:color w:val="auto"/>
          <w:sz w:val="72"/>
          <w:szCs w:val="72"/>
          <w:highlight w:val="none"/>
        </w:rPr>
        <w:t>建设项目环境影响报告表</w:t>
      </w:r>
    </w:p>
    <w:p w14:paraId="14D9A081">
      <w:pPr>
        <w:rPr>
          <w:rFonts w:hint="default" w:ascii="Times New Roman" w:hAnsi="Times New Roman" w:cs="Times New Roman"/>
          <w:color w:val="auto"/>
          <w:sz w:val="36"/>
          <w:szCs w:val="36"/>
          <w:highlight w:val="none"/>
        </w:rPr>
      </w:pPr>
    </w:p>
    <w:p w14:paraId="5B0AAEA2">
      <w:pPr>
        <w:rPr>
          <w:rFonts w:hint="default" w:ascii="Times New Roman" w:hAnsi="Times New Roman" w:cs="Times New Roman"/>
          <w:color w:val="auto"/>
          <w:sz w:val="36"/>
          <w:szCs w:val="36"/>
          <w:highlight w:val="none"/>
        </w:rPr>
      </w:pPr>
    </w:p>
    <w:p w14:paraId="057D0F64">
      <w:pPr>
        <w:rPr>
          <w:rFonts w:hint="default" w:ascii="Times New Roman" w:hAnsi="Times New Roman" w:cs="Times New Roman"/>
          <w:color w:val="auto"/>
          <w:sz w:val="36"/>
          <w:szCs w:val="36"/>
          <w:highlight w:val="none"/>
        </w:rPr>
      </w:pPr>
    </w:p>
    <w:p w14:paraId="76D9B374">
      <w:pPr>
        <w:rPr>
          <w:rFonts w:hint="default" w:ascii="Times New Roman" w:hAnsi="Times New Roman" w:cs="Times New Roman"/>
          <w:color w:val="auto"/>
          <w:sz w:val="36"/>
          <w:szCs w:val="36"/>
          <w:highlight w:val="none"/>
        </w:rPr>
      </w:pPr>
    </w:p>
    <w:p w14:paraId="73923C82">
      <w:pPr>
        <w:rPr>
          <w:rFonts w:hint="default" w:ascii="Times New Roman" w:hAnsi="Times New Roman" w:cs="Times New Roman"/>
          <w:color w:val="auto"/>
          <w:sz w:val="36"/>
          <w:szCs w:val="36"/>
          <w:highlight w:val="none"/>
        </w:rPr>
      </w:pPr>
    </w:p>
    <w:p w14:paraId="63A79F44">
      <w:pPr>
        <w:rPr>
          <w:rFonts w:hint="default" w:ascii="Times New Roman" w:hAnsi="Times New Roman" w:cs="Times New Roman"/>
          <w:color w:val="auto"/>
          <w:sz w:val="36"/>
          <w:szCs w:val="36"/>
          <w:highlight w:val="none"/>
        </w:rPr>
      </w:pPr>
    </w:p>
    <w:p w14:paraId="796DF14A">
      <w:pPr>
        <w:rPr>
          <w:rFonts w:hint="default" w:ascii="Times New Roman" w:hAnsi="Times New Roman" w:cs="Times New Roman"/>
          <w:color w:val="auto"/>
          <w:sz w:val="36"/>
          <w:szCs w:val="36"/>
          <w:highlight w:val="none"/>
        </w:rPr>
      </w:pPr>
    </w:p>
    <w:p w14:paraId="02504188">
      <w:pPr>
        <w:spacing w:line="360" w:lineRule="auto"/>
        <w:rPr>
          <w:rFonts w:hint="default" w:ascii="Times New Roman" w:hAnsi="Times New Roman" w:cs="Times New Roman"/>
          <w:b/>
          <w:bCs/>
          <w:color w:val="auto"/>
          <w:sz w:val="30"/>
          <w:szCs w:val="30"/>
          <w:highlight w:val="none"/>
        </w:rPr>
      </w:pPr>
    </w:p>
    <w:p w14:paraId="7897D114">
      <w:pPr>
        <w:spacing w:line="360" w:lineRule="auto"/>
        <w:rPr>
          <w:rFonts w:hint="default" w:ascii="Times New Roman" w:hAnsi="Times New Roman" w:cs="Times New Roman"/>
          <w:b/>
          <w:bCs/>
          <w:color w:val="auto"/>
          <w:sz w:val="30"/>
          <w:szCs w:val="30"/>
          <w:highlight w:val="none"/>
        </w:rPr>
      </w:pPr>
    </w:p>
    <w:p w14:paraId="2032C563">
      <w:pPr>
        <w:spacing w:line="360" w:lineRule="auto"/>
        <w:rPr>
          <w:rFonts w:hint="default" w:ascii="Times New Roman" w:hAnsi="Times New Roman" w:cs="Times New Roman"/>
          <w:b/>
          <w:bCs/>
          <w:color w:val="auto"/>
          <w:sz w:val="30"/>
          <w:szCs w:val="30"/>
          <w:highlight w:val="none"/>
        </w:rPr>
      </w:pPr>
    </w:p>
    <w:p w14:paraId="31903CEF">
      <w:pPr>
        <w:keepNext w:val="0"/>
        <w:keepLines w:val="0"/>
        <w:pageBreakBefore w:val="0"/>
        <w:widowControl w:val="0"/>
        <w:kinsoku/>
        <w:wordWrap/>
        <w:overflowPunct/>
        <w:topLinePunct w:val="0"/>
        <w:bidi w:val="0"/>
        <w:adjustRightInd w:val="0"/>
        <w:snapToGrid w:val="0"/>
        <w:spacing w:line="360" w:lineRule="auto"/>
        <w:ind w:left="0" w:leftChars="0" w:right="0" w:rightChars="0" w:firstLine="0" w:firstLineChars="0"/>
        <w:jc w:val="center"/>
        <w:textAlignment w:val="auto"/>
        <w:outlineLvl w:val="9"/>
        <w:rPr>
          <w:rFonts w:hint="eastAsia" w:ascii="Times New Roman" w:hAnsi="Times New Roman" w:eastAsia="宋体" w:cs="Times New Roman"/>
          <w:b/>
          <w:bCs/>
          <w:color w:val="auto"/>
          <w:sz w:val="30"/>
          <w:szCs w:val="30"/>
          <w:highlight w:val="none"/>
          <w:u w:val="single"/>
          <w:lang w:val="en-US" w:eastAsia="zh-CN"/>
        </w:rPr>
      </w:pPr>
      <w:r>
        <w:rPr>
          <w:rFonts w:hint="default" w:ascii="Times New Roman" w:hAnsi="Times New Roman" w:cs="Times New Roman"/>
          <w:b/>
          <w:bCs/>
          <w:color w:val="auto"/>
          <w:sz w:val="30"/>
          <w:szCs w:val="30"/>
          <w:highlight w:val="none"/>
        </w:rPr>
        <w:t>项目名称:</w:t>
      </w:r>
      <w:r>
        <w:rPr>
          <w:rFonts w:hint="eastAsia" w:cs="宋体"/>
          <w:b/>
          <w:bCs/>
          <w:color w:val="auto"/>
          <w:sz w:val="30"/>
          <w:szCs w:val="30"/>
          <w:highlight w:val="none"/>
          <w:u w:val="single"/>
          <w:lang w:eastAsia="zh-CN"/>
        </w:rPr>
        <w:t>本溪谦和中医院建设项目</w:t>
      </w:r>
    </w:p>
    <w:p w14:paraId="33FA5614">
      <w:pPr>
        <w:jc w:val="center"/>
        <w:rPr>
          <w:rFonts w:hint="eastAsia"/>
          <w:color w:val="auto"/>
          <w:szCs w:val="28"/>
          <w:highlight w:val="none"/>
        </w:rPr>
      </w:pPr>
      <w:r>
        <w:rPr>
          <w:rFonts w:hint="default" w:ascii="Times New Roman" w:hAnsi="Times New Roman" w:cs="Times New Roman"/>
          <w:b/>
          <w:bCs/>
          <w:color w:val="auto"/>
          <w:sz w:val="30"/>
          <w:szCs w:val="30"/>
          <w:highlight w:val="none"/>
        </w:rPr>
        <w:t xml:space="preserve">建设单位(盖章): </w:t>
      </w:r>
      <w:r>
        <w:rPr>
          <w:rFonts w:hint="eastAsia" w:cs="宋体"/>
          <w:b/>
          <w:bCs/>
          <w:color w:val="auto"/>
          <w:sz w:val="30"/>
          <w:szCs w:val="30"/>
          <w:highlight w:val="none"/>
          <w:u w:val="single"/>
          <w:lang w:eastAsia="zh-CN"/>
        </w:rPr>
        <w:t>本溪谦和中医院有限公司</w:t>
      </w:r>
    </w:p>
    <w:p w14:paraId="554CC52A">
      <w:pPr>
        <w:autoSpaceDE w:val="0"/>
        <w:autoSpaceDN w:val="0"/>
        <w:adjustRightInd w:val="0"/>
        <w:spacing w:after="200" w:line="276" w:lineRule="auto"/>
        <w:jc w:val="center"/>
        <w:rPr>
          <w:rFonts w:eastAsia="仿宋"/>
          <w:color w:val="auto"/>
          <w:sz w:val="32"/>
          <w:szCs w:val="32"/>
          <w:highlight w:val="none"/>
        </w:rPr>
      </w:pPr>
    </w:p>
    <w:p w14:paraId="798C2B28">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0" w:firstLineChars="0"/>
        <w:jc w:val="center"/>
        <w:textAlignment w:val="auto"/>
        <w:outlineLvl w:val="9"/>
        <w:rPr>
          <w:rFonts w:hint="default" w:ascii="Times New Roman" w:hAnsi="Times New Roman" w:eastAsia="仿宋" w:cs="Times New Roman"/>
          <w:color w:val="auto"/>
          <w:sz w:val="32"/>
          <w:szCs w:val="32"/>
          <w:highlight w:val="none"/>
        </w:rPr>
      </w:pPr>
    </w:p>
    <w:p w14:paraId="013F76D3">
      <w:pPr>
        <w:jc w:val="center"/>
        <w:rPr>
          <w:rFonts w:hint="default" w:ascii="Times New Roman" w:hAnsi="Times New Roman" w:cs="Times New Roman"/>
          <w:b/>
          <w:bCs/>
          <w:color w:val="auto"/>
          <w:sz w:val="36"/>
          <w:szCs w:val="36"/>
          <w:highlight w:val="none"/>
          <w:u w:val="single"/>
        </w:rPr>
      </w:pPr>
    </w:p>
    <w:p w14:paraId="0D53042F">
      <w:pPr>
        <w:jc w:val="center"/>
        <w:rPr>
          <w:rFonts w:hint="default" w:ascii="Times New Roman" w:hAnsi="Times New Roman" w:cs="Times New Roman"/>
          <w:b/>
          <w:bCs/>
          <w:color w:val="auto"/>
          <w:sz w:val="36"/>
          <w:szCs w:val="36"/>
          <w:highlight w:val="none"/>
          <w:u w:val="single"/>
        </w:rPr>
      </w:pPr>
    </w:p>
    <w:p w14:paraId="1E75A9BD">
      <w:pPr>
        <w:jc w:val="center"/>
        <w:rPr>
          <w:rFonts w:hint="default" w:ascii="Times New Roman" w:hAnsi="Times New Roman" w:cs="Times New Roman"/>
          <w:color w:val="auto"/>
          <w:sz w:val="24"/>
          <w:szCs w:val="24"/>
          <w:highlight w:val="none"/>
        </w:rPr>
      </w:pPr>
    </w:p>
    <w:p w14:paraId="6715BBBF">
      <w:pPr>
        <w:jc w:val="center"/>
        <w:rPr>
          <w:rFonts w:hint="default" w:ascii="Times New Roman" w:hAnsi="Times New Roman" w:cs="Times New Roman"/>
          <w:color w:val="auto"/>
          <w:sz w:val="24"/>
          <w:szCs w:val="24"/>
          <w:highlight w:val="none"/>
        </w:rPr>
      </w:pPr>
    </w:p>
    <w:p w14:paraId="639EE536">
      <w:pPr>
        <w:snapToGrid w:val="0"/>
        <w:spacing w:line="300" w:lineRule="auto"/>
        <w:jc w:val="center"/>
        <w:rPr>
          <w:rFonts w:hint="default" w:ascii="Times New Roman" w:hAnsi="Times New Roman" w:cs="Times New Roman"/>
          <w:b/>
          <w:bCs/>
          <w:color w:val="auto"/>
          <w:sz w:val="36"/>
          <w:szCs w:val="36"/>
          <w:highlight w:val="none"/>
        </w:rPr>
      </w:pPr>
    </w:p>
    <w:p w14:paraId="1884CEB4">
      <w:pPr>
        <w:snapToGrid w:val="0"/>
        <w:spacing w:line="300" w:lineRule="auto"/>
        <w:jc w:val="center"/>
        <w:rPr>
          <w:rFonts w:hint="default" w:ascii="Times New Roman" w:hAnsi="Times New Roman" w:cs="Times New Roman"/>
          <w:b/>
          <w:bCs/>
          <w:color w:val="auto"/>
          <w:sz w:val="36"/>
          <w:szCs w:val="36"/>
          <w:highlight w:val="none"/>
        </w:rPr>
      </w:pPr>
    </w:p>
    <w:p w14:paraId="7C1EAA6C">
      <w:pPr>
        <w:snapToGrid w:val="0"/>
        <w:spacing w:line="300" w:lineRule="auto"/>
        <w:jc w:val="center"/>
        <w:rPr>
          <w:rFonts w:hint="default" w:ascii="Times New Roman" w:hAnsi="Times New Roman" w:cs="Times New Roman"/>
          <w:b/>
          <w:bCs/>
          <w:color w:val="auto"/>
          <w:sz w:val="36"/>
          <w:szCs w:val="36"/>
          <w:highlight w:val="none"/>
        </w:rPr>
      </w:pPr>
    </w:p>
    <w:p w14:paraId="69FFE076">
      <w:pPr>
        <w:snapToGrid w:val="0"/>
        <w:spacing w:line="300" w:lineRule="auto"/>
        <w:jc w:val="center"/>
        <w:rPr>
          <w:rFonts w:hint="default" w:ascii="Times New Roman" w:hAnsi="Times New Roman" w:cs="Times New Roman"/>
          <w:b/>
          <w:bCs/>
          <w:color w:val="auto"/>
          <w:sz w:val="36"/>
          <w:szCs w:val="36"/>
          <w:highlight w:val="none"/>
        </w:rPr>
      </w:pPr>
      <w:r>
        <w:rPr>
          <w:rFonts w:hint="default" w:ascii="Times New Roman" w:hAnsi="Times New Roman" w:cs="Times New Roman"/>
          <w:b/>
          <w:bCs/>
          <w:color w:val="auto"/>
          <w:sz w:val="36"/>
          <w:szCs w:val="36"/>
          <w:highlight w:val="none"/>
        </w:rPr>
        <w:t>编制日期：20</w:t>
      </w:r>
      <w:r>
        <w:rPr>
          <w:rFonts w:hint="eastAsia" w:cs="Times New Roman"/>
          <w:b/>
          <w:bCs/>
          <w:color w:val="auto"/>
          <w:sz w:val="36"/>
          <w:szCs w:val="36"/>
          <w:highlight w:val="none"/>
          <w:lang w:val="en-US" w:eastAsia="zh-CN"/>
        </w:rPr>
        <w:t>21</w:t>
      </w:r>
      <w:r>
        <w:rPr>
          <w:rFonts w:hint="default" w:ascii="Times New Roman" w:hAnsi="Times New Roman" w:cs="Times New Roman"/>
          <w:b/>
          <w:bCs/>
          <w:color w:val="auto"/>
          <w:sz w:val="36"/>
          <w:szCs w:val="36"/>
          <w:highlight w:val="none"/>
        </w:rPr>
        <w:t>年</w:t>
      </w:r>
      <w:r>
        <w:rPr>
          <w:rFonts w:hint="eastAsia" w:cs="Times New Roman"/>
          <w:b/>
          <w:bCs/>
          <w:color w:val="auto"/>
          <w:sz w:val="36"/>
          <w:szCs w:val="36"/>
          <w:highlight w:val="none"/>
          <w:lang w:val="en-US" w:eastAsia="zh-CN"/>
        </w:rPr>
        <w:t>3</w:t>
      </w:r>
      <w:r>
        <w:rPr>
          <w:rFonts w:hint="default" w:ascii="Times New Roman" w:hAnsi="Times New Roman" w:cs="Times New Roman"/>
          <w:b/>
          <w:bCs/>
          <w:color w:val="auto"/>
          <w:sz w:val="36"/>
          <w:szCs w:val="36"/>
          <w:highlight w:val="none"/>
        </w:rPr>
        <w:t>月</w:t>
      </w:r>
    </w:p>
    <w:p w14:paraId="353F0EFC">
      <w:pPr>
        <w:snapToGrid w:val="0"/>
        <w:spacing w:line="300" w:lineRule="auto"/>
        <w:jc w:val="center"/>
        <w:rPr>
          <w:rFonts w:hint="default" w:ascii="Times New Roman" w:hAnsi="Times New Roman" w:cs="Times New Roman"/>
          <w:b/>
          <w:bCs/>
          <w:color w:val="auto"/>
          <w:sz w:val="36"/>
          <w:szCs w:val="36"/>
          <w:highlight w:val="none"/>
        </w:rPr>
      </w:pPr>
      <w:r>
        <w:rPr>
          <w:rFonts w:hint="default" w:ascii="Times New Roman" w:hAnsi="Times New Roman" w:cs="Times New Roman"/>
          <w:b/>
          <w:bCs/>
          <w:color w:val="auto"/>
          <w:sz w:val="36"/>
          <w:szCs w:val="36"/>
          <w:highlight w:val="none"/>
        </w:rPr>
        <w:t>国家</w:t>
      </w:r>
      <w:r>
        <w:rPr>
          <w:rFonts w:hint="eastAsia" w:cs="Times New Roman"/>
          <w:b/>
          <w:bCs/>
          <w:color w:val="auto"/>
          <w:sz w:val="36"/>
          <w:szCs w:val="36"/>
          <w:highlight w:val="none"/>
          <w:lang w:eastAsia="zh-CN"/>
        </w:rPr>
        <w:t>生态环境部</w:t>
      </w:r>
      <w:r>
        <w:rPr>
          <w:rFonts w:hint="default" w:ascii="Times New Roman" w:hAnsi="Times New Roman" w:cs="Times New Roman"/>
          <w:b/>
          <w:bCs/>
          <w:color w:val="auto"/>
          <w:sz w:val="36"/>
          <w:szCs w:val="36"/>
          <w:highlight w:val="none"/>
        </w:rPr>
        <w:t>制</w:t>
      </w:r>
    </w:p>
    <w:p w14:paraId="3A81A80F">
      <w:pP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br w:type="page"/>
      </w:r>
    </w:p>
    <w:p w14:paraId="000D79F7">
      <w:pPr>
        <w:jc w:val="center"/>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rPr>
        <w:t>《建设项目环境影响报告表》编制说明</w:t>
      </w:r>
    </w:p>
    <w:p w14:paraId="03A163A4">
      <w:pPr>
        <w:jc w:val="center"/>
        <w:rPr>
          <w:rFonts w:hint="default" w:ascii="Times New Roman" w:hAnsi="Times New Roman" w:cs="Times New Roman"/>
          <w:b/>
          <w:bCs/>
          <w:color w:val="auto"/>
          <w:sz w:val="32"/>
          <w:szCs w:val="32"/>
          <w:highlight w:val="none"/>
        </w:rPr>
      </w:pPr>
    </w:p>
    <w:p w14:paraId="34695B46">
      <w:pPr>
        <w:spacing w:line="660" w:lineRule="exact"/>
        <w:ind w:firstLine="482"/>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《建设项目环境影响报告表》由具有从事环境影响评价工作资质的单位编制。</w:t>
      </w:r>
    </w:p>
    <w:p w14:paraId="087C8F09">
      <w:pPr>
        <w:numPr>
          <w:ilvl w:val="0"/>
          <w:numId w:val="2"/>
        </w:numPr>
        <w:spacing w:line="66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项目名称──指项目立项批复时的名称，应不超过30个字（两个英文字段作一个汉字）。</w:t>
      </w:r>
    </w:p>
    <w:p w14:paraId="65D877F7">
      <w:pPr>
        <w:numPr>
          <w:ilvl w:val="0"/>
          <w:numId w:val="2"/>
        </w:numPr>
        <w:spacing w:line="66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建设地点──指项目所在地详细地址，公路、铁路应填写起止地点。</w:t>
      </w:r>
    </w:p>
    <w:p w14:paraId="3B70AA4E">
      <w:pPr>
        <w:numPr>
          <w:ilvl w:val="0"/>
          <w:numId w:val="2"/>
        </w:numPr>
        <w:spacing w:line="66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行业类别──按国标填写。</w:t>
      </w:r>
    </w:p>
    <w:p w14:paraId="4F6CC7A4">
      <w:pPr>
        <w:numPr>
          <w:ilvl w:val="0"/>
          <w:numId w:val="2"/>
        </w:numPr>
        <w:spacing w:line="66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总投资──指项目投资总额。</w:t>
      </w:r>
    </w:p>
    <w:p w14:paraId="61A4E9E8">
      <w:pPr>
        <w:numPr>
          <w:ilvl w:val="0"/>
          <w:numId w:val="2"/>
        </w:numPr>
        <w:spacing w:line="66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主要环境保护目标──指项目区周围一定范围内集中居民住宅区、学校、医院、保护文物、风景名胜区、水源地和生态敏感点等，应尽可能给出保护目标、性质、规模和距厂界距离等。</w:t>
      </w:r>
    </w:p>
    <w:p w14:paraId="71E0CF14">
      <w:pPr>
        <w:numPr>
          <w:ilvl w:val="0"/>
          <w:numId w:val="2"/>
        </w:numPr>
        <w:spacing w:line="66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结论与建议──给出本项目清洁生产、达标排放和总量控制的分析结论，确定污染防治措施的有效性，说明本项目对环境造成的影响，给出建设项目环境可行性的明确结论。同时提出减少环境影响的其他建议。</w:t>
      </w:r>
    </w:p>
    <w:p w14:paraId="4055F31C">
      <w:pPr>
        <w:numPr>
          <w:ilvl w:val="0"/>
          <w:numId w:val="2"/>
        </w:numPr>
        <w:spacing w:line="66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预审意见──由行业主管部门填写答复意见，无主管部门项目，可不填。</w:t>
      </w:r>
    </w:p>
    <w:p w14:paraId="0749FA28">
      <w:pPr>
        <w:numPr>
          <w:ilvl w:val="0"/>
          <w:numId w:val="2"/>
        </w:numPr>
        <w:spacing w:line="660" w:lineRule="exact"/>
        <w:rPr>
          <w:rFonts w:hint="default" w:ascii="Times New Roman" w:hAnsi="Times New Roman" w:cs="Times New Roman"/>
          <w:color w:val="auto"/>
          <w:spacing w:val="20"/>
          <w:w w:val="120"/>
          <w:sz w:val="22"/>
          <w:szCs w:val="22"/>
          <w:highlight w:val="none"/>
        </w:rPr>
      </w:pPr>
      <w:r>
        <w:rPr>
          <w:rFonts w:hint="default" w:ascii="Times New Roman" w:hAnsi="Times New Roman" w:cs="Times New Roman"/>
          <w:color w:val="auto"/>
          <w:sz w:val="24"/>
          <w:szCs w:val="24"/>
          <w:highlight w:val="none"/>
        </w:rPr>
        <w:t>审批意见──由负责审批该项目的环境保护行政主管部门批复。</w:t>
      </w:r>
    </w:p>
    <w:p w14:paraId="788AFE7A">
      <w:pPr>
        <w:rPr>
          <w:rFonts w:hint="default" w:ascii="Times New Roman" w:hAnsi="Times New Roman" w:cs="Times New Roman"/>
          <w:color w:val="auto"/>
          <w:sz w:val="24"/>
          <w:szCs w:val="24"/>
          <w:highlight w:val="none"/>
        </w:rPr>
        <w:sectPr>
          <w:footerReference r:id="rId3" w:type="default"/>
          <w:pgSz w:w="11907" w:h="16840"/>
          <w:pgMar w:top="1361" w:right="1361" w:bottom="1134" w:left="1361" w:header="1134" w:footer="794" w:gutter="0"/>
          <w:cols w:space="720" w:num="1"/>
          <w:docGrid w:linePitch="435" w:charSpace="0"/>
        </w:sectPr>
      </w:pPr>
    </w:p>
    <w:p w14:paraId="536A86D0">
      <w:pPr>
        <w:pStyle w:val="3"/>
        <w:keepNext/>
        <w:keepLines/>
        <w:pageBreakBefore w:val="0"/>
        <w:widowControl w:val="0"/>
        <w:numPr>
          <w:ilvl w:val="0"/>
          <w:numId w:val="0"/>
        </w:numPr>
        <w:kinsoku/>
        <w:wordWrap/>
        <w:overflowPunct/>
        <w:topLinePunct w:val="0"/>
        <w:autoSpaceDE/>
        <w:autoSpaceDN/>
        <w:bidi w:val="0"/>
        <w:adjustRightInd w:val="0"/>
        <w:snapToGrid w:val="0"/>
        <w:spacing w:before="0" w:after="0" w:line="360" w:lineRule="auto"/>
        <w:textAlignment w:val="auto"/>
        <w:outlineLvl w:val="0"/>
        <w:rPr>
          <w:rFonts w:hint="default" w:ascii="Times New Roman" w:hAnsi="Times New Roman" w:eastAsia="黑体" w:cs="Times New Roman"/>
          <w:b w:val="0"/>
          <w:bCs w:val="0"/>
          <w:color w:val="auto"/>
          <w:sz w:val="30"/>
          <w:szCs w:val="30"/>
          <w:highlight w:val="none"/>
        </w:rPr>
      </w:pPr>
      <w:r>
        <w:rPr>
          <w:rFonts w:hint="default" w:ascii="Times New Roman" w:hAnsi="Times New Roman" w:eastAsia="黑体" w:cs="Times New Roman"/>
          <w:b w:val="0"/>
          <w:bCs w:val="0"/>
          <w:color w:val="auto"/>
          <w:sz w:val="30"/>
          <w:szCs w:val="30"/>
          <w:highlight w:val="none"/>
        </w:rPr>
        <w:t>建设项目基本情况</w:t>
      </w:r>
      <w:bookmarkEnd w:id="0"/>
      <w:bookmarkEnd w:id="1"/>
    </w:p>
    <w:tbl>
      <w:tblPr>
        <w:tblStyle w:val="24"/>
        <w:tblW w:w="9487"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28"/>
        <w:gridCol w:w="1349"/>
        <w:gridCol w:w="490"/>
        <w:gridCol w:w="1421"/>
        <w:gridCol w:w="159"/>
        <w:gridCol w:w="1336"/>
        <w:gridCol w:w="178"/>
        <w:gridCol w:w="1491"/>
        <w:gridCol w:w="108"/>
        <w:gridCol w:w="1127"/>
      </w:tblGrid>
      <w:tr w14:paraId="7D70F0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828" w:type="dxa"/>
            <w:tcBorders>
              <w:top w:val="nil"/>
              <w:left w:val="nil"/>
              <w:bottom w:val="single" w:color="auto" w:sz="4" w:space="0"/>
              <w:right w:val="single" w:color="auto" w:sz="4" w:space="0"/>
            </w:tcBorders>
            <w:vAlign w:val="center"/>
          </w:tcPr>
          <w:p w14:paraId="6D37893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-72390</wp:posOffset>
                      </wp:positionH>
                      <wp:positionV relativeFrom="paragraph">
                        <wp:posOffset>2540</wp:posOffset>
                      </wp:positionV>
                      <wp:extent cx="6037580" cy="8482330"/>
                      <wp:effectExtent l="5080" t="5080" r="15240" b="8890"/>
                      <wp:wrapNone/>
                      <wp:docPr id="5" name="矩形 5"/>
                      <wp:cNvGraphicFramePr/>
                      <a:graphic xmlns:a="http://schemas.openxmlformats.org/drawingml/2006/main">
                        <a:graphicData uri="http://schemas.microsoft.com/office/word/2010/wordprocessingShape">
                          <wps:wsp>
                            <wps:cNvSpPr/>
                            <wps:spPr>
                              <a:xfrm>
                                <a:off x="0" y="0"/>
                                <a:ext cx="6037580" cy="8482330"/>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5.7pt;margin-top:0.2pt;height:667.9pt;width:475.4pt;z-index:251684864;mso-width-relative:page;mso-height-relative:page;" filled="f" stroked="t" coordsize="21600,21600" o:gfxdata="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gZu6CdgAAAAJAQAADwAAAAAAAAABACAAAAAiAAAAZHJzL2Rvd25yZXYueG1s&#10;UEsBAhQAFAAAAAgAh07iQOXu+174AQAA9gMAAA4AAAAAAAAAAQAgAAAAJwEAAGRycy9lMm9Eb2Mu&#10;eG1sUEsFBgAAAAAGAAYAWQEAAJEFAAAAAA==&#10;">
                      <v:fill on="f" focussize="0,0"/>
                      <v:stroke color="#000000" joinstyle="miter"/>
                      <v:imagedata o:title=""/>
                      <o:lock v:ext="edit" aspectratio="f"/>
                    </v:rect>
                  </w:pict>
                </mc:Fallback>
              </mc:AlternateContent>
            </w:r>
            <w:r>
              <w:rPr>
                <w:rFonts w:hint="default" w:ascii="Times New Roman" w:hAnsi="Times New Roman" w:cs="Times New Roman"/>
                <w:color w:val="auto"/>
                <w:sz w:val="24"/>
                <w:szCs w:val="24"/>
                <w:highlight w:val="none"/>
              </w:rPr>
              <w:t>项目名称</w:t>
            </w:r>
          </w:p>
        </w:tc>
        <w:tc>
          <w:tcPr>
            <w:tcW w:w="7659" w:type="dxa"/>
            <w:gridSpan w:val="9"/>
            <w:tcBorders>
              <w:top w:val="nil"/>
              <w:left w:val="single" w:color="auto" w:sz="4" w:space="0"/>
              <w:bottom w:val="single" w:color="auto" w:sz="4" w:space="0"/>
              <w:right w:val="nil"/>
            </w:tcBorders>
            <w:vAlign w:val="center"/>
          </w:tcPr>
          <w:p w14:paraId="1876DE8C">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eastAsia" w:ascii="宋体" w:hAnsi="宋体" w:cs="宋体"/>
                <w:color w:val="auto"/>
                <w:sz w:val="24"/>
                <w:szCs w:val="24"/>
                <w:highlight w:val="none"/>
                <w:lang w:eastAsia="zh-CN"/>
              </w:rPr>
              <w:t>本溪谦和中医院建设项目</w:t>
            </w:r>
          </w:p>
        </w:tc>
      </w:tr>
      <w:tr w14:paraId="73C281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828" w:type="dxa"/>
            <w:tcBorders>
              <w:top w:val="single" w:color="auto" w:sz="4" w:space="0"/>
              <w:left w:val="nil"/>
              <w:bottom w:val="single" w:color="auto" w:sz="4" w:space="0"/>
              <w:right w:val="single" w:color="auto" w:sz="4" w:space="0"/>
            </w:tcBorders>
            <w:vAlign w:val="center"/>
          </w:tcPr>
          <w:p w14:paraId="4DDDB4F9">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建设单位</w:t>
            </w:r>
          </w:p>
        </w:tc>
        <w:tc>
          <w:tcPr>
            <w:tcW w:w="7659" w:type="dxa"/>
            <w:gridSpan w:val="9"/>
            <w:tcBorders>
              <w:top w:val="single" w:color="auto" w:sz="4" w:space="0"/>
              <w:left w:val="single" w:color="auto" w:sz="4" w:space="0"/>
              <w:bottom w:val="single" w:color="auto" w:sz="4" w:space="0"/>
              <w:right w:val="nil"/>
            </w:tcBorders>
            <w:vAlign w:val="center"/>
          </w:tcPr>
          <w:p w14:paraId="166FCEE1">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eastAsia" w:ascii="宋体" w:hAnsi="宋体" w:cs="宋体"/>
                <w:color w:val="auto"/>
                <w:sz w:val="24"/>
                <w:szCs w:val="24"/>
                <w:highlight w:val="none"/>
                <w:lang w:eastAsia="zh-CN"/>
              </w:rPr>
              <w:t>本溪谦和中医院有限公司</w:t>
            </w:r>
          </w:p>
        </w:tc>
      </w:tr>
      <w:tr w14:paraId="031F62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828" w:type="dxa"/>
            <w:tcBorders>
              <w:top w:val="single" w:color="auto" w:sz="4" w:space="0"/>
              <w:left w:val="nil"/>
              <w:bottom w:val="single" w:color="auto" w:sz="4" w:space="0"/>
              <w:right w:val="single" w:color="auto" w:sz="4" w:space="0"/>
            </w:tcBorders>
            <w:vAlign w:val="center"/>
          </w:tcPr>
          <w:p w14:paraId="00F9B010">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法人代表</w:t>
            </w:r>
          </w:p>
        </w:tc>
        <w:tc>
          <w:tcPr>
            <w:tcW w:w="3260" w:type="dxa"/>
            <w:gridSpan w:val="3"/>
            <w:tcBorders>
              <w:top w:val="single" w:color="auto" w:sz="4" w:space="0"/>
              <w:left w:val="single" w:color="auto" w:sz="4" w:space="0"/>
              <w:bottom w:val="single" w:color="auto" w:sz="4" w:space="0"/>
              <w:right w:val="single" w:color="auto" w:sz="4" w:space="0"/>
            </w:tcBorders>
            <w:vAlign w:val="center"/>
          </w:tcPr>
          <w:p w14:paraId="380CEA5A">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崔玉晶</w:t>
            </w:r>
          </w:p>
        </w:tc>
        <w:tc>
          <w:tcPr>
            <w:tcW w:w="1495" w:type="dxa"/>
            <w:gridSpan w:val="2"/>
            <w:tcBorders>
              <w:top w:val="single" w:color="auto" w:sz="4" w:space="0"/>
              <w:left w:val="single" w:color="auto" w:sz="4" w:space="0"/>
              <w:bottom w:val="single" w:color="auto" w:sz="4" w:space="0"/>
              <w:right w:val="single" w:color="auto" w:sz="4" w:space="0"/>
            </w:tcBorders>
            <w:vAlign w:val="center"/>
          </w:tcPr>
          <w:p w14:paraId="7510B50F">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联系人</w:t>
            </w:r>
          </w:p>
        </w:tc>
        <w:tc>
          <w:tcPr>
            <w:tcW w:w="2904" w:type="dxa"/>
            <w:gridSpan w:val="4"/>
            <w:tcBorders>
              <w:top w:val="single" w:color="auto" w:sz="4" w:space="0"/>
              <w:left w:val="single" w:color="auto" w:sz="4" w:space="0"/>
              <w:bottom w:val="single" w:color="auto" w:sz="4" w:space="0"/>
              <w:right w:val="nil"/>
            </w:tcBorders>
            <w:vAlign w:val="center"/>
          </w:tcPr>
          <w:p w14:paraId="41100417">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衣晟</w:t>
            </w:r>
          </w:p>
        </w:tc>
      </w:tr>
      <w:tr w14:paraId="40BECB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828" w:type="dxa"/>
            <w:tcBorders>
              <w:top w:val="single" w:color="auto" w:sz="4" w:space="0"/>
              <w:left w:val="nil"/>
              <w:bottom w:val="single" w:color="auto" w:sz="4" w:space="0"/>
              <w:right w:val="single" w:color="auto" w:sz="4" w:space="0"/>
            </w:tcBorders>
            <w:vAlign w:val="center"/>
          </w:tcPr>
          <w:p w14:paraId="440FEE17">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通讯地址</w:t>
            </w:r>
          </w:p>
        </w:tc>
        <w:tc>
          <w:tcPr>
            <w:tcW w:w="7659" w:type="dxa"/>
            <w:gridSpan w:val="9"/>
            <w:tcBorders>
              <w:top w:val="single" w:color="auto" w:sz="4" w:space="0"/>
              <w:left w:val="single" w:color="auto" w:sz="4" w:space="0"/>
              <w:bottom w:val="single" w:color="auto" w:sz="4" w:space="0"/>
              <w:right w:val="nil"/>
            </w:tcBorders>
            <w:vAlign w:val="center"/>
          </w:tcPr>
          <w:p w14:paraId="14C197BD">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eastAsia="zh-CN"/>
              </w:rPr>
              <w:t>本溪市溪湖区溪湖东路1栋1号</w:t>
            </w:r>
          </w:p>
        </w:tc>
      </w:tr>
      <w:tr w14:paraId="190980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828" w:type="dxa"/>
            <w:tcBorders>
              <w:top w:val="single" w:color="auto" w:sz="4" w:space="0"/>
              <w:left w:val="nil"/>
              <w:bottom w:val="single" w:color="auto" w:sz="4" w:space="0"/>
              <w:right w:val="single" w:color="auto" w:sz="4" w:space="0"/>
            </w:tcBorders>
            <w:vAlign w:val="center"/>
          </w:tcPr>
          <w:p w14:paraId="3EC875F7">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联系电话</w:t>
            </w:r>
          </w:p>
        </w:tc>
        <w:tc>
          <w:tcPr>
            <w:tcW w:w="1839" w:type="dxa"/>
            <w:gridSpan w:val="2"/>
            <w:tcBorders>
              <w:top w:val="single" w:color="auto" w:sz="4" w:space="0"/>
              <w:left w:val="single" w:color="auto" w:sz="4" w:space="0"/>
              <w:bottom w:val="single" w:color="auto" w:sz="4" w:space="0"/>
              <w:right w:val="single" w:color="auto" w:sz="4" w:space="0"/>
            </w:tcBorders>
            <w:vAlign w:val="center"/>
          </w:tcPr>
          <w:p w14:paraId="42966B70">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lang w:val="en-US"/>
              </w:rPr>
            </w:pPr>
            <w:r>
              <w:rPr>
                <w:rFonts w:hint="eastAsia" w:cs="Times New Roman"/>
                <w:color w:val="auto"/>
                <w:sz w:val="24"/>
                <w:szCs w:val="24"/>
                <w:highlight w:val="none"/>
                <w:lang w:val="en-US" w:eastAsia="zh-CN"/>
              </w:rPr>
              <w:t>13358867977</w:t>
            </w:r>
          </w:p>
        </w:tc>
        <w:tc>
          <w:tcPr>
            <w:tcW w:w="1421" w:type="dxa"/>
            <w:tcBorders>
              <w:top w:val="single" w:color="auto" w:sz="4" w:space="0"/>
              <w:left w:val="single" w:color="auto" w:sz="4" w:space="0"/>
              <w:bottom w:val="single" w:color="auto" w:sz="4" w:space="0"/>
              <w:right w:val="single" w:color="auto" w:sz="4" w:space="0"/>
            </w:tcBorders>
            <w:vAlign w:val="center"/>
          </w:tcPr>
          <w:p w14:paraId="7D8A0FA1">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传真</w:t>
            </w:r>
          </w:p>
        </w:tc>
        <w:tc>
          <w:tcPr>
            <w:tcW w:w="1495" w:type="dxa"/>
            <w:gridSpan w:val="2"/>
            <w:tcBorders>
              <w:top w:val="single" w:color="auto" w:sz="4" w:space="0"/>
              <w:left w:val="single" w:color="auto" w:sz="4" w:space="0"/>
              <w:bottom w:val="single" w:color="auto" w:sz="4" w:space="0"/>
              <w:right w:val="single" w:color="auto" w:sz="4" w:space="0"/>
            </w:tcBorders>
            <w:vAlign w:val="center"/>
          </w:tcPr>
          <w:p w14:paraId="349CEB4D">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p>
        </w:tc>
        <w:tc>
          <w:tcPr>
            <w:tcW w:w="1669" w:type="dxa"/>
            <w:gridSpan w:val="2"/>
            <w:tcBorders>
              <w:top w:val="single" w:color="auto" w:sz="4" w:space="0"/>
              <w:left w:val="single" w:color="auto" w:sz="4" w:space="0"/>
              <w:bottom w:val="single" w:color="auto" w:sz="4" w:space="0"/>
              <w:right w:val="single" w:color="auto" w:sz="4" w:space="0"/>
            </w:tcBorders>
            <w:vAlign w:val="center"/>
          </w:tcPr>
          <w:p w14:paraId="799B4BE4">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w:t>
            </w:r>
          </w:p>
        </w:tc>
        <w:tc>
          <w:tcPr>
            <w:tcW w:w="1235" w:type="dxa"/>
            <w:gridSpan w:val="2"/>
            <w:tcBorders>
              <w:top w:val="single" w:color="auto" w:sz="4" w:space="0"/>
              <w:left w:val="single" w:color="auto" w:sz="4" w:space="0"/>
              <w:bottom w:val="single" w:color="auto" w:sz="4" w:space="0"/>
              <w:right w:val="nil"/>
            </w:tcBorders>
            <w:vAlign w:val="center"/>
          </w:tcPr>
          <w:p w14:paraId="2D6E711D">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11</w:t>
            </w:r>
            <w:r>
              <w:rPr>
                <w:rFonts w:hint="default" w:ascii="Times New Roman" w:hAnsi="Times New Roman" w:cs="Times New Roman"/>
                <w:color w:val="auto"/>
                <w:sz w:val="24"/>
                <w:szCs w:val="24"/>
                <w:highlight w:val="none"/>
                <w:lang w:val="en-US" w:eastAsia="zh-CN"/>
              </w:rPr>
              <w:t>7</w:t>
            </w:r>
            <w:r>
              <w:rPr>
                <w:rFonts w:hint="default" w:ascii="Times New Roman" w:hAnsi="Times New Roman" w:cs="Times New Roman"/>
                <w:color w:val="auto"/>
                <w:sz w:val="24"/>
                <w:szCs w:val="24"/>
                <w:highlight w:val="none"/>
              </w:rPr>
              <w:t>000</w:t>
            </w:r>
          </w:p>
        </w:tc>
      </w:tr>
      <w:tr w14:paraId="0B869C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828" w:type="dxa"/>
            <w:tcBorders>
              <w:top w:val="single" w:color="auto" w:sz="4" w:space="0"/>
              <w:left w:val="nil"/>
              <w:bottom w:val="single" w:color="auto" w:sz="4" w:space="0"/>
              <w:right w:val="single" w:color="auto" w:sz="4" w:space="0"/>
            </w:tcBorders>
            <w:vAlign w:val="center"/>
          </w:tcPr>
          <w:p w14:paraId="5C10E0C6">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建设地点</w:t>
            </w:r>
          </w:p>
        </w:tc>
        <w:tc>
          <w:tcPr>
            <w:tcW w:w="7659" w:type="dxa"/>
            <w:gridSpan w:val="9"/>
            <w:tcBorders>
              <w:top w:val="single" w:color="auto" w:sz="4" w:space="0"/>
              <w:left w:val="single" w:color="auto" w:sz="4" w:space="0"/>
              <w:bottom w:val="single" w:color="auto" w:sz="4" w:space="0"/>
              <w:right w:val="nil"/>
            </w:tcBorders>
            <w:vAlign w:val="center"/>
          </w:tcPr>
          <w:p w14:paraId="6C2C4A2E">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本溪市溪湖区溪湖东路1栋1号</w:t>
            </w:r>
          </w:p>
        </w:tc>
      </w:tr>
      <w:tr w14:paraId="560A4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828" w:type="dxa"/>
            <w:tcBorders>
              <w:top w:val="single" w:color="auto" w:sz="4" w:space="0"/>
              <w:left w:val="nil"/>
              <w:bottom w:val="single" w:color="auto" w:sz="4" w:space="0"/>
              <w:right w:val="single" w:color="auto" w:sz="4" w:space="0"/>
            </w:tcBorders>
            <w:vAlign w:val="center"/>
          </w:tcPr>
          <w:p w14:paraId="7FD8EDDF">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pacing w:val="-14"/>
                <w:sz w:val="24"/>
                <w:szCs w:val="24"/>
                <w:highlight w:val="none"/>
              </w:rPr>
            </w:pPr>
            <w:r>
              <w:rPr>
                <w:rFonts w:hint="default" w:ascii="Times New Roman" w:hAnsi="Times New Roman" w:cs="Times New Roman"/>
                <w:color w:val="auto"/>
                <w:spacing w:val="-14"/>
                <w:sz w:val="24"/>
                <w:szCs w:val="24"/>
                <w:highlight w:val="none"/>
              </w:rPr>
              <w:t>立项审批部门</w:t>
            </w:r>
          </w:p>
        </w:tc>
        <w:tc>
          <w:tcPr>
            <w:tcW w:w="3419" w:type="dxa"/>
            <w:gridSpan w:val="4"/>
            <w:tcBorders>
              <w:top w:val="single" w:color="auto" w:sz="4" w:space="0"/>
              <w:left w:val="single" w:color="auto" w:sz="4" w:space="0"/>
              <w:bottom w:val="single" w:color="auto" w:sz="4" w:space="0"/>
              <w:right w:val="single" w:color="auto" w:sz="4" w:space="0"/>
            </w:tcBorders>
            <w:vAlign w:val="center"/>
          </w:tcPr>
          <w:p w14:paraId="7C43CD8B">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5FE1F909">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批准文号</w:t>
            </w:r>
          </w:p>
        </w:tc>
        <w:tc>
          <w:tcPr>
            <w:tcW w:w="2726" w:type="dxa"/>
            <w:gridSpan w:val="3"/>
            <w:tcBorders>
              <w:top w:val="single" w:color="auto" w:sz="4" w:space="0"/>
              <w:left w:val="single" w:color="auto" w:sz="4" w:space="0"/>
              <w:bottom w:val="single" w:color="auto" w:sz="4" w:space="0"/>
              <w:right w:val="nil"/>
            </w:tcBorders>
            <w:vAlign w:val="center"/>
          </w:tcPr>
          <w:p w14:paraId="1E61C655">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p>
        </w:tc>
      </w:tr>
      <w:tr w14:paraId="69EC21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828" w:type="dxa"/>
            <w:tcBorders>
              <w:top w:val="single" w:color="auto" w:sz="4" w:space="0"/>
              <w:left w:val="nil"/>
              <w:bottom w:val="single" w:color="auto" w:sz="4" w:space="0"/>
              <w:right w:val="single" w:color="auto" w:sz="4" w:space="0"/>
            </w:tcBorders>
            <w:vAlign w:val="center"/>
          </w:tcPr>
          <w:p w14:paraId="62A86E57">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建设性质</w:t>
            </w:r>
          </w:p>
        </w:tc>
        <w:tc>
          <w:tcPr>
            <w:tcW w:w="3419" w:type="dxa"/>
            <w:gridSpan w:val="4"/>
            <w:tcBorders>
              <w:top w:val="single" w:color="auto" w:sz="4" w:space="0"/>
              <w:left w:val="single" w:color="auto" w:sz="4" w:space="0"/>
              <w:bottom w:val="single" w:color="auto" w:sz="4" w:space="0"/>
              <w:right w:val="single" w:color="auto" w:sz="4" w:space="0"/>
            </w:tcBorders>
            <w:vAlign w:val="center"/>
          </w:tcPr>
          <w:p w14:paraId="6CC04933">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√新建</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改扩建</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技改</w:t>
            </w: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731B98E1">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行业类别及代码</w:t>
            </w:r>
          </w:p>
        </w:tc>
        <w:tc>
          <w:tcPr>
            <w:tcW w:w="2726" w:type="dxa"/>
            <w:gridSpan w:val="3"/>
            <w:tcBorders>
              <w:top w:val="single" w:color="auto" w:sz="4" w:space="0"/>
              <w:left w:val="single" w:color="auto" w:sz="4" w:space="0"/>
              <w:bottom w:val="single" w:color="auto" w:sz="4" w:space="0"/>
              <w:right w:val="nil"/>
            </w:tcBorders>
            <w:vAlign w:val="center"/>
          </w:tcPr>
          <w:p w14:paraId="60E71D87">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eastAsia" w:ascii="Times New Roman" w:hAnsi="Times New Roman" w:eastAsia="宋体" w:cs="Times New Roman"/>
                <w:color w:val="auto"/>
                <w:sz w:val="24"/>
                <w:szCs w:val="24"/>
                <w:highlight w:val="none"/>
                <w:lang w:val="en-US" w:eastAsia="zh-CN"/>
              </w:rPr>
            </w:pPr>
            <w:r>
              <w:rPr>
                <w:rFonts w:ascii="华文宋体" w:hAnsi="华文宋体" w:eastAsia="华文宋体" w:cs="宋体"/>
                <w:color w:val="auto"/>
                <w:sz w:val="18"/>
                <w:szCs w:val="18"/>
                <w:highlight w:val="none"/>
              </w:rPr>
              <w:t xml:space="preserve"> </w:t>
            </w:r>
            <w:r>
              <w:rPr>
                <w:color w:val="auto"/>
                <w:sz w:val="24"/>
                <w:szCs w:val="24"/>
                <w:highlight w:val="none"/>
              </w:rPr>
              <w:t>Q8</w:t>
            </w:r>
            <w:r>
              <w:rPr>
                <w:rFonts w:hint="eastAsia"/>
                <w:color w:val="auto"/>
                <w:sz w:val="24"/>
                <w:szCs w:val="24"/>
                <w:highlight w:val="none"/>
                <w:lang w:val="en-US" w:eastAsia="zh-CN"/>
              </w:rPr>
              <w:t>412中医医院</w:t>
            </w:r>
          </w:p>
        </w:tc>
      </w:tr>
      <w:tr w14:paraId="2BC046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828" w:type="dxa"/>
            <w:tcBorders>
              <w:top w:val="single" w:color="auto" w:sz="4" w:space="0"/>
              <w:left w:val="nil"/>
              <w:bottom w:val="single" w:color="auto" w:sz="4" w:space="0"/>
              <w:right w:val="single" w:color="auto" w:sz="4" w:space="0"/>
            </w:tcBorders>
            <w:vAlign w:val="center"/>
          </w:tcPr>
          <w:p w14:paraId="262D3CF9">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占地面积</w:t>
            </w:r>
          </w:p>
        </w:tc>
        <w:tc>
          <w:tcPr>
            <w:tcW w:w="3419" w:type="dxa"/>
            <w:gridSpan w:val="4"/>
            <w:tcBorders>
              <w:top w:val="single" w:color="auto" w:sz="4" w:space="0"/>
              <w:left w:val="single" w:color="auto" w:sz="4" w:space="0"/>
              <w:bottom w:val="single" w:color="auto" w:sz="4" w:space="0"/>
              <w:right w:val="single" w:color="auto" w:sz="4" w:space="0"/>
            </w:tcBorders>
            <w:vAlign w:val="center"/>
          </w:tcPr>
          <w:p w14:paraId="578B7C80">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900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2</w:t>
            </w: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721545F8">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绿地率</w:t>
            </w:r>
          </w:p>
        </w:tc>
        <w:tc>
          <w:tcPr>
            <w:tcW w:w="2726" w:type="dxa"/>
            <w:gridSpan w:val="3"/>
            <w:tcBorders>
              <w:top w:val="single" w:color="auto" w:sz="4" w:space="0"/>
              <w:left w:val="single" w:color="auto" w:sz="4" w:space="0"/>
              <w:bottom w:val="single" w:color="auto" w:sz="4" w:space="0"/>
              <w:right w:val="nil"/>
            </w:tcBorders>
            <w:vAlign w:val="center"/>
          </w:tcPr>
          <w:p w14:paraId="31218B2B">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p>
        </w:tc>
      </w:tr>
      <w:tr w14:paraId="58D991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828" w:type="dxa"/>
            <w:tcBorders>
              <w:top w:val="single" w:color="auto" w:sz="4" w:space="0"/>
              <w:left w:val="nil"/>
              <w:bottom w:val="single" w:color="auto" w:sz="4" w:space="0"/>
              <w:right w:val="single" w:color="auto" w:sz="4" w:space="0"/>
            </w:tcBorders>
            <w:vAlign w:val="center"/>
          </w:tcPr>
          <w:p w14:paraId="7D0467C4">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总投资(万元)</w:t>
            </w:r>
          </w:p>
        </w:tc>
        <w:tc>
          <w:tcPr>
            <w:tcW w:w="1349" w:type="dxa"/>
            <w:tcBorders>
              <w:top w:val="single" w:color="auto" w:sz="4" w:space="0"/>
              <w:left w:val="single" w:color="auto" w:sz="4" w:space="0"/>
              <w:bottom w:val="single" w:color="auto" w:sz="4" w:space="0"/>
              <w:right w:val="single" w:color="auto" w:sz="4" w:space="0"/>
            </w:tcBorders>
            <w:vAlign w:val="center"/>
          </w:tcPr>
          <w:p w14:paraId="55875DB9">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2000</w:t>
            </w:r>
          </w:p>
        </w:tc>
        <w:tc>
          <w:tcPr>
            <w:tcW w:w="2070" w:type="dxa"/>
            <w:gridSpan w:val="3"/>
            <w:tcBorders>
              <w:top w:val="single" w:color="auto" w:sz="4" w:space="0"/>
              <w:left w:val="single" w:color="auto" w:sz="4" w:space="0"/>
              <w:bottom w:val="single" w:color="auto" w:sz="4" w:space="0"/>
              <w:right w:val="single" w:color="auto" w:sz="4" w:space="0"/>
            </w:tcBorders>
            <w:vAlign w:val="center"/>
          </w:tcPr>
          <w:p w14:paraId="17328F9E">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其中：环保投资(万元)</w:t>
            </w:r>
          </w:p>
        </w:tc>
        <w:tc>
          <w:tcPr>
            <w:tcW w:w="1514" w:type="dxa"/>
            <w:gridSpan w:val="2"/>
            <w:tcBorders>
              <w:top w:val="single" w:color="auto" w:sz="4" w:space="0"/>
              <w:left w:val="single" w:color="auto" w:sz="4" w:space="0"/>
              <w:bottom w:val="single" w:color="auto" w:sz="4" w:space="0"/>
              <w:right w:val="single" w:color="auto" w:sz="4" w:space="0"/>
            </w:tcBorders>
            <w:vAlign w:val="center"/>
          </w:tcPr>
          <w:p w14:paraId="37CAA0E8">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11.1</w:t>
            </w:r>
          </w:p>
        </w:tc>
        <w:tc>
          <w:tcPr>
            <w:tcW w:w="1599" w:type="dxa"/>
            <w:gridSpan w:val="2"/>
            <w:tcBorders>
              <w:top w:val="single" w:color="auto" w:sz="4" w:space="0"/>
              <w:left w:val="single" w:color="auto" w:sz="4" w:space="0"/>
              <w:bottom w:val="single" w:color="auto" w:sz="4" w:space="0"/>
              <w:right w:val="single" w:color="auto" w:sz="4" w:space="0"/>
            </w:tcBorders>
            <w:vAlign w:val="center"/>
          </w:tcPr>
          <w:p w14:paraId="0A289122">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环保投资占总投资比例</w:t>
            </w:r>
          </w:p>
        </w:tc>
        <w:tc>
          <w:tcPr>
            <w:tcW w:w="1127" w:type="dxa"/>
            <w:tcBorders>
              <w:top w:val="single" w:color="auto" w:sz="4" w:space="0"/>
              <w:left w:val="single" w:color="auto" w:sz="4" w:space="0"/>
              <w:bottom w:val="single" w:color="auto" w:sz="4" w:space="0"/>
              <w:right w:val="nil"/>
            </w:tcBorders>
            <w:vAlign w:val="center"/>
          </w:tcPr>
          <w:p w14:paraId="5422D3DC">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eastAsia"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val="en-US" w:eastAsia="zh-CN"/>
              </w:rPr>
              <w:t>0.56%</w:t>
            </w:r>
          </w:p>
        </w:tc>
      </w:tr>
      <w:tr w14:paraId="3A18FA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828" w:type="dxa"/>
            <w:tcBorders>
              <w:top w:val="single" w:color="auto" w:sz="4" w:space="0"/>
              <w:left w:val="nil"/>
              <w:bottom w:val="single" w:color="auto" w:sz="4" w:space="0"/>
              <w:right w:val="single" w:color="auto" w:sz="4" w:space="0"/>
            </w:tcBorders>
            <w:vAlign w:val="center"/>
          </w:tcPr>
          <w:p w14:paraId="39B1617D">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评价经费</w:t>
            </w:r>
          </w:p>
          <w:p w14:paraId="21B36AD9">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(万元)</w:t>
            </w:r>
          </w:p>
        </w:tc>
        <w:tc>
          <w:tcPr>
            <w:tcW w:w="1349" w:type="dxa"/>
            <w:tcBorders>
              <w:top w:val="single" w:color="auto" w:sz="4" w:space="0"/>
              <w:left w:val="single" w:color="auto" w:sz="4" w:space="0"/>
              <w:bottom w:val="single" w:color="auto" w:sz="4" w:space="0"/>
              <w:right w:val="single" w:color="auto" w:sz="4" w:space="0"/>
            </w:tcBorders>
            <w:vAlign w:val="center"/>
          </w:tcPr>
          <w:p w14:paraId="5830A7A8">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p>
        </w:tc>
        <w:tc>
          <w:tcPr>
            <w:tcW w:w="3584" w:type="dxa"/>
            <w:gridSpan w:val="5"/>
            <w:tcBorders>
              <w:top w:val="single" w:color="auto" w:sz="4" w:space="0"/>
              <w:left w:val="single" w:color="auto" w:sz="4" w:space="0"/>
              <w:bottom w:val="single" w:color="auto" w:sz="4" w:space="0"/>
              <w:right w:val="single" w:color="auto" w:sz="4" w:space="0"/>
            </w:tcBorders>
            <w:vAlign w:val="center"/>
          </w:tcPr>
          <w:p w14:paraId="7504D36A">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预期投产日期</w:t>
            </w:r>
          </w:p>
        </w:tc>
        <w:tc>
          <w:tcPr>
            <w:tcW w:w="2726" w:type="dxa"/>
            <w:gridSpan w:val="3"/>
            <w:tcBorders>
              <w:top w:val="single" w:color="auto" w:sz="4" w:space="0"/>
              <w:left w:val="single" w:color="auto" w:sz="4" w:space="0"/>
              <w:bottom w:val="single" w:color="auto" w:sz="4" w:space="0"/>
              <w:right w:val="nil"/>
            </w:tcBorders>
            <w:vAlign w:val="center"/>
          </w:tcPr>
          <w:p w14:paraId="51D308BB">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20</w:t>
            </w:r>
            <w:r>
              <w:rPr>
                <w:rFonts w:hint="eastAsia" w:cs="Times New Roman"/>
                <w:color w:val="auto"/>
                <w:sz w:val="24"/>
                <w:szCs w:val="24"/>
                <w:highlight w:val="none"/>
                <w:lang w:val="en-US" w:eastAsia="zh-CN"/>
              </w:rPr>
              <w:t>21</w:t>
            </w:r>
            <w:r>
              <w:rPr>
                <w:rFonts w:hint="default" w:ascii="Times New Roman" w:hAnsi="Times New Roman" w:cs="Times New Roman"/>
                <w:color w:val="auto"/>
                <w:sz w:val="24"/>
                <w:szCs w:val="24"/>
                <w:highlight w:val="none"/>
              </w:rPr>
              <w:t>年</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月</w:t>
            </w:r>
          </w:p>
        </w:tc>
      </w:tr>
    </w:tbl>
    <w:p w14:paraId="383849C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auto"/>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工程内容及规模：</w:t>
      </w:r>
    </w:p>
    <w:p w14:paraId="1F57574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left"/>
        <w:textAlignment w:val="auto"/>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1项目背景</w:t>
      </w:r>
    </w:p>
    <w:p w14:paraId="6EC03488">
      <w:pPr>
        <w:pStyle w:val="30"/>
        <w:keepNext w:val="0"/>
        <w:keepLines w:val="0"/>
        <w:pageBreakBefore w:val="0"/>
        <w:widowControl w:val="0"/>
        <w:tabs>
          <w:tab w:val="left" w:pos="720"/>
        </w:tabs>
        <w:kinsoku/>
        <w:wordWrap/>
        <w:overflowPunct/>
        <w:topLinePunct w:val="0"/>
        <w:autoSpaceDE/>
        <w:autoSpaceDN/>
        <w:bidi w:val="0"/>
        <w:adjustRightInd w:val="0"/>
        <w:snapToGrid w:val="0"/>
        <w:spacing w:line="360" w:lineRule="auto"/>
        <w:ind w:left="0" w:leftChars="0" w:right="0" w:firstLine="480" w:firstLineChars="200"/>
        <w:textAlignment w:val="auto"/>
        <w:outlineLvl w:val="9"/>
        <w:rPr>
          <w:rFonts w:hAnsi="宋体"/>
          <w:color w:val="auto"/>
          <w:sz w:val="24"/>
          <w:szCs w:val="24"/>
          <w:highlight w:val="none"/>
        </w:rPr>
      </w:pPr>
      <w:r>
        <w:rPr>
          <w:rFonts w:hint="eastAsia" w:ascii="Times New Roman" w:eastAsia="宋体"/>
          <w:color w:val="auto"/>
          <w:sz w:val="24"/>
          <w:szCs w:val="24"/>
          <w:highlight w:val="none"/>
          <w:lang w:eastAsia="zh-CN"/>
        </w:rPr>
        <w:t>自新一轮医药卫生体制改革实施以来，国家出台多项措施，鼓励社会力量注资建设医疗服务项目。国务院于2015年颁布了第一个关于中医药健康服务发展的五年规划，鼓励社会力量举办中医类专科医院和中医门诊部、中医诊所，加快社会办中医类机构的发展，以满足社会群众对看病就医多样化的医疗服务需求。谦和中医院顺应医疗卫生体制改革的形势，拟在本溪市溪湖区溪湖东路1栋1号</w:t>
      </w:r>
      <w:r>
        <w:rPr>
          <w:rFonts w:hint="eastAsia" w:ascii="Times New Roman" w:eastAsia="宋体"/>
          <w:color w:val="auto"/>
          <w:sz w:val="24"/>
          <w:szCs w:val="24"/>
          <w:highlight w:val="none"/>
          <w:lang w:val="en-US" w:eastAsia="zh-CN"/>
        </w:rPr>
        <w:t>建设</w:t>
      </w:r>
      <w:r>
        <w:rPr>
          <w:rFonts w:hint="eastAsia" w:ascii="Times New Roman" w:eastAsia="宋体"/>
          <w:color w:val="auto"/>
          <w:sz w:val="24"/>
          <w:szCs w:val="24"/>
          <w:highlight w:val="none"/>
          <w:lang w:eastAsia="zh-CN"/>
        </w:rPr>
        <w:t>本溪谦和中医院建设项目，项目依托现</w:t>
      </w:r>
      <w:r>
        <w:rPr>
          <w:rFonts w:hint="default" w:ascii="Times New Roman" w:hAnsi="Times New Roman" w:eastAsia="宋体" w:cs="Times New Roman"/>
          <w:color w:val="auto"/>
          <w:sz w:val="24"/>
          <w:szCs w:val="24"/>
          <w:highlight w:val="none"/>
          <w:lang w:eastAsia="zh-CN"/>
        </w:rPr>
        <w:t>有</w:t>
      </w:r>
      <w:r>
        <w:rPr>
          <w:rFonts w:hint="eastAsia" w:ascii="Times New Roman" w:eastAsia="宋体" w:cs="Times New Roman"/>
          <w:color w:val="auto"/>
          <w:sz w:val="24"/>
          <w:szCs w:val="24"/>
          <w:highlight w:val="none"/>
          <w:lang w:eastAsia="zh-CN"/>
        </w:rPr>
        <w:t>本溪</w:t>
      </w:r>
      <w:r>
        <w:rPr>
          <w:rFonts w:hint="default" w:ascii="Times New Roman" w:hAnsi="Times New Roman" w:eastAsia="宋体" w:cs="Times New Roman"/>
          <w:color w:val="auto"/>
          <w:sz w:val="24"/>
          <w:szCs w:val="24"/>
          <w:highlight w:val="none"/>
          <w:lang w:eastAsia="zh-CN"/>
        </w:rPr>
        <w:t>大楼</w:t>
      </w:r>
      <w:r>
        <w:rPr>
          <w:rFonts w:hint="default" w:ascii="Times New Roman" w:hAnsi="Times New Roman" w:eastAsia="宋体" w:cs="Times New Roman"/>
          <w:color w:val="auto"/>
          <w:sz w:val="24"/>
          <w:szCs w:val="24"/>
          <w:highlight w:val="none"/>
          <w:lang w:val="en-US" w:eastAsia="zh-CN"/>
        </w:rPr>
        <w:t>3-5层进行建设，</w:t>
      </w:r>
      <w:r>
        <w:rPr>
          <w:rFonts w:hint="default" w:ascii="Times New Roman" w:hAnsi="Times New Roman" w:eastAsia="宋体" w:cs="Times New Roman"/>
          <w:color w:val="auto"/>
          <w:sz w:val="24"/>
          <w:szCs w:val="24"/>
          <w:highlight w:val="none"/>
        </w:rPr>
        <w:t>项目占地面积</w:t>
      </w:r>
      <w:r>
        <w:rPr>
          <w:rFonts w:hint="default" w:ascii="Times New Roman" w:hAnsi="Times New Roman" w:eastAsia="宋体" w:cs="Times New Roman"/>
          <w:color w:val="auto"/>
          <w:sz w:val="24"/>
          <w:szCs w:val="24"/>
          <w:highlight w:val="none"/>
          <w:lang w:val="en-US" w:eastAsia="zh-CN"/>
        </w:rPr>
        <w:t>900</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，总建筑面积</w:t>
      </w:r>
      <w:r>
        <w:rPr>
          <w:rFonts w:hint="default" w:ascii="Times New Roman" w:hAnsi="Times New Roman" w:eastAsia="宋体" w:cs="Times New Roman"/>
          <w:color w:val="auto"/>
          <w:sz w:val="24"/>
          <w:szCs w:val="24"/>
          <w:highlight w:val="none"/>
          <w:lang w:val="en-US" w:eastAsia="zh-CN"/>
        </w:rPr>
        <w:t>2700</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，总投资</w:t>
      </w:r>
      <w:r>
        <w:rPr>
          <w:rFonts w:hint="default" w:ascii="Times New Roman" w:hAnsi="Times New Roman" w:eastAsia="宋体" w:cs="Times New Roman"/>
          <w:color w:val="auto"/>
          <w:sz w:val="24"/>
          <w:szCs w:val="24"/>
          <w:highlight w:val="none"/>
          <w:lang w:val="en-US" w:eastAsia="zh-CN"/>
        </w:rPr>
        <w:t>2000</w:t>
      </w:r>
      <w:r>
        <w:rPr>
          <w:rFonts w:hint="default" w:ascii="Times New Roman" w:hAnsi="Times New Roman" w:eastAsia="宋体" w:cs="Times New Roman"/>
          <w:color w:val="auto"/>
          <w:sz w:val="24"/>
          <w:szCs w:val="24"/>
          <w:highlight w:val="none"/>
        </w:rPr>
        <w:t>万元，</w:t>
      </w:r>
      <w:r>
        <w:rPr>
          <w:rFonts w:hint="default" w:ascii="Times New Roman" w:hAnsi="Times New Roman" w:eastAsia="宋体" w:cs="Times New Roman"/>
          <w:color w:val="auto"/>
          <w:sz w:val="24"/>
          <w:szCs w:val="24"/>
          <w:highlight w:val="none"/>
          <w:lang w:eastAsia="zh-CN"/>
        </w:rPr>
        <w:t>医护人员</w:t>
      </w:r>
      <w:r>
        <w:rPr>
          <w:rFonts w:hint="default" w:ascii="Times New Roman" w:hAnsi="Times New Roman" w:eastAsia="宋体" w:cs="Times New Roman"/>
          <w:color w:val="auto"/>
          <w:sz w:val="24"/>
          <w:szCs w:val="24"/>
          <w:highlight w:val="none"/>
          <w:lang w:val="en-US" w:eastAsia="zh-CN"/>
        </w:rPr>
        <w:t>85</w:t>
      </w:r>
      <w:r>
        <w:rPr>
          <w:rFonts w:hint="default" w:ascii="Times New Roman" w:hAnsi="Times New Roman" w:eastAsia="宋体" w:cs="Times New Roman"/>
          <w:color w:val="auto"/>
          <w:sz w:val="24"/>
          <w:szCs w:val="24"/>
          <w:highlight w:val="none"/>
        </w:rPr>
        <w:t>人，病床</w:t>
      </w:r>
      <w:r>
        <w:rPr>
          <w:rFonts w:hint="default" w:ascii="Times New Roman" w:hAnsi="Times New Roman" w:eastAsia="宋体" w:cs="Times New Roman"/>
          <w:color w:val="auto"/>
          <w:sz w:val="24"/>
          <w:szCs w:val="24"/>
          <w:highlight w:val="none"/>
          <w:lang w:val="en-US" w:eastAsia="zh-CN"/>
        </w:rPr>
        <w:t>80</w:t>
      </w:r>
      <w:r>
        <w:rPr>
          <w:rFonts w:hint="default" w:ascii="Times New Roman" w:hAnsi="Times New Roman" w:eastAsia="宋体" w:cs="Times New Roman"/>
          <w:color w:val="auto"/>
          <w:sz w:val="24"/>
          <w:szCs w:val="24"/>
          <w:highlight w:val="none"/>
        </w:rPr>
        <w:t>张，</w:t>
      </w:r>
      <w:r>
        <w:rPr>
          <w:rFonts w:hint="default" w:ascii="Times New Roman" w:hAnsi="Times New Roman" w:eastAsia="宋体" w:cs="Times New Roman"/>
          <w:color w:val="auto"/>
          <w:sz w:val="24"/>
          <w:szCs w:val="24"/>
          <w:highlight w:val="none"/>
          <w:lang w:eastAsia="zh-CN"/>
        </w:rPr>
        <w:t>是一家依照国家医疗机构管理规定设置的二级中医医院，依靠自主特色的推拿、针灸和中医内科等核心科目，以传统中医疗法为主，面向社会普通群众提供基本的医疗、医保服务，</w:t>
      </w:r>
      <w:r>
        <w:rPr>
          <w:rFonts w:hint="default" w:ascii="Times New Roman" w:hAnsi="Times New Roman" w:eastAsia="宋体" w:cs="Times New Roman"/>
          <w:color w:val="auto"/>
          <w:sz w:val="24"/>
          <w:szCs w:val="24"/>
          <w:highlight w:val="none"/>
        </w:rPr>
        <w:t>本项目不接收传染病患者，如门诊发现疑似传染病患者，立即转院。</w:t>
      </w:r>
    </w:p>
    <w:p w14:paraId="14AC82E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left"/>
        <w:textAlignment w:val="auto"/>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2编制依据</w:t>
      </w:r>
    </w:p>
    <w:p w14:paraId="2E74D1E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ascii="Times New Roman"/>
          <w:bCs/>
          <w:color w:val="auto"/>
          <w:sz w:val="24"/>
          <w:szCs w:val="24"/>
          <w:highlight w:val="none"/>
        </w:rPr>
      </w:pPr>
      <w:r>
        <w:rPr>
          <w:rFonts w:ascii="Times New Roman" w:hAnsi="Times New Roman"/>
          <w:color w:val="auto"/>
          <w:sz w:val="24"/>
          <w:szCs w:val="24"/>
          <w:highlight w:val="none"/>
        </w:rPr>
        <w:t>根</w:t>
      </w:r>
      <w:r>
        <w:rPr>
          <w:rFonts w:ascii="Times New Roman"/>
          <w:bCs/>
          <w:color w:val="auto"/>
          <w:sz w:val="24"/>
          <w:szCs w:val="24"/>
          <w:highlight w:val="none"/>
        </w:rPr>
        <w:t>据《中华人民共和国环境保护法》、《中华人民共和国环境影响评价法》以及中华人民共和国国务院第682号令《建设项目环境保护管理条例》的有关规定，</w:t>
      </w:r>
      <w:r>
        <w:rPr>
          <w:rFonts w:hint="eastAsia" w:ascii="Times New Roman"/>
          <w:color w:val="auto"/>
          <w:sz w:val="24"/>
          <w:szCs w:val="24"/>
          <w:highlight w:val="none"/>
          <w:lang w:val="en-US" w:eastAsia="zh-CN"/>
        </w:rPr>
        <w:t>本项目须进行环境影响评价。</w:t>
      </w:r>
      <w:r>
        <w:rPr>
          <w:rFonts w:ascii="Times New Roman"/>
          <w:bCs/>
          <w:color w:val="auto"/>
          <w:sz w:val="24"/>
          <w:szCs w:val="24"/>
          <w:highlight w:val="none"/>
        </w:rPr>
        <w:t>根据《建设项目环境影响评价分类管理名录》</w:t>
      </w:r>
      <w:r>
        <w:rPr>
          <w:rFonts w:hint="eastAsia" w:ascii="Times New Roman"/>
          <w:bCs/>
          <w:color w:val="auto"/>
          <w:sz w:val="24"/>
          <w:szCs w:val="24"/>
          <w:highlight w:val="none"/>
          <w:lang w:eastAsia="zh-CN"/>
        </w:rPr>
        <w:t>（</w:t>
      </w:r>
      <w:r>
        <w:rPr>
          <w:rFonts w:hint="eastAsia" w:ascii="Times New Roman"/>
          <w:bCs/>
          <w:color w:val="auto"/>
          <w:sz w:val="24"/>
          <w:szCs w:val="24"/>
          <w:highlight w:val="none"/>
          <w:lang w:val="en-US" w:eastAsia="zh-CN"/>
        </w:rPr>
        <w:t>2021年版</w:t>
      </w:r>
      <w:r>
        <w:rPr>
          <w:rFonts w:hint="eastAsia" w:ascii="Times New Roman"/>
          <w:bCs/>
          <w:color w:val="auto"/>
          <w:sz w:val="24"/>
          <w:szCs w:val="24"/>
          <w:highlight w:val="none"/>
          <w:lang w:eastAsia="zh-CN"/>
        </w:rPr>
        <w:t>）</w:t>
      </w:r>
      <w:r>
        <w:rPr>
          <w:rFonts w:ascii="Times New Roman"/>
          <w:bCs/>
          <w:color w:val="auto"/>
          <w:sz w:val="24"/>
          <w:szCs w:val="24"/>
          <w:highlight w:val="none"/>
        </w:rPr>
        <w:t>，本项目属于项目类别中的</w:t>
      </w:r>
      <w:r>
        <w:rPr>
          <w:rFonts w:hint="eastAsia" w:ascii="Times New Roman"/>
          <w:bCs/>
          <w:color w:val="auto"/>
          <w:sz w:val="24"/>
          <w:szCs w:val="24"/>
          <w:highlight w:val="none"/>
          <w:lang w:eastAsia="zh-CN"/>
        </w:rPr>
        <w:t>四十九</w:t>
      </w:r>
      <w:r>
        <w:rPr>
          <w:rFonts w:hint="eastAsia" w:ascii="Times New Roman"/>
          <w:bCs/>
          <w:color w:val="auto"/>
          <w:sz w:val="24"/>
          <w:szCs w:val="24"/>
          <w:highlight w:val="none"/>
        </w:rPr>
        <w:t>、</w:t>
      </w:r>
      <w:r>
        <w:rPr>
          <w:rFonts w:hint="eastAsia" w:ascii="Times New Roman"/>
          <w:bCs/>
          <w:color w:val="auto"/>
          <w:sz w:val="24"/>
          <w:szCs w:val="24"/>
          <w:highlight w:val="none"/>
          <w:lang w:eastAsia="zh-CN"/>
        </w:rPr>
        <w:t>卫生</w:t>
      </w:r>
      <w:r>
        <w:rPr>
          <w:rFonts w:hint="eastAsia" w:ascii="Times New Roman"/>
          <w:bCs/>
          <w:color w:val="auto"/>
          <w:sz w:val="24"/>
          <w:szCs w:val="24"/>
          <w:highlight w:val="none"/>
          <w:lang w:val="en-US" w:eastAsia="zh-CN"/>
        </w:rPr>
        <w:t>84</w:t>
      </w:r>
      <w:r>
        <w:rPr>
          <w:rFonts w:hint="eastAsia"/>
          <w:bCs/>
          <w:color w:val="auto"/>
          <w:sz w:val="24"/>
          <w:szCs w:val="24"/>
          <w:highlight w:val="none"/>
          <w:lang w:eastAsia="zh-CN"/>
        </w:rPr>
        <w:t>医</w:t>
      </w:r>
      <w:r>
        <w:rPr>
          <w:rFonts w:hint="eastAsia" w:ascii="Times New Roman"/>
          <w:bCs/>
          <w:color w:val="auto"/>
          <w:sz w:val="24"/>
          <w:szCs w:val="24"/>
          <w:highlight w:val="none"/>
          <w:lang w:eastAsia="zh-CN"/>
        </w:rPr>
        <w:t>院</w:t>
      </w:r>
      <w:r>
        <w:rPr>
          <w:rFonts w:hint="eastAsia" w:ascii="Times New Roman"/>
          <w:bCs/>
          <w:color w:val="auto"/>
          <w:sz w:val="24"/>
          <w:szCs w:val="24"/>
          <w:highlight w:val="none"/>
          <w:lang w:val="en-US" w:eastAsia="zh-CN"/>
        </w:rPr>
        <w:t>84</w:t>
      </w:r>
      <w:r>
        <w:rPr>
          <w:rFonts w:hint="eastAsia"/>
          <w:bCs/>
          <w:color w:val="auto"/>
          <w:sz w:val="24"/>
          <w:szCs w:val="24"/>
          <w:highlight w:val="none"/>
          <w:lang w:val="en-US" w:eastAsia="zh-CN"/>
        </w:rPr>
        <w:t>1</w:t>
      </w:r>
      <w:r>
        <w:rPr>
          <w:rFonts w:hint="eastAsia" w:ascii="Times New Roman"/>
          <w:bCs/>
          <w:color w:val="auto"/>
          <w:sz w:val="24"/>
          <w:szCs w:val="24"/>
          <w:highlight w:val="none"/>
          <w:lang w:eastAsia="zh-CN"/>
        </w:rPr>
        <w:t>，新建、扩建床位</w:t>
      </w:r>
      <w:r>
        <w:rPr>
          <w:rFonts w:hint="eastAsia" w:ascii="Times New Roman"/>
          <w:bCs/>
          <w:color w:val="auto"/>
          <w:sz w:val="24"/>
          <w:szCs w:val="24"/>
          <w:highlight w:val="none"/>
          <w:lang w:val="en-US" w:eastAsia="zh-CN"/>
        </w:rPr>
        <w:t>500张以上的应编制报告书，</w:t>
      </w:r>
      <w:r>
        <w:rPr>
          <w:rFonts w:hint="eastAsia" w:ascii="Times New Roman"/>
          <w:bCs/>
          <w:color w:val="auto"/>
          <w:sz w:val="24"/>
          <w:szCs w:val="24"/>
          <w:highlight w:val="none"/>
          <w:lang w:eastAsia="zh-CN"/>
        </w:rPr>
        <w:t>其他（</w:t>
      </w:r>
      <w:r>
        <w:rPr>
          <w:rFonts w:hint="eastAsia"/>
          <w:bCs/>
          <w:color w:val="auto"/>
          <w:sz w:val="24"/>
          <w:szCs w:val="24"/>
          <w:highlight w:val="none"/>
          <w:lang w:eastAsia="zh-CN"/>
        </w:rPr>
        <w:t>住院床位</w:t>
      </w:r>
      <w:r>
        <w:rPr>
          <w:rFonts w:hint="eastAsia" w:ascii="Times New Roman"/>
          <w:bCs/>
          <w:color w:val="auto"/>
          <w:sz w:val="24"/>
          <w:szCs w:val="24"/>
          <w:highlight w:val="none"/>
          <w:lang w:val="en-US" w:eastAsia="zh-CN"/>
        </w:rPr>
        <w:t>20张以下的除外</w:t>
      </w:r>
      <w:r>
        <w:rPr>
          <w:rFonts w:hint="eastAsia" w:ascii="Times New Roman"/>
          <w:bCs/>
          <w:color w:val="auto"/>
          <w:sz w:val="24"/>
          <w:szCs w:val="24"/>
          <w:highlight w:val="none"/>
          <w:lang w:eastAsia="zh-CN"/>
        </w:rPr>
        <w:t>）应编制报告表</w:t>
      </w:r>
      <w:r>
        <w:rPr>
          <w:rFonts w:ascii="Times New Roman"/>
          <w:bCs/>
          <w:color w:val="auto"/>
          <w:sz w:val="24"/>
          <w:szCs w:val="24"/>
          <w:highlight w:val="none"/>
        </w:rPr>
        <w:t>，</w:t>
      </w:r>
      <w:r>
        <w:rPr>
          <w:rFonts w:hint="eastAsia" w:ascii="Times New Roman"/>
          <w:bCs/>
          <w:color w:val="auto"/>
          <w:sz w:val="24"/>
          <w:szCs w:val="24"/>
          <w:highlight w:val="none"/>
          <w:lang w:eastAsia="zh-CN"/>
        </w:rPr>
        <w:t>本项目</w:t>
      </w:r>
      <w:r>
        <w:rPr>
          <w:rFonts w:hint="eastAsia"/>
          <w:bCs/>
          <w:color w:val="auto"/>
          <w:sz w:val="24"/>
          <w:szCs w:val="24"/>
          <w:highlight w:val="none"/>
          <w:lang w:val="en-US" w:eastAsia="zh-CN"/>
        </w:rPr>
        <w:t>中医医院设置</w:t>
      </w:r>
      <w:r>
        <w:rPr>
          <w:rFonts w:hint="eastAsia" w:ascii="Times New Roman"/>
          <w:bCs/>
          <w:color w:val="auto"/>
          <w:sz w:val="24"/>
          <w:szCs w:val="24"/>
          <w:highlight w:val="none"/>
          <w:lang w:val="en-US" w:eastAsia="zh-CN"/>
        </w:rPr>
        <w:t>床位</w:t>
      </w:r>
      <w:r>
        <w:rPr>
          <w:rFonts w:hint="eastAsia"/>
          <w:bCs/>
          <w:color w:val="auto"/>
          <w:sz w:val="24"/>
          <w:szCs w:val="24"/>
          <w:highlight w:val="none"/>
          <w:lang w:val="en-US" w:eastAsia="zh-CN"/>
        </w:rPr>
        <w:t>80</w:t>
      </w:r>
      <w:r>
        <w:rPr>
          <w:rFonts w:hint="eastAsia" w:ascii="Times New Roman"/>
          <w:bCs/>
          <w:color w:val="auto"/>
          <w:sz w:val="24"/>
          <w:szCs w:val="24"/>
          <w:highlight w:val="none"/>
          <w:lang w:val="en-US" w:eastAsia="zh-CN"/>
        </w:rPr>
        <w:t>张，故</w:t>
      </w:r>
      <w:r>
        <w:rPr>
          <w:rFonts w:ascii="Times New Roman"/>
          <w:bCs/>
          <w:color w:val="auto"/>
          <w:sz w:val="24"/>
          <w:szCs w:val="24"/>
          <w:highlight w:val="none"/>
        </w:rPr>
        <w:t>应编制环境影响报告表</w:t>
      </w:r>
      <w:r>
        <w:rPr>
          <w:rFonts w:hint="eastAsia" w:ascii="Times New Roman"/>
          <w:bCs/>
          <w:color w:val="auto"/>
          <w:sz w:val="24"/>
          <w:szCs w:val="24"/>
          <w:highlight w:val="none"/>
        </w:rPr>
        <w:t>。</w:t>
      </w:r>
    </w:p>
    <w:p w14:paraId="11BC680B">
      <w:pPr>
        <w:keepNext w:val="0"/>
        <w:keepLines w:val="0"/>
        <w:pageBreakBefore w:val="0"/>
        <w:widowControl w:val="0"/>
        <w:tabs>
          <w:tab w:val="left" w:pos="2660"/>
        </w:tabs>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ascii="Times New Roman" w:hAnsi="Times New Roman"/>
          <w:color w:val="auto"/>
          <w:sz w:val="24"/>
          <w:highlight w:val="none"/>
        </w:rPr>
      </w:pPr>
      <w:r>
        <w:rPr>
          <w:rFonts w:ascii="Times New Roman" w:hAnsi="Times New Roman"/>
          <w:color w:val="auto"/>
          <w:sz w:val="24"/>
          <w:highlight w:val="none"/>
        </w:rPr>
        <w:t>为此，</w:t>
      </w:r>
      <w:r>
        <w:rPr>
          <w:rFonts w:hint="eastAsia"/>
          <w:color w:val="auto"/>
          <w:sz w:val="24"/>
          <w:highlight w:val="none"/>
          <w:lang w:eastAsia="zh-CN"/>
        </w:rPr>
        <w:t>谦和中医院</w:t>
      </w:r>
      <w:r>
        <w:rPr>
          <w:rFonts w:ascii="Times New Roman" w:hAnsi="Times New Roman"/>
          <w:color w:val="auto"/>
          <w:sz w:val="24"/>
          <w:highlight w:val="none"/>
        </w:rPr>
        <w:t>委托</w:t>
      </w:r>
      <w:r>
        <w:rPr>
          <w:rFonts w:hint="eastAsia"/>
          <w:color w:val="auto"/>
          <w:sz w:val="24"/>
          <w:highlight w:val="none"/>
          <w:lang w:eastAsia="zh-CN"/>
        </w:rPr>
        <w:t>辽宁维天环保科技有限公司</w:t>
      </w:r>
      <w:r>
        <w:rPr>
          <w:rFonts w:ascii="Times New Roman" w:hAnsi="Times New Roman"/>
          <w:color w:val="auto"/>
          <w:sz w:val="24"/>
          <w:highlight w:val="none"/>
        </w:rPr>
        <w:t>承担此项工程的环境影响评价工作。接受委托后，我公司即组织技术人员对该项目进行了现场踏勘和资料收集，按照建设项目环境影响评价相关的法律法规、标准及技术规范的相关规定，编制了该项目的环境影响报告表，由建设单位提交当地环保行政管理部门审查批复。</w:t>
      </w:r>
    </w:p>
    <w:p w14:paraId="05F20309">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ascii="Times New Roman" w:hAnsi="Times New Roman" w:eastAsia="宋体" w:cs="Times New Roman"/>
          <w:b/>
          <w:bCs/>
          <w:color w:val="auto"/>
          <w:kern w:val="2"/>
          <w:sz w:val="28"/>
          <w:szCs w:val="28"/>
          <w:highlight w:val="none"/>
          <w:lang w:val="en-US" w:eastAsia="zh-CN" w:bidi="ar-SA"/>
        </w:rPr>
      </w:pPr>
      <w:r>
        <w:rPr>
          <w:rFonts w:hint="eastAsia" w:ascii="Times New Roman" w:hAnsi="Times New Roman" w:eastAsia="宋体" w:cs="Times New Roman"/>
          <w:b/>
          <w:bCs/>
          <w:color w:val="auto"/>
          <w:kern w:val="2"/>
          <w:sz w:val="28"/>
          <w:szCs w:val="28"/>
          <w:highlight w:val="none"/>
          <w:lang w:val="en-US" w:eastAsia="zh-CN" w:bidi="ar-SA"/>
        </w:rPr>
        <w:t>3.产业政策相符性分析</w:t>
      </w:r>
    </w:p>
    <w:p w14:paraId="27147378">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color w:val="auto"/>
          <w:kern w:val="2"/>
          <w:sz w:val="24"/>
          <w:szCs w:val="21"/>
          <w:highlight w:val="none"/>
          <w:lang w:val="en-US" w:eastAsia="zh-CN" w:bidi="ar-SA"/>
        </w:rPr>
      </w:pPr>
      <w:r>
        <w:rPr>
          <w:rFonts w:hint="eastAsia" w:ascii="Times New Roman" w:hAnsi="Times New Roman" w:eastAsia="宋体" w:cs="Times New Roman"/>
          <w:color w:val="auto"/>
          <w:kern w:val="2"/>
          <w:sz w:val="24"/>
          <w:szCs w:val="21"/>
          <w:highlight w:val="none"/>
          <w:lang w:val="en-US" w:eastAsia="zh-CN" w:bidi="ar-SA"/>
        </w:rPr>
        <w:t>本项目</w:t>
      </w:r>
      <w:r>
        <w:rPr>
          <w:rFonts w:hint="eastAsia" w:cs="Times New Roman"/>
          <w:color w:val="auto"/>
          <w:kern w:val="2"/>
          <w:sz w:val="24"/>
          <w:szCs w:val="21"/>
          <w:highlight w:val="none"/>
          <w:lang w:val="en-US" w:eastAsia="zh-CN" w:bidi="ar-SA"/>
        </w:rPr>
        <w:t>为</w:t>
      </w:r>
      <w:r>
        <w:rPr>
          <w:rFonts w:hint="eastAsia" w:ascii="宋体" w:hAnsi="宋体" w:cs="宋体"/>
          <w:color w:val="auto"/>
          <w:sz w:val="24"/>
          <w:szCs w:val="24"/>
          <w:highlight w:val="none"/>
          <w:lang w:eastAsia="zh-CN"/>
        </w:rPr>
        <w:t>中医医院建设项目，</w:t>
      </w:r>
      <w:r>
        <w:rPr>
          <w:rFonts w:hint="eastAsia" w:ascii="Times New Roman" w:hAnsi="Times New Roman" w:eastAsia="宋体" w:cs="Times New Roman"/>
          <w:color w:val="auto"/>
          <w:kern w:val="2"/>
          <w:sz w:val="24"/>
          <w:szCs w:val="21"/>
          <w:highlight w:val="none"/>
          <w:lang w:val="en-US" w:eastAsia="zh-CN" w:bidi="ar-SA"/>
        </w:rPr>
        <w:t>属于</w:t>
      </w:r>
      <w:r>
        <w:rPr>
          <w:rFonts w:hint="eastAsia" w:cs="Times New Roman"/>
          <w:color w:val="auto"/>
          <w:kern w:val="2"/>
          <w:sz w:val="24"/>
          <w:szCs w:val="21"/>
          <w:highlight w:val="none"/>
          <w:lang w:val="en-US" w:eastAsia="zh-CN" w:bidi="ar-SA"/>
        </w:rPr>
        <w:t>《产业结构调整指导目录》（2019年本）中的鼓励类三十七、卫生健康8、中医养生保健服务，因此本项目为国家产业政策中鼓励类产业类别，</w:t>
      </w:r>
      <w:r>
        <w:rPr>
          <w:rFonts w:hint="eastAsia" w:ascii="宋体" w:hAnsi="宋体" w:eastAsia="宋体" w:cs="宋体"/>
          <w:i w:val="0"/>
          <w:caps w:val="0"/>
          <w:color w:val="auto"/>
          <w:spacing w:val="0"/>
          <w:sz w:val="24"/>
          <w:szCs w:val="24"/>
          <w:highlight w:val="none"/>
          <w:lang w:val="en-US" w:eastAsia="zh-CN"/>
        </w:rPr>
        <w:t>符合国家产业政策。</w:t>
      </w:r>
    </w:p>
    <w:p w14:paraId="0F430B90">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ascii="Times New Roman" w:hAnsi="Times New Roman"/>
          <w:b/>
          <w:bCs/>
          <w:color w:val="auto"/>
          <w:sz w:val="28"/>
          <w:szCs w:val="28"/>
          <w:highlight w:val="none"/>
        </w:rPr>
      </w:pPr>
      <w:r>
        <w:rPr>
          <w:rFonts w:hint="default" w:cs="Times New Roman"/>
          <w:b/>
          <w:bCs/>
          <w:color w:val="auto"/>
          <w:kern w:val="2"/>
          <w:sz w:val="28"/>
          <w:szCs w:val="28"/>
          <w:highlight w:val="none"/>
          <w:lang w:val="en-US" w:eastAsia="zh-CN" w:bidi="ar-SA"/>
        </w:rPr>
        <w:t>4.</w:t>
      </w:r>
      <w:r>
        <w:rPr>
          <w:rFonts w:ascii="Times New Roman" w:hAnsi="Times New Roman"/>
          <w:b/>
          <w:bCs/>
          <w:color w:val="auto"/>
          <w:sz w:val="28"/>
          <w:szCs w:val="28"/>
          <w:highlight w:val="none"/>
        </w:rPr>
        <w:t>规划符合性及选址合理性分析</w:t>
      </w:r>
    </w:p>
    <w:p w14:paraId="5068D00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cs="Times New Roman"/>
          <w:color w:val="auto"/>
          <w:kern w:val="2"/>
          <w:sz w:val="24"/>
          <w:szCs w:val="21"/>
          <w:highlight w:val="none"/>
          <w:lang w:val="en-US" w:eastAsia="zh-CN" w:bidi="ar-SA"/>
        </w:rPr>
      </w:pPr>
      <w:r>
        <w:rPr>
          <w:rFonts w:hint="eastAsia" w:cs="Times New Roman"/>
          <w:color w:val="auto"/>
          <w:kern w:val="2"/>
          <w:sz w:val="24"/>
          <w:szCs w:val="21"/>
          <w:highlight w:val="none"/>
          <w:lang w:val="en-US" w:eastAsia="zh-CN" w:bidi="ar-SA"/>
        </w:rPr>
        <w:t>本项目拟选址本溪市溪湖区溪湖东路1栋1号。依托现有本溪大楼3-5层进行建设，不新增占地，根据企业提供的不动产登记证，本项目为其他商服用地</w:t>
      </w:r>
      <w:r>
        <w:rPr>
          <w:rFonts w:hint="default" w:cs="Times New Roman"/>
          <w:color w:val="auto"/>
          <w:kern w:val="2"/>
          <w:sz w:val="24"/>
          <w:szCs w:val="21"/>
          <w:highlight w:val="none"/>
          <w:lang w:val="en-US" w:eastAsia="zh-CN" w:bidi="ar-SA"/>
        </w:rPr>
        <w:t>/</w:t>
      </w:r>
      <w:r>
        <w:rPr>
          <w:rFonts w:hint="eastAsia" w:cs="Times New Roman"/>
          <w:color w:val="auto"/>
          <w:kern w:val="2"/>
          <w:sz w:val="24"/>
          <w:szCs w:val="21"/>
          <w:highlight w:val="none"/>
          <w:lang w:val="en-US" w:eastAsia="zh-CN" w:bidi="ar-SA"/>
        </w:rPr>
        <w:t>商业用房，</w:t>
      </w:r>
      <w:r>
        <w:rPr>
          <w:rFonts w:hint="default" w:ascii="Times New Roman" w:hAnsi="Times New Roman" w:cs="Times New Roman"/>
          <w:bCs/>
          <w:color w:val="auto"/>
          <w:sz w:val="24"/>
          <w:highlight w:val="none"/>
        </w:rPr>
        <w:t>故本项目用地性质与</w:t>
      </w:r>
      <w:r>
        <w:rPr>
          <w:rFonts w:hint="eastAsia" w:cs="Times New Roman"/>
          <w:bCs/>
          <w:color w:val="auto"/>
          <w:sz w:val="24"/>
          <w:highlight w:val="none"/>
          <w:lang w:eastAsia="zh-CN"/>
        </w:rPr>
        <w:t>本溪市城市总体</w:t>
      </w:r>
      <w:r>
        <w:rPr>
          <w:rFonts w:hint="default" w:ascii="Times New Roman" w:hAnsi="Times New Roman" w:cs="Times New Roman"/>
          <w:bCs/>
          <w:color w:val="auto"/>
          <w:sz w:val="24"/>
          <w:highlight w:val="none"/>
        </w:rPr>
        <w:t>规划相符</w:t>
      </w:r>
      <w:r>
        <w:rPr>
          <w:rFonts w:hint="eastAsia" w:ascii="Times New Roman"/>
          <w:bCs/>
          <w:color w:val="auto"/>
          <w:sz w:val="24"/>
          <w:szCs w:val="24"/>
          <w:highlight w:val="none"/>
        </w:rPr>
        <w:t>，</w:t>
      </w:r>
      <w:r>
        <w:rPr>
          <w:rFonts w:hint="eastAsia" w:ascii="Times New Roman"/>
          <w:bCs/>
          <w:color w:val="auto"/>
          <w:sz w:val="24"/>
          <w:szCs w:val="24"/>
          <w:highlight w:val="none"/>
          <w:lang w:eastAsia="zh-CN"/>
        </w:rPr>
        <w:t>规划</w:t>
      </w:r>
      <w:r>
        <w:rPr>
          <w:rFonts w:hint="eastAsia" w:ascii="Times New Roman"/>
          <w:bCs/>
          <w:color w:val="auto"/>
          <w:sz w:val="24"/>
          <w:szCs w:val="24"/>
          <w:highlight w:val="none"/>
        </w:rPr>
        <w:t>合理。</w:t>
      </w:r>
    </w:p>
    <w:p w14:paraId="4E890B0A">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outlineLvl w:val="9"/>
        <w:rPr>
          <w:rFonts w:hint="eastAsia" w:eastAsia="宋体"/>
          <w:color w:val="auto"/>
          <w:sz w:val="24"/>
          <w:highlight w:val="none"/>
          <w:lang w:eastAsia="zh-CN"/>
        </w:rPr>
      </w:pPr>
      <w:r>
        <w:rPr>
          <w:rFonts w:hint="eastAsia"/>
          <w:color w:val="auto"/>
          <w:sz w:val="24"/>
          <w:highlight w:val="none"/>
        </w:rPr>
        <w:t>本项目区域内的交通也能够满足人流、车流及消防通道的要求。项目</w:t>
      </w:r>
      <w:r>
        <w:rPr>
          <w:rFonts w:hint="eastAsia"/>
          <w:color w:val="auto"/>
          <w:sz w:val="24"/>
          <w:highlight w:val="none"/>
          <w:lang w:eastAsia="zh-CN"/>
        </w:rPr>
        <w:t>位于</w:t>
      </w:r>
      <w:r>
        <w:rPr>
          <w:rFonts w:hint="eastAsia"/>
          <w:color w:val="auto"/>
          <w:sz w:val="24"/>
          <w:highlight w:val="none"/>
        </w:rPr>
        <w:t>本溪市城市建成区内，</w:t>
      </w:r>
      <w:r>
        <w:rPr>
          <w:rFonts w:hint="eastAsia"/>
          <w:color w:val="auto"/>
          <w:sz w:val="24"/>
          <w:highlight w:val="none"/>
          <w:lang w:eastAsia="zh-CN"/>
        </w:rPr>
        <w:t>不涉及自然保护区、风景名胜区、生态保护区、饮用水源保护区等环境敏感区，</w:t>
      </w:r>
      <w:r>
        <w:rPr>
          <w:rFonts w:hint="eastAsia"/>
          <w:color w:val="auto"/>
          <w:sz w:val="24"/>
          <w:highlight w:val="none"/>
        </w:rPr>
        <w:t>供水、供暖、排水管线，供电、有线及通讯等基础设施十分齐全，可为本项目配套。</w:t>
      </w:r>
      <w:r>
        <w:rPr>
          <w:rFonts w:hint="eastAsia"/>
          <w:color w:val="auto"/>
          <w:sz w:val="24"/>
          <w:highlight w:val="none"/>
          <w:lang w:eastAsia="zh-CN"/>
        </w:rPr>
        <w:t>根据本项目环境空气特征因子补充监测结果，项目所在区域环境质量尚有一定容量。项目所在区域为商住混合区，无大型工业企业，不会对医院本身产生较大影响。</w:t>
      </w:r>
    </w:p>
    <w:p w14:paraId="784F233F">
      <w:pPr>
        <w:pStyle w:val="3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textAlignment w:val="auto"/>
        <w:rPr>
          <w:rFonts w:hint="eastAsia" w:ascii="Times New Roman" w:hAnsi="Times New Roman" w:eastAsia="宋体" w:cs="Times New Roman"/>
          <w:color w:val="auto"/>
          <w:kern w:val="2"/>
          <w:sz w:val="24"/>
          <w:szCs w:val="21"/>
          <w:highlight w:val="none"/>
          <w:lang w:val="en-US" w:eastAsia="zh-CN" w:bidi="ar-SA"/>
        </w:rPr>
      </w:pPr>
      <w:r>
        <w:rPr>
          <w:rFonts w:hint="eastAsia" w:ascii="Times New Roman" w:hAnsi="Times New Roman" w:eastAsia="宋体" w:cs="Times New Roman"/>
          <w:color w:val="auto"/>
          <w:kern w:val="2"/>
          <w:sz w:val="24"/>
          <w:szCs w:val="21"/>
          <w:highlight w:val="none"/>
          <w:lang w:val="en-US" w:eastAsia="zh-CN" w:bidi="ar-SA"/>
        </w:rPr>
        <w:t>由上可知，本项目规划、选址合理。</w:t>
      </w:r>
    </w:p>
    <w:p w14:paraId="70DFD7CA">
      <w:pPr>
        <w:pStyle w:val="3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bCs/>
          <w:color w:val="auto"/>
          <w:kern w:val="2"/>
          <w:sz w:val="28"/>
          <w:szCs w:val="28"/>
          <w:highlight w:val="none"/>
          <w:lang w:val="en-US" w:eastAsia="zh-CN" w:bidi="ar-SA"/>
        </w:rPr>
      </w:pPr>
      <w:r>
        <w:rPr>
          <w:rFonts w:hint="eastAsia" w:ascii="Times New Roman" w:hAnsi="Times New Roman" w:eastAsia="宋体" w:cs="Times New Roman"/>
          <w:b/>
          <w:bCs/>
          <w:color w:val="auto"/>
          <w:kern w:val="2"/>
          <w:sz w:val="28"/>
          <w:szCs w:val="28"/>
          <w:highlight w:val="none"/>
          <w:lang w:val="en-US" w:eastAsia="zh-CN" w:bidi="ar-SA"/>
        </w:rPr>
        <w:t>5.</w:t>
      </w:r>
      <w:r>
        <w:rPr>
          <w:rFonts w:hint="eastAsia" w:eastAsia="宋体" w:cs="Times New Roman"/>
          <w:b/>
          <w:bCs/>
          <w:color w:val="auto"/>
          <w:kern w:val="2"/>
          <w:sz w:val="28"/>
          <w:szCs w:val="28"/>
          <w:highlight w:val="none"/>
          <w:lang w:val="en-US" w:eastAsia="zh-CN" w:bidi="ar-SA"/>
        </w:rPr>
        <w:t>与相关政策相符性分析</w:t>
      </w:r>
    </w:p>
    <w:p w14:paraId="64E0C51B">
      <w:pPr>
        <w:pStyle w:val="3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eastAsia="宋体" w:cs="Times New Roman"/>
          <w:b/>
          <w:bCs/>
          <w:color w:val="auto"/>
          <w:kern w:val="2"/>
          <w:sz w:val="24"/>
          <w:szCs w:val="24"/>
          <w:highlight w:val="none"/>
          <w:lang w:val="en-US" w:eastAsia="zh-CN" w:bidi="ar-SA"/>
        </w:rPr>
        <w:t>5.1</w:t>
      </w:r>
      <w:r>
        <w:rPr>
          <w:rFonts w:hint="eastAsia" w:ascii="Times New Roman" w:hAnsi="Times New Roman" w:eastAsia="宋体" w:cs="Times New Roman"/>
          <w:b/>
          <w:bCs/>
          <w:color w:val="auto"/>
          <w:kern w:val="2"/>
          <w:sz w:val="24"/>
          <w:szCs w:val="24"/>
          <w:highlight w:val="none"/>
          <w:lang w:val="en-US" w:eastAsia="zh-CN" w:bidi="ar-SA"/>
        </w:rPr>
        <w:t>“三线一单”相符性分析</w:t>
      </w:r>
    </w:p>
    <w:p w14:paraId="79E7E060">
      <w:pPr>
        <w:pStyle w:val="32"/>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outlineLvl w:val="9"/>
        <w:rPr>
          <w:rFonts w:hint="default" w:ascii="Times New Roman" w:hAnsi="Times New Roman" w:eastAsia="宋体" w:cs="Times New Roman"/>
          <w:b/>
          <w:color w:val="auto"/>
          <w:sz w:val="21"/>
          <w:szCs w:val="21"/>
          <w:highlight w:val="none"/>
        </w:rPr>
      </w:pPr>
      <w:r>
        <w:rPr>
          <w:rFonts w:hint="eastAsia"/>
          <w:color w:val="auto"/>
          <w:sz w:val="24"/>
          <w:szCs w:val="24"/>
          <w:highlight w:val="none"/>
          <w:lang w:val="en-US" w:eastAsia="zh-CN"/>
        </w:rPr>
        <w:t xml:space="preserve"> </w:t>
      </w:r>
      <w:r>
        <w:rPr>
          <w:rFonts w:hint="eastAsia" w:ascii="Times New Roman" w:hAnsi="Times New Roman" w:eastAsia="宋体" w:cs="Times New Roman"/>
          <w:color w:val="auto"/>
          <w:kern w:val="2"/>
          <w:sz w:val="24"/>
          <w:szCs w:val="22"/>
          <w:highlight w:val="none"/>
          <w:lang w:val="en-US" w:eastAsia="zh-CN" w:bidi="ar-SA"/>
        </w:rPr>
        <w:t>“三线一单”是指生态保护红线、环境质量底线、资源利用上线和环境准入负面清单。其目的为划定生态保护红线，识别生态空间；明确环境质量底线，实施环境分区管控；完善资源利用上线，提升自然资源开发利用效率；划定环境综合管控单元，实施环境综合管理。</w:t>
      </w:r>
    </w:p>
    <w:p w14:paraId="4077FD3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eastAsia" w:cs="Times New Roman"/>
          <w:b/>
          <w:color w:val="auto"/>
          <w:sz w:val="21"/>
          <w:szCs w:val="21"/>
          <w:highlight w:val="none"/>
          <w:lang w:val="en-US" w:eastAsia="zh-CN"/>
        </w:rPr>
        <w:t>1</w:t>
      </w:r>
      <w:r>
        <w:rPr>
          <w:rFonts w:hint="default" w:ascii="Times New Roman" w:hAnsi="Times New Roman" w:eastAsia="宋体" w:cs="Times New Roman"/>
          <w:b/>
          <w:color w:val="auto"/>
          <w:sz w:val="21"/>
          <w:szCs w:val="21"/>
          <w:highlight w:val="none"/>
        </w:rPr>
        <w:t xml:space="preserve">   </w:t>
      </w:r>
      <w:r>
        <w:rPr>
          <w:rFonts w:hint="default" w:ascii="Times New Roman" w:hAnsi="Times New Roman" w:eastAsia="宋体" w:cs="Times New Roman"/>
          <w:b/>
          <w:color w:val="auto"/>
          <w:sz w:val="21"/>
          <w:szCs w:val="21"/>
          <w:highlight w:val="none"/>
          <w:lang w:val="en-US" w:eastAsia="zh-CN"/>
        </w:rPr>
        <w:t xml:space="preserve">                  </w:t>
      </w:r>
      <w:r>
        <w:rPr>
          <w:rFonts w:hint="eastAsia" w:cs="Times New Roman"/>
          <w:b/>
          <w:color w:val="auto"/>
          <w:sz w:val="21"/>
          <w:szCs w:val="21"/>
          <w:highlight w:val="none"/>
          <w:lang w:val="en-US" w:eastAsia="zh-CN"/>
        </w:rPr>
        <w:t xml:space="preserve">    </w:t>
      </w:r>
      <w:r>
        <w:rPr>
          <w:rFonts w:hint="default" w:ascii="Times New Roman" w:hAnsi="Times New Roman" w:eastAsia="宋体" w:cs="Times New Roman"/>
          <w:b/>
          <w:color w:val="auto"/>
          <w:sz w:val="21"/>
          <w:szCs w:val="21"/>
          <w:highlight w:val="none"/>
          <w:lang w:val="en-US" w:eastAsia="zh-CN"/>
        </w:rPr>
        <w:t xml:space="preserve">  </w:t>
      </w:r>
      <w:r>
        <w:rPr>
          <w:rFonts w:hint="default" w:ascii="Times New Roman" w:hAnsi="Times New Roman" w:eastAsia="宋体" w:cs="Times New Roman"/>
          <w:b/>
          <w:color w:val="auto"/>
          <w:sz w:val="21"/>
          <w:szCs w:val="21"/>
          <w:highlight w:val="none"/>
        </w:rPr>
        <w:t>“三线一单”符合性分析</w:t>
      </w:r>
    </w:p>
    <w:tbl>
      <w:tblPr>
        <w:tblStyle w:val="24"/>
        <w:tblW w:w="92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10"/>
        <w:gridCol w:w="4336"/>
        <w:gridCol w:w="4140"/>
      </w:tblGrid>
      <w:tr w14:paraId="5292A0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10" w:type="dxa"/>
            <w:noWrap w:val="0"/>
            <w:vAlign w:val="center"/>
          </w:tcPr>
          <w:p w14:paraId="7A9FFF10">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标题</w:t>
            </w:r>
          </w:p>
        </w:tc>
        <w:tc>
          <w:tcPr>
            <w:tcW w:w="4336" w:type="dxa"/>
            <w:noWrap w:val="0"/>
            <w:vAlign w:val="center"/>
          </w:tcPr>
          <w:p w14:paraId="2ACF7B0C">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内容</w:t>
            </w:r>
          </w:p>
        </w:tc>
        <w:tc>
          <w:tcPr>
            <w:tcW w:w="4140" w:type="dxa"/>
            <w:noWrap w:val="0"/>
            <w:vAlign w:val="center"/>
          </w:tcPr>
          <w:p w14:paraId="0496EACA">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符合性分析</w:t>
            </w:r>
          </w:p>
        </w:tc>
      </w:tr>
      <w:tr w14:paraId="4BFF45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10" w:type="dxa"/>
            <w:noWrap w:val="0"/>
            <w:vAlign w:val="center"/>
          </w:tcPr>
          <w:p w14:paraId="22ED553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生态保护红线</w:t>
            </w:r>
          </w:p>
        </w:tc>
        <w:tc>
          <w:tcPr>
            <w:tcW w:w="4336" w:type="dxa"/>
            <w:noWrap w:val="0"/>
            <w:vAlign w:val="center"/>
          </w:tcPr>
          <w:p w14:paraId="007A2DED">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态保护红线”是“生态空间范围内具有特殊重要生态功能必须实行强制性严格保护的区域。相关规划环评应将生态空间管控作为重要内容，规划区域涉及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w:t>
            </w:r>
          </w:p>
        </w:tc>
        <w:tc>
          <w:tcPr>
            <w:tcW w:w="4140" w:type="dxa"/>
            <w:noWrap w:val="0"/>
            <w:vAlign w:val="center"/>
          </w:tcPr>
          <w:p w14:paraId="09DE605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FF0000"/>
                <w:sz w:val="21"/>
                <w:szCs w:val="21"/>
                <w:highlight w:val="none"/>
              </w:rPr>
              <w:t>本项目位于</w:t>
            </w:r>
            <w:r>
              <w:rPr>
                <w:rFonts w:hint="eastAsia" w:cs="Times New Roman"/>
                <w:color w:val="FF0000"/>
                <w:sz w:val="21"/>
                <w:szCs w:val="21"/>
                <w:highlight w:val="none"/>
                <w:lang w:eastAsia="zh-CN"/>
              </w:rPr>
              <w:t>本溪市溪湖区溪湖东路1栋1号</w:t>
            </w:r>
            <w:r>
              <w:rPr>
                <w:rFonts w:hint="default" w:ascii="Times New Roman" w:hAnsi="Times New Roman" w:eastAsia="宋体" w:cs="Times New Roman"/>
                <w:color w:val="FF0000"/>
                <w:sz w:val="21"/>
                <w:szCs w:val="21"/>
                <w:highlight w:val="none"/>
              </w:rPr>
              <w:t>，</w:t>
            </w:r>
            <w:r>
              <w:rPr>
                <w:rFonts w:hint="eastAsia" w:cs="Times New Roman"/>
                <w:color w:val="FF0000"/>
                <w:sz w:val="21"/>
                <w:szCs w:val="21"/>
                <w:highlight w:val="none"/>
                <w:lang w:eastAsia="zh-CN"/>
              </w:rPr>
              <w:t>不在“生态保护红线”划定的区域范围之内，</w:t>
            </w:r>
            <w:r>
              <w:rPr>
                <w:rFonts w:hint="default" w:ascii="Times New Roman" w:hAnsi="Times New Roman" w:eastAsia="宋体" w:cs="Times New Roman"/>
                <w:color w:val="FF0000"/>
                <w:sz w:val="21"/>
                <w:szCs w:val="21"/>
                <w:highlight w:val="none"/>
              </w:rPr>
              <w:t>符合生态保护红线</w:t>
            </w:r>
            <w:r>
              <w:rPr>
                <w:rFonts w:hint="eastAsia" w:cs="Times New Roman"/>
                <w:color w:val="FF0000"/>
                <w:sz w:val="21"/>
                <w:szCs w:val="21"/>
                <w:highlight w:val="none"/>
                <w:lang w:eastAsia="zh-CN"/>
              </w:rPr>
              <w:t>要求</w:t>
            </w:r>
            <w:r>
              <w:rPr>
                <w:rFonts w:hint="default" w:ascii="Times New Roman" w:hAnsi="Times New Roman" w:eastAsia="宋体" w:cs="Times New Roman"/>
                <w:color w:val="FF0000"/>
                <w:sz w:val="21"/>
                <w:szCs w:val="21"/>
                <w:highlight w:val="none"/>
              </w:rPr>
              <w:t>。</w:t>
            </w:r>
          </w:p>
        </w:tc>
      </w:tr>
      <w:tr w14:paraId="0B6657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10" w:type="dxa"/>
            <w:noWrap w:val="0"/>
            <w:vAlign w:val="center"/>
          </w:tcPr>
          <w:p w14:paraId="12591F12">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资源利用上线</w:t>
            </w:r>
          </w:p>
        </w:tc>
        <w:tc>
          <w:tcPr>
            <w:tcW w:w="4336" w:type="dxa"/>
            <w:noWrap w:val="0"/>
            <w:vAlign w:val="center"/>
          </w:tcPr>
          <w:p w14:paraId="5EDC4AE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资源是环境的载体，“资源利用上线”地区能源、水、土地等资源消耗不得突破的“天花板”。相关规划环评应依据有关资源利用上线，对规划实施以及规划内项目的资源开发利用，区分不同行业，从能源资源开发等量或减量替代、开采方式和规模控制、利用效率和保护措施等方面提出建议，为规划编制和审批决策提供重要依据</w:t>
            </w:r>
          </w:p>
        </w:tc>
        <w:tc>
          <w:tcPr>
            <w:tcW w:w="4140" w:type="dxa"/>
            <w:noWrap w:val="0"/>
            <w:vAlign w:val="center"/>
          </w:tcPr>
          <w:p w14:paraId="3A89E1A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w:t>
            </w:r>
            <w:r>
              <w:rPr>
                <w:rFonts w:hint="eastAsia" w:ascii="Times New Roman" w:hAnsi="Times New Roman" w:eastAsia="宋体" w:cs="Times New Roman"/>
                <w:color w:val="auto"/>
                <w:kern w:val="2"/>
                <w:sz w:val="21"/>
                <w:szCs w:val="21"/>
                <w:highlight w:val="none"/>
                <w:lang w:val="en-US" w:eastAsia="zh-CN" w:bidi="ar-SA"/>
              </w:rPr>
              <w:t>运营</w:t>
            </w:r>
            <w:r>
              <w:rPr>
                <w:rFonts w:hint="default" w:ascii="Times New Roman" w:hAnsi="Times New Roman" w:eastAsia="宋体" w:cs="Times New Roman"/>
                <w:color w:val="auto"/>
                <w:sz w:val="21"/>
                <w:szCs w:val="21"/>
                <w:highlight w:val="none"/>
              </w:rPr>
              <w:t>过程中</w:t>
            </w:r>
            <w:r>
              <w:rPr>
                <w:rFonts w:hint="eastAsia" w:ascii="Times New Roman" w:hAnsi="Times New Roman" w:eastAsia="宋体" w:cs="Times New Roman"/>
                <w:color w:val="auto"/>
                <w:sz w:val="21"/>
                <w:szCs w:val="21"/>
                <w:highlight w:val="none"/>
                <w:lang w:eastAsia="zh-CN"/>
              </w:rPr>
              <w:t>需要</w:t>
            </w:r>
            <w:r>
              <w:rPr>
                <w:rFonts w:hint="default" w:ascii="Times New Roman" w:hAnsi="Times New Roman" w:eastAsia="宋体" w:cs="Times New Roman"/>
                <w:color w:val="auto"/>
                <w:sz w:val="21"/>
                <w:szCs w:val="21"/>
                <w:highlight w:val="none"/>
              </w:rPr>
              <w:t>消耗一定量的电源、水资源，项目资源消耗量相对于区域资源利用总量较少，符合资源利用上线要求</w:t>
            </w:r>
          </w:p>
        </w:tc>
      </w:tr>
      <w:tr w14:paraId="04AA91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10" w:type="dxa"/>
            <w:noWrap w:val="0"/>
            <w:vAlign w:val="center"/>
          </w:tcPr>
          <w:p w14:paraId="05EEA1B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环境质量底线</w:t>
            </w:r>
          </w:p>
        </w:tc>
        <w:tc>
          <w:tcPr>
            <w:tcW w:w="4336" w:type="dxa"/>
            <w:noWrap w:val="0"/>
            <w:vAlign w:val="center"/>
          </w:tcPr>
          <w:p w14:paraId="75F0A54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质量底线”是国家和地方设置的大气、水和土壤环境质量目标，也是改善环境质量的基准线。有关规划环评应落实区域环境质量目标管理要求，提出区域或者行业污染物排放总量管控建议以及优化区域或行业发展布局、结构和规模的对策措施。项目环评应对照区域环境质量目标，深入分析预测项目建设对环境质量的影响，强化污染防治措施和污染物排放控制要求</w:t>
            </w:r>
          </w:p>
        </w:tc>
        <w:tc>
          <w:tcPr>
            <w:tcW w:w="4140" w:type="dxa"/>
            <w:noWrap w:val="0"/>
            <w:vAlign w:val="center"/>
          </w:tcPr>
          <w:p w14:paraId="3B7AFDF3">
            <w:pPr>
              <w:jc w:val="both"/>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本项目附近声</w:t>
            </w:r>
            <w:r>
              <w:rPr>
                <w:rFonts w:hint="eastAsia" w:ascii="Times New Roman" w:hAnsi="Times New Roman" w:eastAsia="宋体" w:cs="Times New Roman"/>
                <w:color w:val="auto"/>
                <w:sz w:val="21"/>
                <w:szCs w:val="21"/>
                <w:highlight w:val="none"/>
                <w:lang w:eastAsia="zh-CN"/>
              </w:rPr>
              <w:t>环境</w:t>
            </w:r>
            <w:r>
              <w:rPr>
                <w:rFonts w:hint="default" w:ascii="Times New Roman" w:hAnsi="Times New Roman" w:eastAsia="宋体" w:cs="Times New Roman"/>
                <w:color w:val="auto"/>
                <w:sz w:val="21"/>
                <w:szCs w:val="21"/>
                <w:highlight w:val="none"/>
              </w:rPr>
              <w:t>质量</w:t>
            </w:r>
            <w:r>
              <w:rPr>
                <w:rFonts w:hint="eastAsia" w:ascii="Times New Roman" w:hAnsi="Times New Roman" w:eastAsia="宋体" w:cs="Times New Roman"/>
                <w:color w:val="auto"/>
                <w:sz w:val="21"/>
                <w:szCs w:val="21"/>
                <w:highlight w:val="none"/>
                <w:lang w:eastAsia="zh-CN"/>
              </w:rPr>
              <w:t>现状</w:t>
            </w:r>
            <w:r>
              <w:rPr>
                <w:rFonts w:hint="default" w:ascii="Times New Roman" w:hAnsi="Times New Roman" w:eastAsia="宋体" w:cs="Times New Roman"/>
                <w:color w:val="auto"/>
                <w:sz w:val="21"/>
                <w:szCs w:val="21"/>
                <w:highlight w:val="none"/>
              </w:rPr>
              <w:t>能够满足相应的标准要求</w:t>
            </w:r>
            <w:r>
              <w:rPr>
                <w:rFonts w:hint="eastAsia"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eastAsia="zh-CN"/>
              </w:rPr>
              <w:t>大气环境质量现状中超标因子主要为</w:t>
            </w:r>
            <w:r>
              <w:rPr>
                <w:rFonts w:hint="eastAsia" w:ascii="Times New Roman" w:hAnsi="Times New Roman" w:eastAsia="宋体" w:cs="Times New Roman"/>
                <w:color w:val="auto"/>
                <w:sz w:val="21"/>
                <w:szCs w:val="21"/>
                <w:highlight w:val="none"/>
                <w:lang w:val="en-US" w:eastAsia="zh-CN"/>
              </w:rPr>
              <w:t>PM</w:t>
            </w:r>
            <w:r>
              <w:rPr>
                <w:rFonts w:hint="eastAsia" w:ascii="Times New Roman" w:hAnsi="Times New Roman" w:eastAsia="宋体" w:cs="Times New Roman"/>
                <w:color w:val="auto"/>
                <w:sz w:val="21"/>
                <w:szCs w:val="21"/>
                <w:highlight w:val="none"/>
                <w:vertAlign w:val="subscript"/>
                <w:lang w:val="en-US" w:eastAsia="zh-CN"/>
              </w:rPr>
              <w:t>2.5</w:t>
            </w:r>
            <w:r>
              <w:rPr>
                <w:rFonts w:hint="eastAsia" w:ascii="Times New Roman" w:hAnsi="Times New Roman" w:eastAsia="宋体" w:cs="Times New Roman"/>
                <w:color w:val="auto"/>
                <w:sz w:val="21"/>
                <w:szCs w:val="21"/>
                <w:highlight w:val="none"/>
                <w:lang w:eastAsia="zh-CN"/>
              </w:rPr>
              <w:t>，</w:t>
            </w:r>
            <w:r>
              <w:rPr>
                <w:rFonts w:hint="eastAsia" w:ascii="Times New Roman" w:eastAsia="宋体"/>
                <w:color w:val="auto"/>
                <w:kern w:val="2"/>
                <w:sz w:val="21"/>
                <w:szCs w:val="21"/>
                <w:highlight w:val="none"/>
                <w:lang w:val="en-US" w:eastAsia="zh-CN" w:bidi="ar-SA"/>
              </w:rPr>
              <w:t>为此本溪市已制定《本溪市</w:t>
            </w:r>
            <w:r>
              <w:rPr>
                <w:rFonts w:hint="eastAsia"/>
                <w:color w:val="auto"/>
                <w:kern w:val="2"/>
                <w:sz w:val="21"/>
                <w:szCs w:val="21"/>
                <w:highlight w:val="none"/>
                <w:lang w:val="en-US" w:eastAsia="zh-CN" w:bidi="ar-SA"/>
              </w:rPr>
              <w:t>环</w:t>
            </w:r>
            <w:r>
              <w:rPr>
                <w:rFonts w:hint="eastAsia" w:ascii="Times New Roman" w:eastAsia="宋体"/>
                <w:color w:val="auto"/>
                <w:kern w:val="2"/>
                <w:sz w:val="21"/>
                <w:szCs w:val="21"/>
                <w:highlight w:val="none"/>
                <w:lang w:val="en-US" w:eastAsia="zh-CN" w:bidi="ar-SA"/>
              </w:rPr>
              <w:t>境空气质量达标规划（2018年-2020年）》，</w:t>
            </w:r>
            <w:r>
              <w:rPr>
                <w:rFonts w:hint="eastAsia" w:eastAsia="宋体"/>
                <w:color w:val="auto"/>
                <w:kern w:val="2"/>
                <w:sz w:val="21"/>
                <w:szCs w:val="21"/>
                <w:highlight w:val="none"/>
                <w:lang w:val="en-US" w:eastAsia="zh-CN" w:bidi="ar-SA"/>
              </w:rPr>
              <w:t>采取推进清洁能源利用、淘汰燃煤小锅炉、加强扬尘精细化管理等相关措施，</w:t>
            </w:r>
            <w:r>
              <w:rPr>
                <w:rFonts w:hint="eastAsia" w:ascii="Times New Roman" w:eastAsia="宋体"/>
                <w:color w:val="auto"/>
                <w:kern w:val="2"/>
                <w:sz w:val="21"/>
                <w:szCs w:val="21"/>
                <w:highlight w:val="none"/>
                <w:lang w:val="en-US" w:eastAsia="zh-CN" w:bidi="ar-SA"/>
              </w:rPr>
              <w:t>在2020年底前实现空气质量6项主要污染物（二氧化硫、二氧化氮、可吸入颗粒物、细颗粒物、一氧化碳、臭氧）全面达标。</w:t>
            </w:r>
            <w:r>
              <w:rPr>
                <w:rFonts w:hint="eastAsia" w:ascii="Times New Roman" w:hAnsi="Times New Roman" w:eastAsia="宋体" w:cs="Times New Roman"/>
                <w:color w:val="auto"/>
                <w:sz w:val="21"/>
                <w:szCs w:val="21"/>
                <w:highlight w:val="none"/>
                <w:lang w:eastAsia="zh-CN"/>
              </w:rPr>
              <w:t>本项目废气、废水、噪声及固废均得到合理处置，采取污染防治措施后能够满足排放标准要求</w:t>
            </w:r>
            <w:r>
              <w:rPr>
                <w:rFonts w:hint="default" w:ascii="Times New Roman" w:hAnsi="Times New Roman" w:eastAsia="宋体" w:cs="Times New Roman"/>
                <w:color w:val="auto"/>
                <w:sz w:val="21"/>
                <w:szCs w:val="21"/>
                <w:highlight w:val="none"/>
                <w:lang w:eastAsia="zh-CN"/>
              </w:rPr>
              <w:t>，对周边环境影响较小</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eastAsia="zh-CN"/>
              </w:rPr>
              <w:t>综上所述，本项目满足环境质量底线要求。</w:t>
            </w:r>
          </w:p>
        </w:tc>
      </w:tr>
      <w:tr w14:paraId="37040B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10" w:type="dxa"/>
            <w:noWrap w:val="0"/>
            <w:vAlign w:val="center"/>
          </w:tcPr>
          <w:p w14:paraId="3D6E3C0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FF0000"/>
                <w:sz w:val="21"/>
                <w:szCs w:val="21"/>
                <w:highlight w:val="none"/>
              </w:rPr>
              <w:t>生态环境准入清单</w:t>
            </w:r>
          </w:p>
        </w:tc>
        <w:tc>
          <w:tcPr>
            <w:tcW w:w="4336" w:type="dxa"/>
            <w:noWrap w:val="0"/>
            <w:vAlign w:val="center"/>
          </w:tcPr>
          <w:p w14:paraId="7A028DA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目前项目选址区域暂无明确的环境准入负面清单</w:t>
            </w:r>
          </w:p>
        </w:tc>
        <w:tc>
          <w:tcPr>
            <w:tcW w:w="4140" w:type="dxa"/>
            <w:noWrap w:val="0"/>
            <w:vAlign w:val="center"/>
          </w:tcPr>
          <w:p w14:paraId="64540431">
            <w:pPr>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本项目废气经废气处理措施治理后，对周边环境影响较小，废水</w:t>
            </w:r>
            <w:r>
              <w:rPr>
                <w:rFonts w:hint="eastAsia" w:ascii="Times New Roman" w:hAnsi="Times New Roman" w:eastAsia="宋体" w:cs="Times New Roman"/>
                <w:color w:val="auto"/>
                <w:sz w:val="21"/>
                <w:szCs w:val="21"/>
                <w:highlight w:val="none"/>
                <w:lang w:eastAsia="zh-CN"/>
              </w:rPr>
              <w:t>经预处理后</w:t>
            </w:r>
            <w:r>
              <w:rPr>
                <w:rFonts w:hint="default" w:ascii="Times New Roman" w:hAnsi="Times New Roman" w:eastAsia="宋体" w:cs="Times New Roman"/>
                <w:color w:val="auto"/>
                <w:sz w:val="21"/>
                <w:szCs w:val="21"/>
                <w:highlight w:val="none"/>
              </w:rPr>
              <w:t>最终排入污水处理厂，</w:t>
            </w:r>
            <w:r>
              <w:rPr>
                <w:rFonts w:hint="eastAsia" w:ascii="Times New Roman" w:hAnsi="Times New Roman" w:eastAsia="宋体" w:cs="Times New Roman"/>
                <w:color w:val="auto"/>
                <w:sz w:val="21"/>
                <w:szCs w:val="21"/>
                <w:highlight w:val="none"/>
                <w:lang w:eastAsia="zh-CN"/>
              </w:rPr>
              <w:t>固体废物均得到合理处置，</w:t>
            </w:r>
            <w:r>
              <w:rPr>
                <w:rFonts w:hint="default" w:ascii="Times New Roman" w:hAnsi="Times New Roman" w:eastAsia="宋体" w:cs="Times New Roman"/>
                <w:color w:val="auto"/>
                <w:sz w:val="21"/>
                <w:szCs w:val="21"/>
                <w:highlight w:val="none"/>
              </w:rPr>
              <w:t>不属于高污染</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高能耗和资源型的产业类型</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对照《产业结构调整指导目录（201</w:t>
            </w:r>
            <w:r>
              <w:rPr>
                <w:rFonts w:hint="eastAsia" w:ascii="Times New Roman" w:hAnsi="Times New Roman" w:eastAsia="宋体" w:cs="Times New Roman"/>
                <w:color w:val="auto"/>
                <w:sz w:val="21"/>
                <w:szCs w:val="21"/>
                <w:highlight w:val="none"/>
                <w:lang w:val="en-US" w:eastAsia="zh-CN"/>
              </w:rPr>
              <w:t>9</w:t>
            </w:r>
            <w:r>
              <w:rPr>
                <w:rFonts w:hint="default" w:ascii="Times New Roman" w:hAnsi="Times New Roman" w:eastAsia="宋体" w:cs="Times New Roman"/>
                <w:color w:val="auto"/>
                <w:sz w:val="21"/>
                <w:szCs w:val="21"/>
                <w:highlight w:val="none"/>
              </w:rPr>
              <w:t>年本）》，</w:t>
            </w:r>
            <w:r>
              <w:rPr>
                <w:rFonts w:hint="eastAsia" w:ascii="Times New Roman" w:hAnsi="Times New Roman" w:eastAsia="宋体" w:cs="Times New Roman"/>
                <w:color w:val="auto"/>
                <w:sz w:val="21"/>
                <w:szCs w:val="21"/>
                <w:highlight w:val="none"/>
                <w:lang w:eastAsia="zh-CN"/>
              </w:rPr>
              <w:t>本项目属于</w:t>
            </w:r>
            <w:r>
              <w:rPr>
                <w:rFonts w:hint="default" w:ascii="Times New Roman" w:hAnsi="Times New Roman" w:eastAsia="宋体" w:cs="Times New Roman"/>
                <w:color w:val="auto"/>
                <w:sz w:val="21"/>
                <w:szCs w:val="21"/>
                <w:highlight w:val="none"/>
              </w:rPr>
              <w:t>鼓励类</w:t>
            </w:r>
            <w:r>
              <w:rPr>
                <w:rFonts w:hint="eastAsia" w:ascii="Times New Roman" w:hAnsi="Times New Roman" w:eastAsia="宋体" w:cs="Times New Roman"/>
                <w:color w:val="auto"/>
                <w:sz w:val="21"/>
                <w:szCs w:val="21"/>
                <w:highlight w:val="none"/>
                <w:lang w:eastAsia="zh-CN"/>
              </w:rPr>
              <w:t>项目。</w:t>
            </w:r>
            <w:r>
              <w:rPr>
                <w:rFonts w:hint="default" w:ascii="Times New Roman" w:hAnsi="Times New Roman" w:eastAsia="宋体" w:cs="Times New Roman"/>
                <w:color w:val="auto"/>
                <w:sz w:val="21"/>
                <w:szCs w:val="21"/>
                <w:highlight w:val="none"/>
              </w:rPr>
              <w:t>因此本项目应为环境准入允许类别</w:t>
            </w:r>
            <w:r>
              <w:rPr>
                <w:rFonts w:hint="eastAsia" w:ascii="Times New Roman" w:hAnsi="Times New Roman" w:eastAsia="宋体" w:cs="Times New Roman"/>
                <w:color w:val="auto"/>
                <w:sz w:val="21"/>
                <w:szCs w:val="21"/>
                <w:highlight w:val="none"/>
                <w:lang w:eastAsia="zh-CN"/>
              </w:rPr>
              <w:t>。</w:t>
            </w:r>
          </w:p>
        </w:tc>
      </w:tr>
    </w:tbl>
    <w:p w14:paraId="754EDF02">
      <w:pPr>
        <w:pStyle w:val="32"/>
        <w:keepNext w:val="0"/>
        <w:keepLines w:val="0"/>
        <w:pageBreakBefore w:val="0"/>
        <w:widowControl w:val="0"/>
        <w:kinsoku/>
        <w:wordWrap/>
        <w:overflowPunct/>
        <w:topLinePunct w:val="0"/>
        <w:autoSpaceDE/>
        <w:autoSpaceDN/>
        <w:bidi w:val="0"/>
        <w:adjustRightInd w:val="0"/>
        <w:snapToGrid w:val="0"/>
        <w:spacing w:line="360" w:lineRule="auto"/>
        <w:ind w:firstLine="0"/>
        <w:textAlignment w:val="auto"/>
        <w:outlineLvl w:val="9"/>
        <w:rPr>
          <w:rFonts w:hint="default"/>
          <w:color w:val="FF0000"/>
          <w:kern w:val="2"/>
          <w:sz w:val="24"/>
          <w:szCs w:val="24"/>
          <w:highlight w:val="none"/>
          <w:lang w:val="en-US" w:eastAsia="zh-CN" w:bidi="ar-SA"/>
        </w:rPr>
      </w:pPr>
      <w:r>
        <w:rPr>
          <w:rFonts w:hint="eastAsia" w:ascii="Times New Roman" w:hAnsi="Times New Roman" w:eastAsia="宋体" w:cs="Times New Roman"/>
          <w:b/>
          <w:bCs/>
          <w:color w:val="FF0000"/>
          <w:kern w:val="2"/>
          <w:sz w:val="24"/>
          <w:szCs w:val="24"/>
          <w:highlight w:val="none"/>
          <w:lang w:val="en-US" w:eastAsia="zh-CN" w:bidi="ar-SA"/>
        </w:rPr>
        <w:t>5.2</w:t>
      </w:r>
      <w:r>
        <w:rPr>
          <w:rFonts w:hint="eastAsia"/>
          <w:b/>
          <w:bCs/>
          <w:color w:val="FF0000"/>
          <w:kern w:val="2"/>
          <w:sz w:val="24"/>
          <w:szCs w:val="24"/>
          <w:highlight w:val="none"/>
          <w:lang w:val="en-US" w:eastAsia="zh-CN" w:bidi="ar-SA"/>
        </w:rPr>
        <w:t>“水十条”、“土十条”相符性分析</w:t>
      </w:r>
    </w:p>
    <w:p w14:paraId="5644A9DB">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color w:val="FF0000"/>
          <w:highlight w:val="none"/>
          <w:lang w:val="en-US" w:eastAsia="zh-CN"/>
        </w:rPr>
      </w:pPr>
      <w:bookmarkStart w:id="2" w:name="_Ref530407916"/>
      <w:r>
        <w:rPr>
          <w:rFonts w:hint="eastAsia" w:ascii="宋体" w:hAnsi="宋体" w:eastAsia="宋体" w:cs="宋体"/>
          <w:b/>
          <w:bCs/>
          <w:color w:val="FF0000"/>
          <w:sz w:val="21"/>
          <w:szCs w:val="21"/>
          <w:highlight w:val="none"/>
        </w:rPr>
        <w:t>表</w:t>
      </w:r>
      <w:bookmarkEnd w:id="2"/>
      <w:r>
        <w:rPr>
          <w:rFonts w:hint="eastAsia" w:ascii="宋体" w:hAnsi="宋体" w:eastAsia="宋体" w:cs="宋体"/>
          <w:b/>
          <w:bCs/>
          <w:color w:val="FF0000"/>
          <w:sz w:val="21"/>
          <w:szCs w:val="21"/>
          <w:highlight w:val="none"/>
          <w:lang w:val="en-US" w:eastAsia="zh-CN"/>
        </w:rPr>
        <w:t xml:space="preserve">2          </w:t>
      </w:r>
      <w:r>
        <w:rPr>
          <w:rFonts w:hint="eastAsia" w:ascii="宋体" w:hAnsi="宋体" w:cs="宋体"/>
          <w:b/>
          <w:bCs/>
          <w:color w:val="FF0000"/>
          <w:sz w:val="21"/>
          <w:szCs w:val="21"/>
          <w:highlight w:val="none"/>
          <w:lang w:val="en-US" w:eastAsia="zh-CN"/>
        </w:rPr>
        <w:t xml:space="preserve">      </w:t>
      </w:r>
      <w:r>
        <w:rPr>
          <w:rFonts w:hint="eastAsia" w:ascii="宋体" w:hAnsi="宋体" w:eastAsia="宋体" w:cs="宋体"/>
          <w:b/>
          <w:bCs/>
          <w:color w:val="FF0000"/>
          <w:sz w:val="21"/>
          <w:szCs w:val="21"/>
          <w:highlight w:val="none"/>
        </w:rPr>
        <w:t>项目与“水十条”及“土十条”符合性分析一览表</w:t>
      </w:r>
    </w:p>
    <w:tbl>
      <w:tblPr>
        <w:tblStyle w:val="24"/>
        <w:tblW w:w="92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fixed"/>
        <w:tblCellMar>
          <w:top w:w="0" w:type="dxa"/>
          <w:left w:w="108" w:type="dxa"/>
          <w:bottom w:w="0" w:type="dxa"/>
          <w:right w:w="108" w:type="dxa"/>
        </w:tblCellMar>
      </w:tblPr>
      <w:tblGrid>
        <w:gridCol w:w="1040"/>
        <w:gridCol w:w="5285"/>
        <w:gridCol w:w="2380"/>
        <w:gridCol w:w="581"/>
      </w:tblGrid>
      <w:tr w14:paraId="7268A938">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0" w:hRule="atLeast"/>
        </w:trPr>
        <w:tc>
          <w:tcPr>
            <w:tcW w:w="1040" w:type="dxa"/>
            <w:tcBorders>
              <w:tl2br w:val="nil"/>
              <w:tr2bl w:val="nil"/>
            </w:tcBorders>
            <w:noWrap w:val="0"/>
            <w:vAlign w:val="center"/>
          </w:tcPr>
          <w:p w14:paraId="55189726">
            <w:pPr>
              <w:pStyle w:val="3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分析内容</w:t>
            </w:r>
          </w:p>
        </w:tc>
        <w:tc>
          <w:tcPr>
            <w:tcW w:w="5285" w:type="dxa"/>
            <w:tcBorders>
              <w:tl2br w:val="nil"/>
              <w:tr2bl w:val="nil"/>
            </w:tcBorders>
            <w:noWrap w:val="0"/>
            <w:vAlign w:val="center"/>
          </w:tcPr>
          <w:p w14:paraId="72DA1FD8">
            <w:pPr>
              <w:pStyle w:val="3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要求</w:t>
            </w:r>
          </w:p>
        </w:tc>
        <w:tc>
          <w:tcPr>
            <w:tcW w:w="2380" w:type="dxa"/>
            <w:tcBorders>
              <w:tl2br w:val="nil"/>
              <w:tr2bl w:val="nil"/>
            </w:tcBorders>
            <w:noWrap w:val="0"/>
            <w:vAlign w:val="center"/>
          </w:tcPr>
          <w:p w14:paraId="30EBFFBD">
            <w:pPr>
              <w:pStyle w:val="3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本项目情况</w:t>
            </w:r>
          </w:p>
        </w:tc>
        <w:tc>
          <w:tcPr>
            <w:tcW w:w="581" w:type="dxa"/>
            <w:tcBorders>
              <w:tl2br w:val="nil"/>
              <w:tr2bl w:val="nil"/>
            </w:tcBorders>
            <w:noWrap w:val="0"/>
            <w:vAlign w:val="center"/>
          </w:tcPr>
          <w:p w14:paraId="327C5F61">
            <w:pPr>
              <w:pStyle w:val="3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结果</w:t>
            </w:r>
          </w:p>
        </w:tc>
      </w:tr>
      <w:tr w14:paraId="13B31C04">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0" w:hRule="atLeast"/>
        </w:trPr>
        <w:tc>
          <w:tcPr>
            <w:tcW w:w="1040" w:type="dxa"/>
            <w:vMerge w:val="restart"/>
            <w:tcBorders>
              <w:tl2br w:val="nil"/>
              <w:tr2bl w:val="nil"/>
            </w:tcBorders>
            <w:noWrap w:val="0"/>
            <w:vAlign w:val="center"/>
          </w:tcPr>
          <w:p w14:paraId="7B4B170A">
            <w:pPr>
              <w:pStyle w:val="3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《水污染防治行动计划》（国发〔2015〕17号）</w:t>
            </w:r>
          </w:p>
        </w:tc>
        <w:tc>
          <w:tcPr>
            <w:tcW w:w="5285" w:type="dxa"/>
            <w:tcBorders>
              <w:tl2br w:val="nil"/>
              <w:tr2bl w:val="nil"/>
            </w:tcBorders>
            <w:noWrap w:val="0"/>
            <w:vAlign w:val="center"/>
          </w:tcPr>
          <w:p w14:paraId="492C6B72">
            <w:pPr>
              <w:pStyle w:val="33"/>
              <w:jc w:val="left"/>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rPr>
              <w:t>（六）优化空间布局。合理确定发展布局、结构和规模。充分考虑水资源、水环境承载能力，以水定城、以水定地、以水定人、以水定产。</w:t>
            </w:r>
          </w:p>
        </w:tc>
        <w:tc>
          <w:tcPr>
            <w:tcW w:w="2380" w:type="dxa"/>
            <w:tcBorders>
              <w:tl2br w:val="nil"/>
              <w:tr2bl w:val="nil"/>
            </w:tcBorders>
            <w:noWrap w:val="0"/>
            <w:vAlign w:val="center"/>
          </w:tcPr>
          <w:p w14:paraId="3C6F1B36">
            <w:pPr>
              <w:pStyle w:val="33"/>
              <w:jc w:val="lef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本项目用水来自市政供水管网</w:t>
            </w:r>
          </w:p>
        </w:tc>
        <w:tc>
          <w:tcPr>
            <w:tcW w:w="581" w:type="dxa"/>
            <w:tcBorders>
              <w:tl2br w:val="nil"/>
              <w:tr2bl w:val="nil"/>
            </w:tcBorders>
            <w:noWrap w:val="0"/>
            <w:vAlign w:val="center"/>
          </w:tcPr>
          <w:p w14:paraId="0D6816FD">
            <w:pPr>
              <w:pStyle w:val="3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6095E978">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0" w:hRule="atLeast"/>
        </w:trPr>
        <w:tc>
          <w:tcPr>
            <w:tcW w:w="1040" w:type="dxa"/>
            <w:vMerge w:val="continue"/>
            <w:tcBorders>
              <w:tl2br w:val="nil"/>
              <w:tr2bl w:val="nil"/>
            </w:tcBorders>
            <w:noWrap w:val="0"/>
            <w:vAlign w:val="center"/>
          </w:tcPr>
          <w:p w14:paraId="2180C87F">
            <w:pPr>
              <w:pStyle w:val="33"/>
              <w:rPr>
                <w:rFonts w:hint="default" w:ascii="Times New Roman" w:hAnsi="Times New Roman" w:cs="Times New Roman"/>
                <w:color w:val="auto"/>
                <w:sz w:val="21"/>
                <w:szCs w:val="21"/>
                <w:highlight w:val="none"/>
              </w:rPr>
            </w:pPr>
          </w:p>
        </w:tc>
        <w:tc>
          <w:tcPr>
            <w:tcW w:w="5285" w:type="dxa"/>
            <w:tcBorders>
              <w:tl2br w:val="nil"/>
              <w:tr2bl w:val="nil"/>
            </w:tcBorders>
            <w:noWrap w:val="0"/>
            <w:vAlign w:val="center"/>
          </w:tcPr>
          <w:p w14:paraId="76BA9492">
            <w:pPr>
              <w:pStyle w:val="33"/>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（八）控制用水总量。实施最严格水资源管理。</w:t>
            </w:r>
          </w:p>
        </w:tc>
        <w:tc>
          <w:tcPr>
            <w:tcW w:w="2380" w:type="dxa"/>
            <w:tcBorders>
              <w:tl2br w:val="nil"/>
              <w:tr2bl w:val="nil"/>
            </w:tcBorders>
            <w:noWrap w:val="0"/>
            <w:vAlign w:val="center"/>
          </w:tcPr>
          <w:p w14:paraId="0928BB1A">
            <w:pPr>
              <w:pStyle w:val="33"/>
              <w:jc w:val="left"/>
              <w:rPr>
                <w:rFonts w:hint="default" w:ascii="Times New Roman" w:hAnsi="Times New Roman" w:cs="Times New Roman"/>
                <w:color w:val="auto"/>
                <w:sz w:val="21"/>
                <w:szCs w:val="21"/>
                <w:highlight w:val="none"/>
                <w:lang w:eastAsia="zh-CN"/>
              </w:rPr>
            </w:pPr>
            <w:r>
              <w:rPr>
                <w:rFonts w:hint="eastAsia" w:eastAsia="宋体"/>
                <w:color w:val="auto"/>
                <w:highlight w:val="none"/>
                <w:lang w:eastAsia="zh-CN"/>
              </w:rPr>
              <w:t>本项目</w:t>
            </w:r>
            <w:r>
              <w:rPr>
                <w:rFonts w:hint="eastAsia" w:eastAsia="宋体"/>
                <w:color w:val="auto"/>
                <w:highlight w:val="none"/>
              </w:rPr>
              <w:t>卫生洁具及用水设施均选用节水节能型</w:t>
            </w:r>
            <w:r>
              <w:rPr>
                <w:rFonts w:hint="default" w:ascii="Times New Roman" w:hAnsi="Times New Roman" w:cs="Times New Roman"/>
                <w:color w:val="auto"/>
                <w:sz w:val="21"/>
                <w:szCs w:val="21"/>
                <w:highlight w:val="none"/>
                <w:lang w:eastAsia="zh-CN"/>
              </w:rPr>
              <w:t>，降低用水量，用水来自市政供水管网，不过分占用水资源。</w:t>
            </w:r>
          </w:p>
        </w:tc>
        <w:tc>
          <w:tcPr>
            <w:tcW w:w="581" w:type="dxa"/>
            <w:tcBorders>
              <w:tl2br w:val="nil"/>
              <w:tr2bl w:val="nil"/>
            </w:tcBorders>
            <w:noWrap w:val="0"/>
            <w:vAlign w:val="center"/>
          </w:tcPr>
          <w:p w14:paraId="23AF8191">
            <w:pPr>
              <w:pStyle w:val="33"/>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符合</w:t>
            </w:r>
          </w:p>
        </w:tc>
      </w:tr>
      <w:tr w14:paraId="0DFF5865">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574" w:hRule="atLeast"/>
        </w:trPr>
        <w:tc>
          <w:tcPr>
            <w:tcW w:w="1040" w:type="dxa"/>
            <w:vMerge w:val="restart"/>
            <w:tcBorders>
              <w:tl2br w:val="nil"/>
              <w:tr2bl w:val="nil"/>
            </w:tcBorders>
            <w:noWrap w:val="0"/>
            <w:vAlign w:val="center"/>
          </w:tcPr>
          <w:p w14:paraId="354168C9">
            <w:pPr>
              <w:pStyle w:val="3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《土壤污染防治行动计划》（国发〔2016〕31号）</w:t>
            </w:r>
            <w:r>
              <w:rPr>
                <w:rFonts w:hint="default" w:ascii="Times New Roman" w:hAnsi="Times New Roman" w:cs="Times New Roman"/>
                <w:color w:val="auto"/>
                <w:sz w:val="21"/>
                <w:szCs w:val="21"/>
                <w:highlight w:val="none"/>
              </w:rPr>
              <w:tab/>
            </w:r>
          </w:p>
        </w:tc>
        <w:tc>
          <w:tcPr>
            <w:tcW w:w="5285" w:type="dxa"/>
            <w:tcBorders>
              <w:tl2br w:val="nil"/>
              <w:tr2bl w:val="nil"/>
            </w:tcBorders>
            <w:noWrap w:val="0"/>
            <w:vAlign w:val="center"/>
          </w:tcPr>
          <w:p w14:paraId="0A105796">
            <w:pPr>
              <w:pStyle w:val="33"/>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四、实施建设用地准入管理，防范人居环境风险</w:t>
            </w:r>
          </w:p>
          <w:p w14:paraId="79197376">
            <w:pPr>
              <w:pStyle w:val="33"/>
              <w:ind w:firstLine="420" w:firstLineChars="20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十四）严格用地准入。将建设用地土壤环境管理要求纳入城市规划和供地管理，土地开发利用必须符合土壤环境质量要求。地方各级国土资源、城乡规划等部门在编制土地利用总体规划、城市总体规划、控制性详细规划等相关规划时，应充分考虑污染地块的环境风险，</w:t>
            </w:r>
          </w:p>
          <w:p w14:paraId="5C9ECC2B">
            <w:pPr>
              <w:pStyle w:val="33"/>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合理确定土地用途。</w:t>
            </w:r>
          </w:p>
        </w:tc>
        <w:tc>
          <w:tcPr>
            <w:tcW w:w="2380" w:type="dxa"/>
            <w:tcBorders>
              <w:tl2br w:val="nil"/>
              <w:tr2bl w:val="nil"/>
            </w:tcBorders>
            <w:noWrap w:val="0"/>
            <w:vAlign w:val="center"/>
          </w:tcPr>
          <w:p w14:paraId="4AE7A244">
            <w:pPr>
              <w:pStyle w:val="33"/>
              <w:jc w:val="left"/>
              <w:rPr>
                <w:rFonts w:hint="default" w:ascii="Times New Roman" w:hAnsi="Times New Roman" w:cs="Times New Roman"/>
                <w:color w:val="auto"/>
                <w:sz w:val="21"/>
                <w:szCs w:val="21"/>
                <w:highlight w:val="none"/>
                <w:lang w:eastAsia="zh-CN"/>
              </w:rPr>
            </w:pPr>
            <w:r>
              <w:rPr>
                <w:rFonts w:hint="eastAsia" w:cs="Times New Roman"/>
                <w:color w:val="auto"/>
                <w:sz w:val="21"/>
                <w:szCs w:val="21"/>
                <w:highlight w:val="none"/>
                <w:lang w:eastAsia="zh-CN"/>
              </w:rPr>
              <w:t>本项目为中医医院建设项目，</w:t>
            </w:r>
            <w:r>
              <w:rPr>
                <w:rFonts w:hint="eastAsia" w:cs="Times New Roman"/>
                <w:color w:val="auto"/>
                <w:sz w:val="21"/>
                <w:szCs w:val="21"/>
                <w:highlight w:val="none"/>
                <w:lang w:val="en-US" w:eastAsia="zh-CN"/>
              </w:rPr>
              <w:t>现有不动产登记证用途为其他商服用地</w:t>
            </w:r>
            <w:r>
              <w:rPr>
                <w:rFonts w:hint="default" w:cs="Times New Roman"/>
                <w:color w:val="auto"/>
                <w:sz w:val="21"/>
                <w:szCs w:val="21"/>
                <w:highlight w:val="none"/>
                <w:lang w:val="en-US" w:eastAsia="zh-CN"/>
              </w:rPr>
              <w:t>/</w:t>
            </w:r>
            <w:r>
              <w:rPr>
                <w:rFonts w:hint="eastAsia" w:cs="Times New Roman"/>
                <w:color w:val="auto"/>
                <w:sz w:val="21"/>
                <w:szCs w:val="21"/>
                <w:highlight w:val="none"/>
                <w:lang w:val="en-US" w:eastAsia="zh-CN"/>
              </w:rPr>
              <w:t>商业用房</w:t>
            </w:r>
            <w:r>
              <w:rPr>
                <w:rFonts w:hint="eastAsia" w:cs="Times New Roman"/>
                <w:color w:val="auto"/>
                <w:sz w:val="21"/>
                <w:szCs w:val="21"/>
                <w:highlight w:val="none"/>
                <w:lang w:eastAsia="zh-CN"/>
              </w:rPr>
              <w:t>，符合规划要求及</w:t>
            </w:r>
            <w:r>
              <w:rPr>
                <w:rFonts w:hint="default" w:ascii="Times New Roman" w:hAnsi="Times New Roman" w:cs="Times New Roman"/>
                <w:color w:val="auto"/>
                <w:sz w:val="21"/>
                <w:szCs w:val="21"/>
                <w:highlight w:val="none"/>
              </w:rPr>
              <w:t>土壤环境质量要求</w:t>
            </w:r>
          </w:p>
        </w:tc>
        <w:tc>
          <w:tcPr>
            <w:tcW w:w="581" w:type="dxa"/>
            <w:tcBorders>
              <w:tl2br w:val="nil"/>
              <w:tr2bl w:val="nil"/>
            </w:tcBorders>
            <w:noWrap w:val="0"/>
            <w:vAlign w:val="center"/>
          </w:tcPr>
          <w:p w14:paraId="190AA4ED">
            <w:pPr>
              <w:pStyle w:val="33"/>
              <w:jc w:val="lef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符合</w:t>
            </w:r>
          </w:p>
        </w:tc>
      </w:tr>
      <w:tr w14:paraId="3E546B74">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613" w:hRule="atLeast"/>
        </w:trPr>
        <w:tc>
          <w:tcPr>
            <w:tcW w:w="1040" w:type="dxa"/>
            <w:vMerge w:val="continue"/>
            <w:tcBorders>
              <w:tl2br w:val="nil"/>
              <w:tr2bl w:val="nil"/>
            </w:tcBorders>
            <w:noWrap w:val="0"/>
            <w:vAlign w:val="center"/>
          </w:tcPr>
          <w:p w14:paraId="4459AE59">
            <w:pPr>
              <w:pStyle w:val="33"/>
              <w:rPr>
                <w:rFonts w:hint="default" w:ascii="Times New Roman" w:hAnsi="Times New Roman" w:cs="Times New Roman"/>
                <w:color w:val="auto"/>
                <w:sz w:val="21"/>
                <w:szCs w:val="21"/>
                <w:highlight w:val="none"/>
              </w:rPr>
            </w:pPr>
          </w:p>
        </w:tc>
        <w:tc>
          <w:tcPr>
            <w:tcW w:w="5285" w:type="dxa"/>
            <w:tcBorders>
              <w:tl2br w:val="nil"/>
              <w:tr2bl w:val="nil"/>
            </w:tcBorders>
            <w:noWrap w:val="0"/>
            <w:vAlign w:val="center"/>
          </w:tcPr>
          <w:p w14:paraId="7EB1F6CD">
            <w:pPr>
              <w:pStyle w:val="33"/>
              <w:ind w:firstLine="420" w:firstLineChars="200"/>
              <w:jc w:val="left"/>
              <w:rPr>
                <w:rFonts w:hint="default" w:ascii="Times New Roman" w:hAnsi="Times New Roman" w:cs="Times New Roman"/>
                <w:color w:val="FF0000"/>
                <w:sz w:val="21"/>
                <w:szCs w:val="21"/>
                <w:highlight w:val="none"/>
              </w:rPr>
            </w:pPr>
            <w:r>
              <w:rPr>
                <w:rFonts w:hint="default" w:ascii="Times New Roman" w:hAnsi="Times New Roman" w:cs="Times New Roman"/>
                <w:color w:val="FF0000"/>
                <w:sz w:val="21"/>
                <w:szCs w:val="21"/>
                <w:highlight w:val="none"/>
              </w:rPr>
              <w:t>（十六）防范建设用地新增污染。排放重点污染物的建设项目，在开展环境影响评价时，要增加对土壤环境影响的评价内容，并提出防范土壤污染的具体措施；需要建设的土壤污染防治设施，要与主体工程同时设计、同时施工、同时投产使用；</w:t>
            </w:r>
          </w:p>
        </w:tc>
        <w:tc>
          <w:tcPr>
            <w:tcW w:w="2380" w:type="dxa"/>
            <w:tcBorders>
              <w:tl2br w:val="nil"/>
              <w:tr2bl w:val="nil"/>
            </w:tcBorders>
            <w:noWrap w:val="0"/>
            <w:vAlign w:val="center"/>
          </w:tcPr>
          <w:p w14:paraId="215B4052">
            <w:pPr>
              <w:pStyle w:val="33"/>
              <w:jc w:val="left"/>
              <w:rPr>
                <w:rFonts w:hint="eastAsia" w:cs="Times New Roman"/>
                <w:color w:val="FF0000"/>
                <w:sz w:val="21"/>
                <w:szCs w:val="21"/>
                <w:highlight w:val="none"/>
                <w:lang w:eastAsia="zh-CN"/>
              </w:rPr>
            </w:pPr>
            <w:r>
              <w:rPr>
                <w:rFonts w:hint="eastAsia" w:cs="Times New Roman"/>
                <w:color w:val="FF0000"/>
                <w:sz w:val="21"/>
                <w:szCs w:val="21"/>
                <w:highlight w:val="none"/>
                <w:lang w:eastAsia="zh-CN"/>
              </w:rPr>
              <w:t>本项目为中医医院建设项目，不排放重点污染物</w:t>
            </w:r>
          </w:p>
        </w:tc>
        <w:tc>
          <w:tcPr>
            <w:tcW w:w="581" w:type="dxa"/>
            <w:tcBorders>
              <w:tl2br w:val="nil"/>
              <w:tr2bl w:val="nil"/>
            </w:tcBorders>
            <w:noWrap w:val="0"/>
            <w:vAlign w:val="center"/>
          </w:tcPr>
          <w:p w14:paraId="2979E6D4">
            <w:pPr>
              <w:pStyle w:val="33"/>
              <w:jc w:val="left"/>
              <w:rPr>
                <w:rFonts w:hint="eastAsia" w:ascii="Times New Roman" w:hAnsi="Times New Roman" w:eastAsia="宋体" w:cs="Times New Roman"/>
                <w:color w:val="FF0000"/>
                <w:sz w:val="21"/>
                <w:szCs w:val="21"/>
                <w:highlight w:val="none"/>
                <w:lang w:eastAsia="zh-CN"/>
              </w:rPr>
            </w:pPr>
            <w:r>
              <w:rPr>
                <w:rFonts w:hint="eastAsia" w:cs="Times New Roman"/>
                <w:color w:val="FF0000"/>
                <w:sz w:val="21"/>
                <w:szCs w:val="21"/>
                <w:highlight w:val="none"/>
                <w:lang w:eastAsia="zh-CN"/>
              </w:rPr>
              <w:t>符合</w:t>
            </w:r>
          </w:p>
        </w:tc>
      </w:tr>
    </w:tbl>
    <w:p w14:paraId="10C4AAC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cs="Times New Roman"/>
          <w:b/>
          <w:bCs/>
          <w:color w:val="auto"/>
          <w:sz w:val="24"/>
          <w:szCs w:val="24"/>
          <w:highlight w:val="none"/>
          <w:lang w:val="en-US" w:eastAsia="zh-CN"/>
        </w:rPr>
      </w:pPr>
    </w:p>
    <w:p w14:paraId="65B72DA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auto"/>
        <w:rPr>
          <w:rFonts w:hint="default" w:ascii="Times New Roman" w:hAnsi="Times New Roman" w:cs="Times New Roman"/>
          <w:b/>
          <w:bCs/>
          <w:color w:val="auto"/>
          <w:sz w:val="28"/>
          <w:szCs w:val="28"/>
          <w:highlight w:val="none"/>
        </w:rPr>
      </w:pPr>
      <w:r>
        <w:rPr>
          <w:rFonts w:hint="eastAsia" w:cs="Times New Roman"/>
          <w:b/>
          <w:bCs/>
          <w:color w:val="auto"/>
          <w:sz w:val="28"/>
          <w:szCs w:val="28"/>
          <w:highlight w:val="none"/>
          <w:lang w:val="en-US" w:eastAsia="zh-CN"/>
        </w:rPr>
        <w:t>6</w:t>
      </w:r>
      <w:r>
        <w:rPr>
          <w:rFonts w:hint="default" w:ascii="Times New Roman" w:hAnsi="Times New Roman" w:cs="Times New Roman"/>
          <w:b/>
          <w:bCs/>
          <w:color w:val="auto"/>
          <w:sz w:val="28"/>
          <w:szCs w:val="28"/>
          <w:highlight w:val="none"/>
        </w:rPr>
        <w:t>.项目概况</w:t>
      </w:r>
    </w:p>
    <w:p w14:paraId="2FB298E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.1项目基本情况</w:t>
      </w:r>
    </w:p>
    <w:p w14:paraId="13BABD1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auto"/>
        <w:rPr>
          <w:rFonts w:hint="eastAsia" w:ascii="宋体" w:hAnsi="宋体" w:cs="宋体"/>
          <w:color w:val="auto"/>
          <w:sz w:val="24"/>
          <w:szCs w:val="24"/>
          <w:highlight w:val="none"/>
          <w:lang w:eastAsia="zh-CN"/>
        </w:rPr>
      </w:pP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.1.1项目名称：</w:t>
      </w:r>
      <w:r>
        <w:rPr>
          <w:rFonts w:hint="eastAsia" w:ascii="宋体" w:hAnsi="宋体" w:cs="宋体"/>
          <w:color w:val="auto"/>
          <w:sz w:val="24"/>
          <w:szCs w:val="24"/>
          <w:highlight w:val="none"/>
          <w:lang w:eastAsia="zh-CN"/>
        </w:rPr>
        <w:t>本溪谦和中医院建设项目</w:t>
      </w:r>
    </w:p>
    <w:p w14:paraId="3372338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.1.2项目性质：新建</w:t>
      </w:r>
    </w:p>
    <w:p w14:paraId="3AA2817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.1.3项目地址：</w:t>
      </w:r>
      <w:r>
        <w:rPr>
          <w:rFonts w:hint="eastAsia" w:cs="Times New Roman"/>
          <w:color w:val="auto"/>
          <w:kern w:val="2"/>
          <w:sz w:val="24"/>
          <w:szCs w:val="21"/>
          <w:highlight w:val="none"/>
          <w:lang w:val="en-US" w:eastAsia="zh-CN" w:bidi="ar-SA"/>
        </w:rPr>
        <w:t>本溪市溪湖区溪湖东路1栋1号</w:t>
      </w:r>
      <w:r>
        <w:rPr>
          <w:rFonts w:hint="eastAsia" w:ascii="Times New Roman" w:hAnsi="Times New Roman" w:cs="Times New Roman"/>
          <w:color w:val="auto"/>
          <w:sz w:val="24"/>
          <w:szCs w:val="24"/>
          <w:highlight w:val="none"/>
          <w:lang w:eastAsia="zh-CN"/>
        </w:rPr>
        <w:t>，地理位置详见附图</w:t>
      </w:r>
      <w:r>
        <w:rPr>
          <w:rFonts w:hint="eastAsia" w:ascii="Times New Roman" w:hAnsi="Times New Roman" w:cs="Times New Roman"/>
          <w:color w:val="auto"/>
          <w:sz w:val="24"/>
          <w:szCs w:val="24"/>
          <w:highlight w:val="none"/>
          <w:lang w:val="en-US" w:eastAsia="zh-CN"/>
        </w:rPr>
        <w:t>1。</w:t>
      </w:r>
    </w:p>
    <w:p w14:paraId="0411C5B5">
      <w:pPr>
        <w:adjustRightInd w:val="0"/>
        <w:snapToGrid w:val="0"/>
        <w:spacing w:line="360" w:lineRule="auto"/>
        <w:rPr>
          <w:rFonts w:hint="default" w:ascii="Times New Roman" w:hAnsi="Times New Roman" w:cs="Times New Roman"/>
          <w:b/>
          <w:bCs/>
          <w:color w:val="auto"/>
          <w:sz w:val="24"/>
          <w:szCs w:val="24"/>
          <w:highlight w:val="none"/>
        </w:rPr>
      </w:pP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.2项目内容及规模</w:t>
      </w:r>
    </w:p>
    <w:p w14:paraId="78C98A2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default" w:ascii="Times New Roman" w:hAnsi="Times New Roman" w:cs="Times New Roman"/>
          <w:color w:val="auto"/>
          <w:sz w:val="24"/>
          <w:szCs w:val="24"/>
          <w:highlight w:val="none"/>
        </w:rPr>
      </w:pPr>
      <w:r>
        <w:rPr>
          <w:rFonts w:hint="eastAsia" w:ascii="宋体" w:hAnsi="宋体" w:cs="宋体"/>
          <w:color w:val="auto"/>
          <w:sz w:val="24"/>
          <w:szCs w:val="24"/>
          <w:highlight w:val="none"/>
          <w:lang w:eastAsia="zh-CN"/>
        </w:rPr>
        <w:t>本溪谦和中医院建设项目</w:t>
      </w:r>
      <w:r>
        <w:rPr>
          <w:rFonts w:hint="default" w:ascii="Times New Roman" w:hAnsi="Times New Roman" w:cs="Times New Roman"/>
          <w:color w:val="auto"/>
          <w:sz w:val="24"/>
          <w:szCs w:val="24"/>
          <w:highlight w:val="none"/>
        </w:rPr>
        <w:t>位于</w:t>
      </w:r>
      <w:r>
        <w:rPr>
          <w:rFonts w:hint="eastAsia" w:cs="Times New Roman"/>
          <w:color w:val="auto"/>
          <w:kern w:val="2"/>
          <w:sz w:val="24"/>
          <w:szCs w:val="21"/>
          <w:highlight w:val="none"/>
          <w:lang w:val="en-US" w:eastAsia="zh-CN" w:bidi="ar-SA"/>
        </w:rPr>
        <w:t>本溪市溪湖区溪湖东路1栋1号</w:t>
      </w:r>
      <w:r>
        <w:rPr>
          <w:rFonts w:hint="default" w:ascii="Times New Roman" w:hAnsi="Times New Roman" w:cs="Times New Roman"/>
          <w:color w:val="auto"/>
          <w:sz w:val="24"/>
          <w:szCs w:val="24"/>
          <w:highlight w:val="none"/>
        </w:rPr>
        <w:t>，项目总投资</w:t>
      </w:r>
      <w:r>
        <w:rPr>
          <w:rFonts w:hint="eastAsia" w:cs="Times New Roman"/>
          <w:color w:val="auto"/>
          <w:sz w:val="24"/>
          <w:szCs w:val="24"/>
          <w:highlight w:val="none"/>
          <w:lang w:val="en-US" w:eastAsia="zh-CN"/>
        </w:rPr>
        <w:t>2000</w:t>
      </w:r>
      <w:r>
        <w:rPr>
          <w:rFonts w:hint="default" w:ascii="Times New Roman" w:hAnsi="Times New Roman" w:cs="Times New Roman"/>
          <w:color w:val="auto"/>
          <w:sz w:val="24"/>
          <w:szCs w:val="24"/>
          <w:highlight w:val="none"/>
        </w:rPr>
        <w:t>万元，占地面积</w:t>
      </w:r>
      <w:r>
        <w:rPr>
          <w:rFonts w:hint="eastAsia" w:cs="Times New Roman"/>
          <w:color w:val="auto"/>
          <w:sz w:val="24"/>
          <w:szCs w:val="24"/>
          <w:highlight w:val="none"/>
          <w:lang w:val="en-US" w:eastAsia="zh-CN"/>
        </w:rPr>
        <w:t>900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，建筑面积</w:t>
      </w:r>
      <w:r>
        <w:rPr>
          <w:rFonts w:hint="eastAsia" w:cs="Times New Roman"/>
          <w:color w:val="auto"/>
          <w:sz w:val="24"/>
          <w:szCs w:val="24"/>
          <w:highlight w:val="none"/>
          <w:lang w:val="en-US" w:eastAsia="zh-CN"/>
        </w:rPr>
        <w:t>2700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rPr>
        <w:t>本项目拟</w:t>
      </w:r>
      <w:r>
        <w:rPr>
          <w:rFonts w:hint="eastAsia" w:cs="Times New Roman"/>
          <w:color w:val="auto"/>
          <w:sz w:val="24"/>
          <w:szCs w:val="24"/>
          <w:highlight w:val="none"/>
          <w:lang w:eastAsia="zh-CN"/>
        </w:rPr>
        <w:t>依托现有本溪大楼</w:t>
      </w:r>
      <w:r>
        <w:rPr>
          <w:rFonts w:hint="eastAsia" w:cs="Times New Roman"/>
          <w:color w:val="auto"/>
          <w:sz w:val="24"/>
          <w:szCs w:val="24"/>
          <w:highlight w:val="none"/>
          <w:lang w:val="en-US" w:eastAsia="zh-CN"/>
        </w:rPr>
        <w:t>3-5层进行建设</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eastAsia="zh-CN"/>
        </w:rPr>
        <w:t>主要包括</w:t>
      </w:r>
      <w:r>
        <w:rPr>
          <w:rFonts w:hint="eastAsia" w:cs="Times New Roman"/>
          <w:color w:val="auto"/>
          <w:sz w:val="24"/>
          <w:szCs w:val="24"/>
          <w:highlight w:val="none"/>
          <w:lang w:eastAsia="zh-CN"/>
        </w:rPr>
        <w:t>中医内科、中医外科、中医妇科、骨伤科、老年病科、针灸科、推拿科及病房等诊疗科目</w:t>
      </w:r>
      <w:r>
        <w:rPr>
          <w:rFonts w:hint="eastAsia"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rPr>
        <w:t>具体建设内容及</w:t>
      </w:r>
      <w:r>
        <w:rPr>
          <w:rFonts w:hint="eastAsia" w:ascii="Times New Roman" w:hAnsi="Times New Roman" w:cs="Times New Roman"/>
          <w:color w:val="auto"/>
          <w:sz w:val="24"/>
          <w:szCs w:val="24"/>
          <w:highlight w:val="none"/>
          <w:lang w:eastAsia="zh-CN"/>
        </w:rPr>
        <w:t>各楼层使用功能</w:t>
      </w:r>
      <w:r>
        <w:rPr>
          <w:rFonts w:hint="default" w:ascii="Times New Roman" w:hAnsi="Times New Roman" w:cs="Times New Roman"/>
          <w:color w:val="auto"/>
          <w:sz w:val="24"/>
          <w:szCs w:val="24"/>
          <w:highlight w:val="none"/>
        </w:rPr>
        <w:t>见表</w:t>
      </w:r>
      <w:r>
        <w:rPr>
          <w:rFonts w:hint="eastAsia" w:cs="Times New Roman"/>
          <w:color w:val="auto"/>
          <w:sz w:val="24"/>
          <w:szCs w:val="24"/>
          <w:highlight w:val="none"/>
          <w:lang w:val="en-US" w:eastAsia="zh-CN"/>
        </w:rPr>
        <w:t>3</w:t>
      </w:r>
      <w:r>
        <w:rPr>
          <w:rFonts w:hint="eastAsia" w:ascii="Times New Roman" w:hAnsi="Times New Roman" w:cs="Times New Roman"/>
          <w:color w:val="auto"/>
          <w:sz w:val="24"/>
          <w:szCs w:val="24"/>
          <w:highlight w:val="none"/>
          <w:lang w:eastAsia="zh-CN"/>
        </w:rPr>
        <w:t>和表</w:t>
      </w:r>
      <w:r>
        <w:rPr>
          <w:rFonts w:hint="eastAsia"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w:t>
      </w:r>
    </w:p>
    <w:p w14:paraId="671EE638">
      <w:pPr>
        <w:adjustRightInd w:val="0"/>
        <w:snapToGrid w:val="0"/>
        <w:spacing w:line="360" w:lineRule="auto"/>
        <w:jc w:val="both"/>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w:t>
      </w:r>
      <w:r>
        <w:rPr>
          <w:rFonts w:hint="eastAsia" w:cs="Times New Roman"/>
          <w:b/>
          <w:bCs/>
          <w:color w:val="auto"/>
          <w:highlight w:val="none"/>
          <w:lang w:val="en-US" w:eastAsia="zh-CN"/>
        </w:rPr>
        <w:t xml:space="preserve">3                              </w:t>
      </w:r>
      <w:r>
        <w:rPr>
          <w:rFonts w:hint="default" w:ascii="Times New Roman" w:hAnsi="Times New Roman" w:cs="Times New Roman"/>
          <w:b/>
          <w:bCs/>
          <w:color w:val="auto"/>
          <w:highlight w:val="none"/>
        </w:rPr>
        <w:t>工程建设内容一览表</w:t>
      </w:r>
    </w:p>
    <w:tbl>
      <w:tblPr>
        <w:tblStyle w:val="24"/>
        <w:tblW w:w="928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797"/>
        <w:gridCol w:w="1196"/>
        <w:gridCol w:w="5703"/>
      </w:tblGrid>
      <w:tr w14:paraId="5E66D8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590" w:type="dxa"/>
            <w:tcBorders>
              <w:top w:val="single" w:color="auto" w:sz="12" w:space="0"/>
            </w:tcBorders>
            <w:vAlign w:val="center"/>
          </w:tcPr>
          <w:p w14:paraId="0F60F610">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工程类别</w:t>
            </w:r>
          </w:p>
        </w:tc>
        <w:tc>
          <w:tcPr>
            <w:tcW w:w="797" w:type="dxa"/>
            <w:tcBorders>
              <w:top w:val="single" w:color="auto" w:sz="12" w:space="0"/>
            </w:tcBorders>
            <w:vAlign w:val="center"/>
          </w:tcPr>
          <w:p w14:paraId="37F0756F">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1196" w:type="dxa"/>
            <w:tcBorders>
              <w:top w:val="single" w:color="auto" w:sz="12" w:space="0"/>
            </w:tcBorders>
            <w:vAlign w:val="center"/>
          </w:tcPr>
          <w:p w14:paraId="49245DBE">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项目</w:t>
            </w:r>
          </w:p>
        </w:tc>
        <w:tc>
          <w:tcPr>
            <w:tcW w:w="5703" w:type="dxa"/>
            <w:tcBorders>
              <w:top w:val="single" w:color="auto" w:sz="12" w:space="0"/>
            </w:tcBorders>
            <w:vAlign w:val="center"/>
          </w:tcPr>
          <w:p w14:paraId="41143632">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工程内容</w:t>
            </w:r>
          </w:p>
        </w:tc>
      </w:tr>
      <w:tr w14:paraId="1F0A00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590" w:type="dxa"/>
            <w:vAlign w:val="center"/>
          </w:tcPr>
          <w:p w14:paraId="717F8A38">
            <w:pPr>
              <w:pStyle w:val="34"/>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主体工程</w:t>
            </w:r>
          </w:p>
        </w:tc>
        <w:tc>
          <w:tcPr>
            <w:tcW w:w="797" w:type="dxa"/>
            <w:vAlign w:val="center"/>
          </w:tcPr>
          <w:p w14:paraId="4D158CF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1196" w:type="dxa"/>
            <w:vAlign w:val="center"/>
          </w:tcPr>
          <w:p w14:paraId="1D125E52">
            <w:pPr>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医院大楼</w:t>
            </w:r>
          </w:p>
        </w:tc>
        <w:tc>
          <w:tcPr>
            <w:tcW w:w="5703" w:type="dxa"/>
            <w:vAlign w:val="center"/>
          </w:tcPr>
          <w:p w14:paraId="5898B3D0">
            <w:pPr>
              <w:ind w:firstLine="420" w:firstLineChars="200"/>
              <w:jc w:val="both"/>
              <w:rPr>
                <w:rFonts w:hint="default" w:ascii="Times New Roman" w:hAnsi="Times New Roman" w:cs="Times New Roman"/>
                <w:color w:val="auto"/>
                <w:sz w:val="21"/>
                <w:szCs w:val="21"/>
                <w:highlight w:val="none"/>
              </w:rPr>
            </w:pPr>
            <w:r>
              <w:rPr>
                <w:rFonts w:hint="eastAsia"/>
                <w:color w:val="auto"/>
                <w:sz w:val="21"/>
                <w:szCs w:val="21"/>
                <w:highlight w:val="none"/>
                <w:lang w:eastAsia="zh-CN"/>
              </w:rPr>
              <w:t>依托现有本溪大楼</w:t>
            </w:r>
            <w:r>
              <w:rPr>
                <w:rFonts w:hint="eastAsia"/>
                <w:color w:val="auto"/>
                <w:sz w:val="21"/>
                <w:szCs w:val="21"/>
                <w:highlight w:val="none"/>
                <w:lang w:val="en-US" w:eastAsia="zh-CN"/>
              </w:rPr>
              <w:t>3-5层</w:t>
            </w:r>
            <w:r>
              <w:rPr>
                <w:rFonts w:hint="eastAsia"/>
                <w:color w:val="auto"/>
                <w:sz w:val="21"/>
                <w:szCs w:val="21"/>
                <w:highlight w:val="none"/>
                <w:lang w:eastAsia="zh-CN"/>
              </w:rPr>
              <w:t>进行建设，</w:t>
            </w:r>
            <w:r>
              <w:rPr>
                <w:rFonts w:hint="default" w:ascii="Times New Roman" w:hAnsi="Times New Roman" w:cs="Times New Roman"/>
                <w:color w:val="auto"/>
                <w:sz w:val="21"/>
                <w:szCs w:val="21"/>
                <w:highlight w:val="none"/>
              </w:rPr>
              <w:t>共</w:t>
            </w: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层</w:t>
            </w:r>
            <w:r>
              <w:rPr>
                <w:rFonts w:hint="eastAsia" w:cs="Times New Roman"/>
                <w:color w:val="auto"/>
                <w:sz w:val="21"/>
                <w:szCs w:val="21"/>
                <w:highlight w:val="none"/>
                <w:lang w:eastAsia="zh-CN"/>
              </w:rPr>
              <w:t>，总建筑面积</w:t>
            </w:r>
            <w:r>
              <w:rPr>
                <w:rFonts w:hint="eastAsia" w:cs="Times New Roman"/>
                <w:color w:val="auto"/>
                <w:sz w:val="21"/>
                <w:szCs w:val="21"/>
                <w:highlight w:val="none"/>
                <w:lang w:val="en-US" w:eastAsia="zh-CN"/>
              </w:rPr>
              <w:t>2700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2</w:t>
            </w:r>
            <w:r>
              <w:rPr>
                <w:rFonts w:hint="eastAsia" w:ascii="Times New Roman" w:hAnsi="Times New Roman" w:cs="Times New Roman"/>
                <w:color w:val="auto"/>
                <w:sz w:val="21"/>
                <w:szCs w:val="21"/>
                <w:highlight w:val="none"/>
                <w:vertAlign w:val="baseline"/>
                <w:lang w:eastAsia="zh-CN"/>
              </w:rPr>
              <w:t>，</w:t>
            </w:r>
            <w:r>
              <w:rPr>
                <w:rFonts w:hint="eastAsia" w:ascii="Times New Roman" w:hAnsi="Times New Roman" w:cs="Times New Roman"/>
                <w:color w:val="auto"/>
                <w:sz w:val="21"/>
                <w:szCs w:val="21"/>
                <w:highlight w:val="none"/>
                <w:lang w:eastAsia="zh-CN"/>
              </w:rPr>
              <w:t>诊疗科目主要包括</w:t>
            </w:r>
            <w:r>
              <w:rPr>
                <w:rFonts w:hint="eastAsia" w:cs="Times New Roman"/>
                <w:color w:val="auto"/>
                <w:sz w:val="21"/>
                <w:szCs w:val="21"/>
                <w:highlight w:val="none"/>
                <w:lang w:eastAsia="zh-CN"/>
              </w:rPr>
              <w:t>中医内科、中医外科、中医妇科、骨伤科、老年病科、针灸科、推拿科及病房，</w:t>
            </w:r>
            <w:r>
              <w:rPr>
                <w:rFonts w:hint="default" w:ascii="Times New Roman" w:hAnsi="Times New Roman" w:cs="Times New Roman"/>
                <w:color w:val="auto"/>
                <w:sz w:val="21"/>
                <w:szCs w:val="21"/>
                <w:highlight w:val="none"/>
                <w:lang w:eastAsia="zh-CN"/>
              </w:rPr>
              <w:t>设置</w:t>
            </w:r>
            <w:r>
              <w:rPr>
                <w:rFonts w:hint="eastAsia" w:cs="Times New Roman"/>
                <w:color w:val="auto"/>
                <w:sz w:val="21"/>
                <w:szCs w:val="21"/>
                <w:highlight w:val="none"/>
                <w:lang w:eastAsia="zh-CN"/>
              </w:rPr>
              <w:t>床位</w:t>
            </w:r>
            <w:r>
              <w:rPr>
                <w:rFonts w:hint="eastAsia" w:cs="Times New Roman"/>
                <w:color w:val="auto"/>
                <w:sz w:val="21"/>
                <w:szCs w:val="21"/>
                <w:highlight w:val="none"/>
                <w:lang w:val="en-US" w:eastAsia="zh-CN"/>
              </w:rPr>
              <w:t>80张。</w:t>
            </w:r>
          </w:p>
        </w:tc>
      </w:tr>
      <w:tr w14:paraId="515055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590" w:type="dxa"/>
            <w:vMerge w:val="restart"/>
            <w:vAlign w:val="center"/>
          </w:tcPr>
          <w:p w14:paraId="7536373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公用工程</w:t>
            </w:r>
          </w:p>
        </w:tc>
        <w:tc>
          <w:tcPr>
            <w:tcW w:w="797" w:type="dxa"/>
            <w:vAlign w:val="center"/>
          </w:tcPr>
          <w:p w14:paraId="499FCBF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1196" w:type="dxa"/>
            <w:vAlign w:val="center"/>
          </w:tcPr>
          <w:p w14:paraId="6CD251C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给水系统</w:t>
            </w:r>
          </w:p>
        </w:tc>
        <w:tc>
          <w:tcPr>
            <w:tcW w:w="5703" w:type="dxa"/>
            <w:vAlign w:val="center"/>
          </w:tcPr>
          <w:p w14:paraId="295C8D75">
            <w:pPr>
              <w:jc w:val="center"/>
              <w:rPr>
                <w:rFonts w:hint="default" w:ascii="Times New Roman" w:hAnsi="Times New Roman" w:cs="Times New Roman"/>
                <w:color w:val="auto"/>
                <w:sz w:val="21"/>
                <w:szCs w:val="21"/>
                <w:highlight w:val="none"/>
              </w:rPr>
            </w:pPr>
            <w:r>
              <w:rPr>
                <w:rFonts w:hint="eastAsia" w:ascii="宋体" w:hAnsi="宋体" w:cs="SimSun-Identity-H"/>
                <w:color w:val="auto"/>
                <w:kern w:val="0"/>
                <w:szCs w:val="28"/>
                <w:highlight w:val="none"/>
              </w:rPr>
              <w:t>供水水源为市政供水管网</w:t>
            </w:r>
          </w:p>
        </w:tc>
      </w:tr>
      <w:tr w14:paraId="7A107B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590" w:type="dxa"/>
            <w:vMerge w:val="continue"/>
            <w:vAlign w:val="center"/>
          </w:tcPr>
          <w:p w14:paraId="715F6943">
            <w:pPr>
              <w:jc w:val="center"/>
              <w:rPr>
                <w:rFonts w:hint="default" w:ascii="Times New Roman" w:hAnsi="Times New Roman" w:cs="Times New Roman"/>
                <w:color w:val="auto"/>
                <w:sz w:val="21"/>
                <w:szCs w:val="21"/>
                <w:highlight w:val="none"/>
              </w:rPr>
            </w:pPr>
          </w:p>
        </w:tc>
        <w:tc>
          <w:tcPr>
            <w:tcW w:w="797" w:type="dxa"/>
            <w:vAlign w:val="center"/>
          </w:tcPr>
          <w:p w14:paraId="047EE0B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1196" w:type="dxa"/>
            <w:vAlign w:val="center"/>
          </w:tcPr>
          <w:p w14:paraId="2EAF787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排水系统</w:t>
            </w:r>
          </w:p>
        </w:tc>
        <w:tc>
          <w:tcPr>
            <w:tcW w:w="5703" w:type="dxa"/>
            <w:vAlign w:val="center"/>
          </w:tcPr>
          <w:p w14:paraId="2637DC90">
            <w:pPr>
              <w:pStyle w:val="35"/>
              <w:keepNext w:val="0"/>
              <w:keepLines w:val="0"/>
              <w:pageBreakBefore w:val="0"/>
              <w:widowControl/>
              <w:kinsoku/>
              <w:wordWrap/>
              <w:overflowPunct/>
              <w:topLinePunct w:val="0"/>
              <w:autoSpaceDE/>
              <w:autoSpaceDN/>
              <w:bidi w:val="0"/>
              <w:adjustRightInd w:val="0"/>
              <w:snapToGrid w:val="0"/>
              <w:spacing w:line="240" w:lineRule="auto"/>
              <w:textAlignment w:val="auto"/>
              <w:outlineLvl w:val="9"/>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医疗废水经污水处理站处理后排入</w:t>
            </w:r>
            <w:r>
              <w:rPr>
                <w:rFonts w:hint="default" w:ascii="Times New Roman" w:hAnsi="Times New Roman" w:cs="Times New Roman"/>
                <w:color w:val="auto"/>
                <w:sz w:val="21"/>
                <w:szCs w:val="21"/>
                <w:highlight w:val="none"/>
              </w:rPr>
              <w:t>市政下水管网</w:t>
            </w:r>
            <w:r>
              <w:rPr>
                <w:rFonts w:hint="eastAsia" w:ascii="Times New Roman" w:hAnsi="Times New Roman" w:cs="Times New Roman"/>
                <w:color w:val="auto"/>
                <w:sz w:val="21"/>
                <w:szCs w:val="21"/>
                <w:highlight w:val="none"/>
                <w:lang w:eastAsia="zh-CN"/>
              </w:rPr>
              <w:t>，生活污水排入小区内设化粪池处理后排入</w:t>
            </w:r>
            <w:r>
              <w:rPr>
                <w:rFonts w:hint="default" w:ascii="Times New Roman" w:hAnsi="Times New Roman" w:cs="Times New Roman"/>
                <w:color w:val="auto"/>
                <w:sz w:val="21"/>
                <w:szCs w:val="21"/>
                <w:highlight w:val="none"/>
              </w:rPr>
              <w:t>市政下水管网</w:t>
            </w:r>
            <w:r>
              <w:rPr>
                <w:rFonts w:hint="eastAsia" w:ascii="Times New Roman" w:hAnsi="Times New Roman" w:cs="Times New Roman"/>
                <w:color w:val="auto"/>
                <w:sz w:val="21"/>
                <w:szCs w:val="21"/>
                <w:highlight w:val="none"/>
                <w:lang w:eastAsia="zh-CN"/>
              </w:rPr>
              <w:t>。</w:t>
            </w:r>
          </w:p>
        </w:tc>
      </w:tr>
      <w:tr w14:paraId="49A7E9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590" w:type="dxa"/>
            <w:vMerge w:val="continue"/>
            <w:vAlign w:val="center"/>
          </w:tcPr>
          <w:p w14:paraId="1F38C899">
            <w:pPr>
              <w:jc w:val="center"/>
              <w:rPr>
                <w:rFonts w:hint="default" w:ascii="Times New Roman" w:hAnsi="Times New Roman" w:cs="Times New Roman"/>
                <w:color w:val="auto"/>
                <w:sz w:val="21"/>
                <w:szCs w:val="21"/>
                <w:highlight w:val="none"/>
              </w:rPr>
            </w:pPr>
          </w:p>
        </w:tc>
        <w:tc>
          <w:tcPr>
            <w:tcW w:w="797" w:type="dxa"/>
            <w:vAlign w:val="center"/>
          </w:tcPr>
          <w:p w14:paraId="5459EC2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196" w:type="dxa"/>
            <w:vAlign w:val="center"/>
          </w:tcPr>
          <w:p w14:paraId="4BB07FE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供电系统</w:t>
            </w:r>
          </w:p>
        </w:tc>
        <w:tc>
          <w:tcPr>
            <w:tcW w:w="5703" w:type="dxa"/>
            <w:vAlign w:val="center"/>
          </w:tcPr>
          <w:p w14:paraId="11D4EAB7">
            <w:pPr>
              <w:jc w:val="center"/>
              <w:rPr>
                <w:rFonts w:hint="default" w:ascii="Times New Roman" w:hAnsi="Times New Roman" w:cs="Times New Roman"/>
                <w:color w:val="auto"/>
                <w:sz w:val="21"/>
                <w:szCs w:val="21"/>
                <w:highlight w:val="none"/>
              </w:rPr>
            </w:pPr>
            <w:r>
              <w:rPr>
                <w:rFonts w:ascii="Times New Roman" w:hAnsi="Times New Roman"/>
                <w:color w:val="auto"/>
                <w:sz w:val="21"/>
                <w:szCs w:val="21"/>
                <w:highlight w:val="none"/>
              </w:rPr>
              <w:t>由</w:t>
            </w:r>
            <w:r>
              <w:rPr>
                <w:rFonts w:hint="eastAsia"/>
                <w:color w:val="auto"/>
                <w:sz w:val="21"/>
                <w:szCs w:val="21"/>
                <w:highlight w:val="none"/>
                <w:lang w:eastAsia="zh-CN"/>
              </w:rPr>
              <w:t>市政</w:t>
            </w:r>
            <w:r>
              <w:rPr>
                <w:rFonts w:ascii="Times New Roman" w:hAnsi="Times New Roman"/>
                <w:color w:val="auto"/>
                <w:sz w:val="21"/>
                <w:szCs w:val="21"/>
                <w:highlight w:val="none"/>
              </w:rPr>
              <w:t>电网供应</w:t>
            </w:r>
          </w:p>
        </w:tc>
      </w:tr>
      <w:tr w14:paraId="047D46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590" w:type="dxa"/>
            <w:vMerge w:val="continue"/>
            <w:vAlign w:val="center"/>
          </w:tcPr>
          <w:p w14:paraId="30B400BA">
            <w:pPr>
              <w:jc w:val="center"/>
              <w:rPr>
                <w:rFonts w:hint="default" w:ascii="Times New Roman" w:hAnsi="Times New Roman" w:cs="Times New Roman"/>
                <w:color w:val="auto"/>
                <w:sz w:val="21"/>
                <w:szCs w:val="21"/>
                <w:highlight w:val="none"/>
              </w:rPr>
            </w:pPr>
          </w:p>
        </w:tc>
        <w:tc>
          <w:tcPr>
            <w:tcW w:w="797" w:type="dxa"/>
            <w:vAlign w:val="center"/>
          </w:tcPr>
          <w:p w14:paraId="5BE2134F">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p>
        </w:tc>
        <w:tc>
          <w:tcPr>
            <w:tcW w:w="1196" w:type="dxa"/>
            <w:vAlign w:val="center"/>
          </w:tcPr>
          <w:p w14:paraId="5636B75E">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供暖系统</w:t>
            </w:r>
          </w:p>
        </w:tc>
        <w:tc>
          <w:tcPr>
            <w:tcW w:w="5703" w:type="dxa"/>
            <w:vAlign w:val="center"/>
          </w:tcPr>
          <w:p w14:paraId="122A4C8B">
            <w:pPr>
              <w:jc w:val="center"/>
              <w:rPr>
                <w:rFonts w:hint="eastAsia" w:ascii="Times New Roman" w:hAnsi="Times New Roman" w:eastAsia="宋体" w:cs="Times New Roman"/>
                <w:color w:val="auto"/>
                <w:sz w:val="21"/>
                <w:szCs w:val="21"/>
                <w:highlight w:val="none"/>
                <w:lang w:eastAsia="zh-CN"/>
              </w:rPr>
            </w:pPr>
            <w:r>
              <w:rPr>
                <w:rFonts w:hint="eastAsia" w:ascii="宋体" w:hAnsi="宋体" w:cs="SimSun-Identity-H"/>
                <w:color w:val="auto"/>
                <w:kern w:val="0"/>
                <w:szCs w:val="28"/>
                <w:highlight w:val="none"/>
                <w:lang w:eastAsia="zh-CN"/>
              </w:rPr>
              <w:t>采用电取暖</w:t>
            </w:r>
          </w:p>
        </w:tc>
      </w:tr>
      <w:tr w14:paraId="74D963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590" w:type="dxa"/>
            <w:vMerge w:val="continue"/>
            <w:vAlign w:val="center"/>
          </w:tcPr>
          <w:p w14:paraId="3BBC0C88">
            <w:pPr>
              <w:jc w:val="center"/>
              <w:rPr>
                <w:rFonts w:hint="default" w:ascii="Times New Roman" w:hAnsi="Times New Roman" w:cs="Times New Roman"/>
                <w:color w:val="auto"/>
                <w:sz w:val="21"/>
                <w:szCs w:val="21"/>
                <w:highlight w:val="none"/>
              </w:rPr>
            </w:pPr>
          </w:p>
        </w:tc>
        <w:tc>
          <w:tcPr>
            <w:tcW w:w="797" w:type="dxa"/>
            <w:vAlign w:val="center"/>
          </w:tcPr>
          <w:p w14:paraId="5CED3C40">
            <w:pPr>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w:t>
            </w:r>
          </w:p>
        </w:tc>
        <w:tc>
          <w:tcPr>
            <w:tcW w:w="1196" w:type="dxa"/>
            <w:vAlign w:val="center"/>
          </w:tcPr>
          <w:p w14:paraId="7EC2DDCA">
            <w:pPr>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通风系统</w:t>
            </w:r>
          </w:p>
        </w:tc>
        <w:tc>
          <w:tcPr>
            <w:tcW w:w="5703" w:type="dxa"/>
            <w:vAlign w:val="center"/>
          </w:tcPr>
          <w:p w14:paraId="71432C21">
            <w:pPr>
              <w:jc w:val="center"/>
              <w:rPr>
                <w:rFonts w:hint="eastAsia" w:ascii="宋体" w:hAnsi="宋体" w:cs="SimSun-Identity-H"/>
                <w:color w:val="auto"/>
                <w:kern w:val="0"/>
                <w:szCs w:val="28"/>
                <w:highlight w:val="none"/>
              </w:rPr>
            </w:pPr>
            <w:r>
              <w:rPr>
                <w:rFonts w:hint="eastAsia" w:eastAsia="宋体"/>
                <w:color w:val="auto"/>
                <w:highlight w:val="none"/>
                <w:lang w:val="zh-CN"/>
              </w:rPr>
              <w:t>本工程采用</w:t>
            </w:r>
            <w:r>
              <w:rPr>
                <w:rFonts w:hint="eastAsia"/>
                <w:color w:val="auto"/>
                <w:highlight w:val="none"/>
                <w:lang w:val="zh-CN"/>
              </w:rPr>
              <w:t>中央空调</w:t>
            </w:r>
            <w:r>
              <w:rPr>
                <w:rFonts w:hint="eastAsia" w:eastAsia="宋体"/>
                <w:color w:val="auto"/>
                <w:highlight w:val="none"/>
                <w:lang w:val="zh-CN"/>
              </w:rPr>
              <w:t>制冷加新风系统，空调室</w:t>
            </w:r>
            <w:r>
              <w:rPr>
                <w:rFonts w:hint="eastAsia"/>
                <w:color w:val="auto"/>
                <w:highlight w:val="none"/>
                <w:lang w:val="zh-CN"/>
              </w:rPr>
              <w:t>冷却机组</w:t>
            </w:r>
            <w:r>
              <w:rPr>
                <w:rFonts w:hint="eastAsia" w:eastAsia="宋体"/>
                <w:color w:val="auto"/>
                <w:highlight w:val="none"/>
                <w:lang w:val="zh-CN"/>
              </w:rPr>
              <w:t>设置在</w:t>
            </w:r>
            <w:r>
              <w:rPr>
                <w:rFonts w:hint="eastAsia"/>
                <w:color w:val="auto"/>
                <w:highlight w:val="none"/>
                <w:lang w:val="zh-CN"/>
              </w:rPr>
              <w:t>本溪大楼屋顶</w:t>
            </w:r>
            <w:r>
              <w:rPr>
                <w:rFonts w:hint="eastAsia" w:eastAsia="宋体"/>
                <w:color w:val="auto"/>
                <w:highlight w:val="none"/>
                <w:lang w:val="zh-CN"/>
              </w:rPr>
              <w:t>。</w:t>
            </w:r>
          </w:p>
        </w:tc>
      </w:tr>
      <w:tr w14:paraId="5F7A7B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590" w:type="dxa"/>
            <w:vMerge w:val="continue"/>
            <w:vAlign w:val="center"/>
          </w:tcPr>
          <w:p w14:paraId="657589D9">
            <w:pPr>
              <w:jc w:val="center"/>
              <w:rPr>
                <w:rFonts w:hint="default" w:ascii="Times New Roman" w:hAnsi="Times New Roman" w:cs="Times New Roman"/>
                <w:color w:val="auto"/>
                <w:sz w:val="21"/>
                <w:szCs w:val="21"/>
                <w:highlight w:val="none"/>
              </w:rPr>
            </w:pPr>
          </w:p>
        </w:tc>
        <w:tc>
          <w:tcPr>
            <w:tcW w:w="797" w:type="dxa"/>
            <w:vAlign w:val="center"/>
          </w:tcPr>
          <w:p w14:paraId="4AB02D9E">
            <w:pPr>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w:t>
            </w:r>
          </w:p>
        </w:tc>
        <w:tc>
          <w:tcPr>
            <w:tcW w:w="1196" w:type="dxa"/>
            <w:vAlign w:val="center"/>
          </w:tcPr>
          <w:p w14:paraId="290B9FDE">
            <w:pPr>
              <w:jc w:val="center"/>
              <w:rPr>
                <w:rFonts w:hint="eastAsia" w:cs="Times New Roman"/>
                <w:color w:val="auto"/>
                <w:sz w:val="21"/>
                <w:szCs w:val="21"/>
                <w:highlight w:val="none"/>
                <w:lang w:eastAsia="zh-CN"/>
              </w:rPr>
            </w:pPr>
            <w:r>
              <w:rPr>
                <w:rFonts w:hint="eastAsia" w:cs="Times New Roman"/>
                <w:color w:val="auto"/>
                <w:sz w:val="21"/>
                <w:szCs w:val="21"/>
                <w:highlight w:val="none"/>
                <w:lang w:eastAsia="zh-CN"/>
              </w:rPr>
              <w:t>消防系统</w:t>
            </w:r>
          </w:p>
        </w:tc>
        <w:tc>
          <w:tcPr>
            <w:tcW w:w="5703" w:type="dxa"/>
            <w:vAlign w:val="center"/>
          </w:tcPr>
          <w:p w14:paraId="3A217A3D">
            <w:pPr>
              <w:jc w:val="center"/>
              <w:rPr>
                <w:rFonts w:hint="eastAsia" w:eastAsia="宋体"/>
                <w:color w:val="auto"/>
                <w:highlight w:val="none"/>
                <w:lang w:val="zh-CN" w:eastAsia="zh-CN"/>
              </w:rPr>
            </w:pPr>
            <w:r>
              <w:rPr>
                <w:rFonts w:hint="eastAsia"/>
                <w:color w:val="auto"/>
                <w:highlight w:val="none"/>
                <w:lang w:eastAsia="zh-CN"/>
              </w:rPr>
              <w:t>依托现有的整栋大楼的消防设施。</w:t>
            </w:r>
          </w:p>
        </w:tc>
      </w:tr>
      <w:tr w14:paraId="037401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590" w:type="dxa"/>
            <w:vMerge w:val="continue"/>
            <w:vAlign w:val="center"/>
          </w:tcPr>
          <w:p w14:paraId="49B0769A">
            <w:pPr>
              <w:jc w:val="center"/>
              <w:rPr>
                <w:rFonts w:hint="default" w:ascii="Times New Roman" w:hAnsi="Times New Roman" w:cs="Times New Roman"/>
                <w:color w:val="auto"/>
                <w:sz w:val="21"/>
                <w:szCs w:val="21"/>
                <w:highlight w:val="none"/>
              </w:rPr>
            </w:pPr>
          </w:p>
        </w:tc>
        <w:tc>
          <w:tcPr>
            <w:tcW w:w="797" w:type="dxa"/>
            <w:vAlign w:val="center"/>
          </w:tcPr>
          <w:p w14:paraId="7541D88C">
            <w:pPr>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7</w:t>
            </w:r>
          </w:p>
        </w:tc>
        <w:tc>
          <w:tcPr>
            <w:tcW w:w="1196" w:type="dxa"/>
            <w:vAlign w:val="center"/>
          </w:tcPr>
          <w:p w14:paraId="65305AA1">
            <w:pPr>
              <w:jc w:val="center"/>
              <w:rPr>
                <w:rFonts w:hint="eastAsia" w:cs="Times New Roman"/>
                <w:color w:val="auto"/>
                <w:sz w:val="21"/>
                <w:szCs w:val="21"/>
                <w:highlight w:val="none"/>
                <w:lang w:eastAsia="zh-CN"/>
              </w:rPr>
            </w:pPr>
            <w:r>
              <w:rPr>
                <w:rFonts w:hint="eastAsia" w:cs="Times New Roman"/>
                <w:color w:val="auto"/>
                <w:sz w:val="21"/>
                <w:szCs w:val="21"/>
                <w:highlight w:val="none"/>
                <w:lang w:eastAsia="zh-CN"/>
              </w:rPr>
              <w:t>供氧</w:t>
            </w:r>
          </w:p>
        </w:tc>
        <w:tc>
          <w:tcPr>
            <w:tcW w:w="5703" w:type="dxa"/>
            <w:vAlign w:val="center"/>
          </w:tcPr>
          <w:p w14:paraId="137CFD93">
            <w:pPr>
              <w:pStyle w:val="2"/>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eastAsia" w:eastAsia="宋体"/>
                <w:color w:val="auto"/>
                <w:highlight w:val="none"/>
              </w:rPr>
            </w:pPr>
            <w:r>
              <w:rPr>
                <w:rFonts w:hint="eastAsia"/>
                <w:color w:val="auto"/>
                <w:sz w:val="21"/>
                <w:szCs w:val="21"/>
                <w:highlight w:val="none"/>
                <w:lang w:eastAsia="zh-CN"/>
              </w:rPr>
              <w:t>本项目不设置制氧站，氧气外购</w:t>
            </w:r>
          </w:p>
        </w:tc>
      </w:tr>
      <w:tr w14:paraId="05F3AA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1590" w:type="dxa"/>
            <w:vMerge w:val="continue"/>
            <w:vAlign w:val="center"/>
          </w:tcPr>
          <w:p w14:paraId="61BCF3F8">
            <w:pPr>
              <w:jc w:val="center"/>
              <w:rPr>
                <w:rFonts w:hint="default" w:ascii="Times New Roman" w:hAnsi="Times New Roman" w:cs="Times New Roman"/>
                <w:color w:val="auto"/>
                <w:sz w:val="21"/>
                <w:szCs w:val="21"/>
                <w:highlight w:val="none"/>
              </w:rPr>
            </w:pPr>
          </w:p>
        </w:tc>
        <w:tc>
          <w:tcPr>
            <w:tcW w:w="797" w:type="dxa"/>
            <w:vAlign w:val="center"/>
          </w:tcPr>
          <w:p w14:paraId="420E6272">
            <w:pPr>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w:t>
            </w:r>
          </w:p>
        </w:tc>
        <w:tc>
          <w:tcPr>
            <w:tcW w:w="1196" w:type="dxa"/>
            <w:vAlign w:val="center"/>
          </w:tcPr>
          <w:p w14:paraId="302126C1">
            <w:pPr>
              <w:jc w:val="center"/>
              <w:rPr>
                <w:rFonts w:hint="eastAsia" w:ascii="Times New Roman" w:hAnsi="Times New Roman" w:eastAsia="宋体" w:cs="Times New Roman"/>
                <w:color w:val="FF0000"/>
                <w:sz w:val="21"/>
                <w:szCs w:val="21"/>
                <w:highlight w:val="none"/>
                <w:lang w:eastAsia="zh-CN"/>
              </w:rPr>
            </w:pPr>
            <w:r>
              <w:rPr>
                <w:rFonts w:hint="eastAsia" w:cs="Times New Roman"/>
                <w:color w:val="FF0000"/>
                <w:sz w:val="21"/>
                <w:szCs w:val="21"/>
                <w:highlight w:val="none"/>
                <w:lang w:eastAsia="zh-CN"/>
              </w:rPr>
              <w:t>消毒</w:t>
            </w:r>
          </w:p>
        </w:tc>
        <w:tc>
          <w:tcPr>
            <w:tcW w:w="5703" w:type="dxa"/>
            <w:vAlign w:val="center"/>
          </w:tcPr>
          <w:p w14:paraId="10B45507">
            <w:pPr>
              <w:jc w:val="center"/>
              <w:rPr>
                <w:rFonts w:hint="eastAsia" w:ascii="Times New Roman" w:hAnsi="Times New Roman" w:eastAsia="宋体" w:cs="Times New Roman"/>
                <w:color w:val="FF0000"/>
                <w:kern w:val="0"/>
                <w:sz w:val="21"/>
                <w:szCs w:val="21"/>
                <w:highlight w:val="none"/>
                <w:lang w:val="en-US" w:eastAsia="zh-CN" w:bidi="ar-SA"/>
              </w:rPr>
            </w:pPr>
            <w:r>
              <w:rPr>
                <w:rFonts w:hint="eastAsia" w:ascii="宋体" w:hAnsi="宋体" w:cs="SimSun-Identity-H"/>
                <w:color w:val="FF0000"/>
                <w:kern w:val="0"/>
                <w:szCs w:val="28"/>
                <w:highlight w:val="none"/>
                <w:lang w:val="en-US" w:eastAsia="zh-CN"/>
              </w:rPr>
              <w:t>压力蒸汽灭菌消毒及紫外线消毒</w:t>
            </w:r>
          </w:p>
        </w:tc>
      </w:tr>
      <w:tr w14:paraId="7E7D17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590" w:type="dxa"/>
            <w:vMerge w:val="restart"/>
            <w:vAlign w:val="center"/>
          </w:tcPr>
          <w:p w14:paraId="10A05A5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环保工程</w:t>
            </w:r>
          </w:p>
        </w:tc>
        <w:tc>
          <w:tcPr>
            <w:tcW w:w="797" w:type="dxa"/>
            <w:vMerge w:val="restart"/>
            <w:vAlign w:val="center"/>
          </w:tcPr>
          <w:p w14:paraId="4E5403A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1196" w:type="dxa"/>
            <w:vMerge w:val="restart"/>
            <w:vAlign w:val="center"/>
          </w:tcPr>
          <w:p w14:paraId="60E1197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废气治理</w:t>
            </w:r>
          </w:p>
        </w:tc>
        <w:tc>
          <w:tcPr>
            <w:tcW w:w="5703" w:type="dxa"/>
            <w:vAlign w:val="center"/>
          </w:tcPr>
          <w:p w14:paraId="2A285F68">
            <w:pPr>
              <w:adjustRightInd w:val="0"/>
              <w:snapToGrid w:val="0"/>
              <w:ind w:left="-105" w:leftChars="-50" w:right="-105" w:rightChars="-5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i w:val="0"/>
                <w:caps w:val="0"/>
                <w:color w:val="auto"/>
                <w:spacing w:val="0"/>
                <w:sz w:val="21"/>
                <w:szCs w:val="21"/>
                <w:highlight w:val="none"/>
                <w:shd w:val="clear" w:fill="FFFFFF"/>
                <w:lang w:val="en-US" w:eastAsia="zh-CN"/>
              </w:rPr>
              <w:t>污水处理</w:t>
            </w:r>
            <w:r>
              <w:rPr>
                <w:rFonts w:hint="eastAsia" w:cs="Times New Roman"/>
                <w:i w:val="0"/>
                <w:caps w:val="0"/>
                <w:color w:val="auto"/>
                <w:spacing w:val="0"/>
                <w:sz w:val="21"/>
                <w:szCs w:val="21"/>
                <w:highlight w:val="none"/>
                <w:shd w:val="clear" w:fill="FFFFFF"/>
                <w:lang w:val="en-US" w:eastAsia="zh-CN"/>
              </w:rPr>
              <w:t>设施加盖</w:t>
            </w:r>
            <w:r>
              <w:rPr>
                <w:rFonts w:hint="eastAsia" w:ascii="Times New Roman" w:hAnsi="Times New Roman" w:cs="Times New Roman"/>
                <w:i w:val="0"/>
                <w:caps w:val="0"/>
                <w:color w:val="auto"/>
                <w:spacing w:val="0"/>
                <w:sz w:val="21"/>
                <w:szCs w:val="21"/>
                <w:highlight w:val="none"/>
                <w:shd w:val="clear" w:fill="FFFFFF"/>
                <w:lang w:val="en-US" w:eastAsia="zh-CN"/>
              </w:rPr>
              <w:t>封闭</w:t>
            </w:r>
            <w:r>
              <w:rPr>
                <w:rFonts w:hint="eastAsia" w:cs="Times New Roman"/>
                <w:i w:val="0"/>
                <w:caps w:val="0"/>
                <w:color w:val="auto"/>
                <w:spacing w:val="0"/>
                <w:sz w:val="21"/>
                <w:szCs w:val="21"/>
                <w:highlight w:val="none"/>
                <w:shd w:val="clear" w:fill="FFFFFF"/>
                <w:lang w:val="en-US" w:eastAsia="zh-CN"/>
              </w:rPr>
              <w:t>，</w:t>
            </w:r>
            <w:r>
              <w:rPr>
                <w:rFonts w:hint="eastAsia" w:cs="Times New Roman"/>
                <w:i w:val="0"/>
                <w:caps w:val="0"/>
                <w:color w:val="FF0000"/>
                <w:spacing w:val="0"/>
                <w:sz w:val="21"/>
                <w:szCs w:val="21"/>
                <w:highlight w:val="none"/>
                <w:shd w:val="clear" w:fill="FFFFFF"/>
                <w:lang w:val="en-US" w:eastAsia="zh-CN"/>
              </w:rPr>
              <w:t>投放除臭剂，</w:t>
            </w:r>
            <w:r>
              <w:rPr>
                <w:rFonts w:hint="eastAsia" w:ascii="宋体" w:hAnsi="宋体" w:cs="宋体"/>
                <w:color w:val="auto"/>
                <w:sz w:val="21"/>
                <w:szCs w:val="21"/>
                <w:highlight w:val="none"/>
                <w:lang w:eastAsia="zh-CN"/>
              </w:rPr>
              <w:t>周边</w:t>
            </w:r>
            <w:r>
              <w:rPr>
                <w:rFonts w:hint="eastAsia" w:ascii="宋体" w:hAnsi="宋体" w:cs="宋体"/>
                <w:color w:val="auto"/>
                <w:sz w:val="21"/>
                <w:szCs w:val="21"/>
                <w:highlight w:val="none"/>
              </w:rPr>
              <w:t>放置</w:t>
            </w:r>
            <w:r>
              <w:rPr>
                <w:rFonts w:hint="eastAsia" w:ascii="宋体" w:hAnsi="宋体" w:cs="宋体"/>
                <w:color w:val="auto"/>
                <w:sz w:val="21"/>
                <w:szCs w:val="21"/>
                <w:highlight w:val="none"/>
                <w:lang w:eastAsia="zh-CN"/>
              </w:rPr>
              <w:t>吸附恶臭气体较强的</w:t>
            </w:r>
            <w:r>
              <w:rPr>
                <w:rFonts w:hint="eastAsia" w:ascii="宋体" w:hAnsi="宋体" w:cs="宋体"/>
                <w:color w:val="auto"/>
                <w:sz w:val="21"/>
                <w:szCs w:val="21"/>
                <w:highlight w:val="none"/>
              </w:rPr>
              <w:t>盆栽植物进行绿化吸收</w:t>
            </w:r>
          </w:p>
        </w:tc>
      </w:tr>
      <w:tr w14:paraId="15197E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590" w:type="dxa"/>
            <w:vMerge w:val="continue"/>
            <w:vAlign w:val="center"/>
          </w:tcPr>
          <w:p w14:paraId="607C60F1">
            <w:pPr>
              <w:jc w:val="center"/>
              <w:rPr>
                <w:rFonts w:hint="default" w:ascii="Times New Roman" w:hAnsi="Times New Roman" w:cs="Times New Roman"/>
                <w:color w:val="auto"/>
                <w:sz w:val="21"/>
                <w:szCs w:val="21"/>
                <w:highlight w:val="none"/>
              </w:rPr>
            </w:pPr>
          </w:p>
        </w:tc>
        <w:tc>
          <w:tcPr>
            <w:tcW w:w="797" w:type="dxa"/>
            <w:vMerge w:val="continue"/>
            <w:vAlign w:val="center"/>
          </w:tcPr>
          <w:p w14:paraId="14FCB07D">
            <w:pPr>
              <w:jc w:val="center"/>
              <w:rPr>
                <w:rFonts w:hint="default" w:ascii="Times New Roman" w:hAnsi="Times New Roman" w:cs="Times New Roman"/>
                <w:color w:val="auto"/>
                <w:sz w:val="21"/>
                <w:szCs w:val="21"/>
                <w:highlight w:val="none"/>
              </w:rPr>
            </w:pPr>
          </w:p>
        </w:tc>
        <w:tc>
          <w:tcPr>
            <w:tcW w:w="1196" w:type="dxa"/>
            <w:vMerge w:val="continue"/>
            <w:vAlign w:val="center"/>
          </w:tcPr>
          <w:p w14:paraId="5454BD5B">
            <w:pPr>
              <w:jc w:val="center"/>
              <w:rPr>
                <w:rFonts w:hint="default" w:ascii="Times New Roman" w:hAnsi="Times New Roman" w:cs="Times New Roman"/>
                <w:color w:val="auto"/>
                <w:sz w:val="21"/>
                <w:szCs w:val="21"/>
                <w:highlight w:val="none"/>
              </w:rPr>
            </w:pPr>
          </w:p>
        </w:tc>
        <w:tc>
          <w:tcPr>
            <w:tcW w:w="5703" w:type="dxa"/>
            <w:vAlign w:val="center"/>
          </w:tcPr>
          <w:p w14:paraId="2FDA273D">
            <w:pPr>
              <w:adjustRightInd w:val="0"/>
              <w:snapToGrid w:val="0"/>
              <w:ind w:left="-105" w:leftChars="-50" w:right="-105" w:rightChars="-50"/>
              <w:jc w:val="center"/>
              <w:rPr>
                <w:rFonts w:hint="eastAsia" w:cs="Times New Roman"/>
                <w:color w:val="auto"/>
                <w:sz w:val="21"/>
                <w:szCs w:val="21"/>
                <w:highlight w:val="none"/>
                <w:lang w:val="en-US" w:eastAsia="zh-CN"/>
              </w:rPr>
            </w:pPr>
            <w:r>
              <w:rPr>
                <w:rFonts w:hint="eastAsia" w:ascii="宋体" w:hAnsi="宋体" w:cs="宋体"/>
                <w:color w:val="auto"/>
                <w:sz w:val="21"/>
                <w:szCs w:val="21"/>
                <w:highlight w:val="none"/>
                <w:lang w:val="zh-CN"/>
              </w:rPr>
              <w:t>中药异味通风、自然扩散</w:t>
            </w:r>
          </w:p>
        </w:tc>
      </w:tr>
      <w:tr w14:paraId="38AE52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590" w:type="dxa"/>
            <w:vMerge w:val="continue"/>
            <w:vAlign w:val="center"/>
          </w:tcPr>
          <w:p w14:paraId="041A501A">
            <w:pPr>
              <w:jc w:val="center"/>
              <w:rPr>
                <w:rFonts w:hint="default" w:ascii="Times New Roman" w:hAnsi="Times New Roman" w:cs="Times New Roman"/>
                <w:color w:val="auto"/>
                <w:sz w:val="21"/>
                <w:szCs w:val="21"/>
                <w:highlight w:val="none"/>
              </w:rPr>
            </w:pPr>
          </w:p>
        </w:tc>
        <w:tc>
          <w:tcPr>
            <w:tcW w:w="797" w:type="dxa"/>
            <w:vMerge w:val="restart"/>
            <w:vAlign w:val="center"/>
          </w:tcPr>
          <w:p w14:paraId="7E671EFB">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1196" w:type="dxa"/>
            <w:vMerge w:val="restart"/>
            <w:vAlign w:val="center"/>
          </w:tcPr>
          <w:p w14:paraId="351F8EF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废水治理</w:t>
            </w:r>
          </w:p>
        </w:tc>
        <w:tc>
          <w:tcPr>
            <w:tcW w:w="5703" w:type="dxa"/>
            <w:vAlign w:val="center"/>
          </w:tcPr>
          <w:p w14:paraId="32D5116C">
            <w:pPr>
              <w:adjustRightInd w:val="0"/>
              <w:snapToGrid w:val="0"/>
              <w:ind w:left="-105" w:leftChars="-50" w:right="-105" w:rightChars="-50"/>
              <w:jc w:val="center"/>
              <w:rPr>
                <w:rFonts w:hint="default" w:ascii="Times New Roman" w:hAnsi="Times New Roman" w:cs="Times New Roman"/>
                <w:color w:val="auto"/>
                <w:sz w:val="21"/>
                <w:szCs w:val="21"/>
                <w:highlight w:val="none"/>
              </w:rPr>
            </w:pPr>
            <w:r>
              <w:rPr>
                <w:rFonts w:hint="eastAsia" w:cs="Times New Roman"/>
                <w:color w:val="auto"/>
                <w:kern w:val="0"/>
                <w:sz w:val="21"/>
                <w:szCs w:val="21"/>
                <w:highlight w:val="none"/>
                <w:lang w:eastAsia="zh-CN"/>
              </w:rPr>
              <w:t>医疗废水采用一体化</w:t>
            </w:r>
            <w:r>
              <w:rPr>
                <w:rFonts w:hint="default" w:ascii="Times New Roman" w:hAnsi="Times New Roman" w:eastAsia="宋体" w:cs="Times New Roman"/>
                <w:color w:val="auto"/>
                <w:kern w:val="0"/>
                <w:sz w:val="21"/>
                <w:szCs w:val="21"/>
                <w:highlight w:val="none"/>
              </w:rPr>
              <w:t>污水处理设施</w:t>
            </w:r>
            <w:r>
              <w:rPr>
                <w:rFonts w:hint="eastAsia" w:cs="Times New Roman"/>
                <w:color w:val="auto"/>
                <w:kern w:val="0"/>
                <w:sz w:val="21"/>
                <w:szCs w:val="21"/>
                <w:highlight w:val="none"/>
                <w:lang w:eastAsia="zh-CN"/>
              </w:rPr>
              <w:t>（</w:t>
            </w:r>
            <w:r>
              <w:rPr>
                <w:rFonts w:hint="eastAsia" w:ascii="Times New Roman" w:hAnsi="Times New Roman" w:cs="Times New Roman"/>
                <w:color w:val="auto"/>
                <w:sz w:val="21"/>
                <w:szCs w:val="21"/>
                <w:highlight w:val="none"/>
              </w:rPr>
              <w:t>格栅+调节池+絮凝沉淀+消毒</w:t>
            </w:r>
            <w:r>
              <w:rPr>
                <w:rFonts w:hint="eastAsia" w:cs="Times New Roman"/>
                <w:color w:val="auto"/>
                <w:sz w:val="21"/>
                <w:szCs w:val="21"/>
                <w:highlight w:val="none"/>
                <w:lang w:val="en-US" w:eastAsia="zh-CN"/>
              </w:rPr>
              <w:t>工艺</w:t>
            </w:r>
            <w:r>
              <w:rPr>
                <w:rFonts w:hint="eastAsia" w:cs="Times New Roman"/>
                <w:color w:val="auto"/>
                <w:kern w:val="0"/>
                <w:sz w:val="21"/>
                <w:szCs w:val="21"/>
                <w:highlight w:val="none"/>
                <w:lang w:eastAsia="zh-CN"/>
              </w:rPr>
              <w:t>）处理</w:t>
            </w:r>
            <w:r>
              <w:rPr>
                <w:rFonts w:hint="default" w:ascii="Times New Roman" w:hAnsi="Times New Roman" w:eastAsia="宋体" w:cs="Times New Roman"/>
                <w:color w:val="auto"/>
                <w:highlight w:val="none"/>
              </w:rPr>
              <w:t>后进入城市污水管网</w:t>
            </w:r>
          </w:p>
        </w:tc>
      </w:tr>
      <w:tr w14:paraId="351E42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590" w:type="dxa"/>
            <w:vMerge w:val="continue"/>
            <w:vAlign w:val="center"/>
          </w:tcPr>
          <w:p w14:paraId="71885793">
            <w:pPr>
              <w:jc w:val="center"/>
              <w:rPr>
                <w:rFonts w:hint="default" w:ascii="Times New Roman" w:hAnsi="Times New Roman" w:cs="Times New Roman"/>
                <w:color w:val="auto"/>
                <w:sz w:val="21"/>
                <w:szCs w:val="21"/>
                <w:highlight w:val="none"/>
              </w:rPr>
            </w:pPr>
          </w:p>
        </w:tc>
        <w:tc>
          <w:tcPr>
            <w:tcW w:w="797" w:type="dxa"/>
            <w:vMerge w:val="continue"/>
            <w:vAlign w:val="center"/>
          </w:tcPr>
          <w:p w14:paraId="12A833AF">
            <w:pPr>
              <w:jc w:val="center"/>
              <w:rPr>
                <w:rFonts w:hint="default" w:ascii="Times New Roman" w:hAnsi="Times New Roman" w:cs="Times New Roman"/>
                <w:color w:val="auto"/>
                <w:sz w:val="21"/>
                <w:szCs w:val="21"/>
                <w:highlight w:val="none"/>
              </w:rPr>
            </w:pPr>
          </w:p>
        </w:tc>
        <w:tc>
          <w:tcPr>
            <w:tcW w:w="1196" w:type="dxa"/>
            <w:vMerge w:val="continue"/>
            <w:vAlign w:val="center"/>
          </w:tcPr>
          <w:p w14:paraId="1AB0BEEE">
            <w:pPr>
              <w:jc w:val="center"/>
              <w:rPr>
                <w:rFonts w:hint="default" w:ascii="Times New Roman" w:hAnsi="Times New Roman" w:cs="Times New Roman"/>
                <w:color w:val="auto"/>
                <w:sz w:val="21"/>
                <w:szCs w:val="21"/>
                <w:highlight w:val="none"/>
              </w:rPr>
            </w:pPr>
          </w:p>
        </w:tc>
        <w:tc>
          <w:tcPr>
            <w:tcW w:w="5703" w:type="dxa"/>
            <w:vAlign w:val="center"/>
          </w:tcPr>
          <w:p w14:paraId="1C054DE9">
            <w:pPr>
              <w:adjustRightInd w:val="0"/>
              <w:snapToGrid w:val="0"/>
              <w:ind w:left="-105" w:leftChars="-50" w:right="-105" w:rightChars="-50"/>
              <w:jc w:val="center"/>
              <w:rPr>
                <w:rFonts w:hint="default" w:cs="Times New Roman"/>
                <w:color w:val="auto"/>
                <w:kern w:val="0"/>
                <w:sz w:val="21"/>
                <w:szCs w:val="21"/>
                <w:highlight w:val="none"/>
                <w:lang w:eastAsia="zh-CN"/>
              </w:rPr>
            </w:pPr>
            <w:r>
              <w:rPr>
                <w:rFonts w:hint="default" w:ascii="Times New Roman" w:hAnsi="Times New Roman" w:eastAsia="宋体" w:cs="Times New Roman"/>
                <w:color w:val="auto"/>
                <w:highlight w:val="none"/>
              </w:rPr>
              <w:t>生活污水进入小区内设的化粪池进行预处理后进入城市污水管网。</w:t>
            </w:r>
          </w:p>
        </w:tc>
      </w:tr>
      <w:tr w14:paraId="08FF80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1590" w:type="dxa"/>
            <w:vMerge w:val="continue"/>
            <w:vAlign w:val="center"/>
          </w:tcPr>
          <w:p w14:paraId="6A937534">
            <w:pPr>
              <w:jc w:val="center"/>
              <w:rPr>
                <w:rFonts w:hint="default" w:ascii="Times New Roman" w:hAnsi="Times New Roman" w:cs="Times New Roman"/>
                <w:color w:val="auto"/>
                <w:sz w:val="21"/>
                <w:szCs w:val="21"/>
                <w:highlight w:val="none"/>
              </w:rPr>
            </w:pPr>
          </w:p>
        </w:tc>
        <w:tc>
          <w:tcPr>
            <w:tcW w:w="797" w:type="dxa"/>
            <w:vAlign w:val="center"/>
          </w:tcPr>
          <w:p w14:paraId="4744D28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196" w:type="dxa"/>
            <w:vAlign w:val="center"/>
          </w:tcPr>
          <w:p w14:paraId="5AE8FC7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噪声治理</w:t>
            </w:r>
          </w:p>
        </w:tc>
        <w:tc>
          <w:tcPr>
            <w:tcW w:w="5703" w:type="dxa"/>
            <w:vAlign w:val="center"/>
          </w:tcPr>
          <w:p w14:paraId="5F3421B0">
            <w:pPr>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基础减振、管道柔性连接、隔声、禁止鸣笛</w:t>
            </w:r>
          </w:p>
        </w:tc>
      </w:tr>
      <w:tr w14:paraId="011DE2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90" w:type="dxa"/>
            <w:vMerge w:val="continue"/>
            <w:vAlign w:val="center"/>
          </w:tcPr>
          <w:p w14:paraId="326EED50">
            <w:pPr>
              <w:jc w:val="center"/>
              <w:rPr>
                <w:rFonts w:hint="default" w:ascii="Times New Roman" w:hAnsi="Times New Roman" w:cs="Times New Roman"/>
                <w:color w:val="auto"/>
                <w:sz w:val="21"/>
                <w:szCs w:val="21"/>
                <w:highlight w:val="none"/>
              </w:rPr>
            </w:pPr>
          </w:p>
        </w:tc>
        <w:tc>
          <w:tcPr>
            <w:tcW w:w="797" w:type="dxa"/>
            <w:vMerge w:val="restart"/>
            <w:vAlign w:val="center"/>
          </w:tcPr>
          <w:p w14:paraId="60B34CB5">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p>
        </w:tc>
        <w:tc>
          <w:tcPr>
            <w:tcW w:w="1196" w:type="dxa"/>
            <w:vMerge w:val="restart"/>
            <w:vAlign w:val="center"/>
          </w:tcPr>
          <w:p w14:paraId="3D41BFAA">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固废治理</w:t>
            </w:r>
          </w:p>
        </w:tc>
        <w:tc>
          <w:tcPr>
            <w:tcW w:w="5703" w:type="dxa"/>
            <w:vAlign w:val="center"/>
          </w:tcPr>
          <w:p w14:paraId="38EF5BFB">
            <w:pPr>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医疗废物分类收集后暂存于医疗废物暂存间，定期</w:t>
            </w:r>
            <w:r>
              <w:rPr>
                <w:rFonts w:hint="default" w:ascii="Times New Roman" w:hAnsi="Times New Roman" w:cs="Times New Roman"/>
                <w:color w:val="auto"/>
                <w:sz w:val="21"/>
                <w:szCs w:val="21"/>
                <w:highlight w:val="none"/>
              </w:rPr>
              <w:t>委托有资质单位处理</w:t>
            </w:r>
            <w:r>
              <w:rPr>
                <w:rFonts w:hint="eastAsia" w:cs="Times New Roman"/>
                <w:color w:val="auto"/>
                <w:sz w:val="21"/>
                <w:szCs w:val="21"/>
                <w:highlight w:val="none"/>
                <w:lang w:eastAsia="zh-CN"/>
              </w:rPr>
              <w:t>；污泥及栅渣消毒后</w:t>
            </w:r>
            <w:r>
              <w:rPr>
                <w:rFonts w:hint="default" w:ascii="Times New Roman" w:hAnsi="Times New Roman" w:cs="Times New Roman"/>
                <w:color w:val="auto"/>
                <w:sz w:val="21"/>
                <w:szCs w:val="21"/>
                <w:highlight w:val="none"/>
              </w:rPr>
              <w:t>委托有资质单位处理。</w:t>
            </w:r>
          </w:p>
        </w:tc>
      </w:tr>
      <w:tr w14:paraId="1DB139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590" w:type="dxa"/>
            <w:vMerge w:val="continue"/>
            <w:vAlign w:val="center"/>
          </w:tcPr>
          <w:p w14:paraId="0A6825A7">
            <w:pPr>
              <w:jc w:val="center"/>
              <w:rPr>
                <w:rFonts w:hint="default" w:ascii="Times New Roman" w:hAnsi="Times New Roman" w:cs="Times New Roman"/>
                <w:color w:val="auto"/>
                <w:sz w:val="21"/>
                <w:szCs w:val="21"/>
                <w:highlight w:val="none"/>
              </w:rPr>
            </w:pPr>
          </w:p>
        </w:tc>
        <w:tc>
          <w:tcPr>
            <w:tcW w:w="797" w:type="dxa"/>
            <w:vMerge w:val="continue"/>
            <w:vAlign w:val="center"/>
          </w:tcPr>
          <w:p w14:paraId="22EB110D">
            <w:pPr>
              <w:jc w:val="center"/>
              <w:rPr>
                <w:rFonts w:hint="default" w:ascii="Times New Roman" w:hAnsi="Times New Roman" w:cs="Times New Roman"/>
                <w:color w:val="auto"/>
                <w:sz w:val="21"/>
                <w:szCs w:val="21"/>
                <w:highlight w:val="none"/>
              </w:rPr>
            </w:pPr>
          </w:p>
        </w:tc>
        <w:tc>
          <w:tcPr>
            <w:tcW w:w="1196" w:type="dxa"/>
            <w:vMerge w:val="continue"/>
            <w:vAlign w:val="center"/>
          </w:tcPr>
          <w:p w14:paraId="45CE4B0A">
            <w:pPr>
              <w:jc w:val="center"/>
              <w:rPr>
                <w:rFonts w:hint="default" w:ascii="Times New Roman" w:hAnsi="Times New Roman" w:cs="Times New Roman"/>
                <w:color w:val="auto"/>
                <w:sz w:val="21"/>
                <w:szCs w:val="21"/>
                <w:highlight w:val="none"/>
              </w:rPr>
            </w:pPr>
          </w:p>
        </w:tc>
        <w:tc>
          <w:tcPr>
            <w:tcW w:w="5703" w:type="dxa"/>
            <w:vAlign w:val="center"/>
          </w:tcPr>
          <w:p w14:paraId="45CB051B">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0"/>
              <w:rPr>
                <w:rFonts w:hint="eastAsia" w:cs="Times New Roman"/>
                <w:color w:val="auto"/>
                <w:sz w:val="21"/>
                <w:szCs w:val="21"/>
                <w:highlight w:val="none"/>
                <w:lang w:eastAsia="zh-CN"/>
              </w:rPr>
            </w:pPr>
            <w:r>
              <w:rPr>
                <w:rFonts w:hint="eastAsia" w:cs="Times New Roman"/>
                <w:color w:val="auto"/>
                <w:sz w:val="21"/>
                <w:szCs w:val="21"/>
                <w:highlight w:val="none"/>
                <w:lang w:val="en-US" w:eastAsia="zh-CN"/>
              </w:rPr>
              <w:t>煎药药渣及</w:t>
            </w:r>
            <w:r>
              <w:rPr>
                <w:rFonts w:hint="eastAsia"/>
                <w:color w:val="auto"/>
                <w:highlight w:val="none"/>
                <w:lang w:eastAsia="zh-CN"/>
              </w:rPr>
              <w:t>废弃</w:t>
            </w:r>
            <w:r>
              <w:rPr>
                <w:rFonts w:hint="eastAsia" w:cs="Times New Roman"/>
                <w:color w:val="auto"/>
                <w:sz w:val="21"/>
                <w:szCs w:val="21"/>
                <w:highlight w:val="none"/>
                <w:lang w:val="en-US" w:eastAsia="zh-CN"/>
              </w:rPr>
              <w:t>中药材与生活垃圾一同</w:t>
            </w:r>
            <w:r>
              <w:rPr>
                <w:rFonts w:hint="eastAsia" w:cs="Times New Roman"/>
                <w:color w:val="auto"/>
                <w:sz w:val="21"/>
                <w:szCs w:val="21"/>
                <w:highlight w:val="none"/>
                <w:lang w:eastAsia="zh-CN"/>
              </w:rPr>
              <w:t>交由环卫部门统一清运处理。</w:t>
            </w:r>
          </w:p>
        </w:tc>
      </w:tr>
      <w:tr w14:paraId="2647D1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590" w:type="dxa"/>
            <w:vMerge w:val="continue"/>
            <w:vAlign w:val="center"/>
          </w:tcPr>
          <w:p w14:paraId="5424DDAE">
            <w:pPr>
              <w:jc w:val="center"/>
              <w:rPr>
                <w:rFonts w:hint="default" w:ascii="Times New Roman" w:hAnsi="Times New Roman" w:cs="Times New Roman"/>
                <w:color w:val="auto"/>
                <w:sz w:val="21"/>
                <w:szCs w:val="21"/>
                <w:highlight w:val="none"/>
              </w:rPr>
            </w:pPr>
          </w:p>
        </w:tc>
        <w:tc>
          <w:tcPr>
            <w:tcW w:w="797" w:type="dxa"/>
            <w:vMerge w:val="continue"/>
            <w:vAlign w:val="center"/>
          </w:tcPr>
          <w:p w14:paraId="7FE071AF">
            <w:pPr>
              <w:jc w:val="center"/>
              <w:rPr>
                <w:rFonts w:hint="default" w:ascii="Times New Roman" w:hAnsi="Times New Roman" w:cs="Times New Roman"/>
                <w:color w:val="auto"/>
                <w:sz w:val="21"/>
                <w:szCs w:val="21"/>
                <w:highlight w:val="none"/>
              </w:rPr>
            </w:pPr>
          </w:p>
        </w:tc>
        <w:tc>
          <w:tcPr>
            <w:tcW w:w="1196" w:type="dxa"/>
            <w:vMerge w:val="continue"/>
            <w:vAlign w:val="center"/>
          </w:tcPr>
          <w:p w14:paraId="58E605D3">
            <w:pPr>
              <w:jc w:val="center"/>
              <w:rPr>
                <w:rFonts w:hint="default" w:ascii="Times New Roman" w:hAnsi="Times New Roman" w:cs="Times New Roman"/>
                <w:color w:val="auto"/>
                <w:sz w:val="21"/>
                <w:szCs w:val="21"/>
                <w:highlight w:val="none"/>
              </w:rPr>
            </w:pPr>
          </w:p>
        </w:tc>
        <w:tc>
          <w:tcPr>
            <w:tcW w:w="5703" w:type="dxa"/>
            <w:vAlign w:val="center"/>
          </w:tcPr>
          <w:p w14:paraId="71C8E327">
            <w:pPr>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生活垃圾由环卫部门统一清运处理。</w:t>
            </w:r>
          </w:p>
        </w:tc>
      </w:tr>
      <w:tr w14:paraId="2749AA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590" w:type="dxa"/>
            <w:vMerge w:val="continue"/>
            <w:tcBorders>
              <w:bottom w:val="single" w:color="auto" w:sz="12" w:space="0"/>
            </w:tcBorders>
            <w:vAlign w:val="center"/>
          </w:tcPr>
          <w:p w14:paraId="7E42D3E0">
            <w:pPr>
              <w:jc w:val="center"/>
              <w:rPr>
                <w:rFonts w:hint="default" w:ascii="Times New Roman" w:hAnsi="Times New Roman" w:cs="Times New Roman"/>
                <w:color w:val="auto"/>
                <w:sz w:val="21"/>
                <w:szCs w:val="21"/>
                <w:highlight w:val="none"/>
              </w:rPr>
            </w:pPr>
          </w:p>
        </w:tc>
        <w:tc>
          <w:tcPr>
            <w:tcW w:w="797" w:type="dxa"/>
            <w:tcBorders>
              <w:bottom w:val="single" w:color="auto" w:sz="12" w:space="0"/>
            </w:tcBorders>
            <w:vAlign w:val="center"/>
          </w:tcPr>
          <w:p w14:paraId="10D09CB4">
            <w:pPr>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w:t>
            </w:r>
          </w:p>
        </w:tc>
        <w:tc>
          <w:tcPr>
            <w:tcW w:w="1196" w:type="dxa"/>
            <w:tcBorders>
              <w:bottom w:val="single" w:color="auto" w:sz="12" w:space="0"/>
            </w:tcBorders>
            <w:vAlign w:val="center"/>
          </w:tcPr>
          <w:p w14:paraId="69969903">
            <w:pPr>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环境风险</w:t>
            </w:r>
          </w:p>
        </w:tc>
        <w:tc>
          <w:tcPr>
            <w:tcW w:w="5703" w:type="dxa"/>
            <w:tcBorders>
              <w:bottom w:val="single" w:color="auto" w:sz="12" w:space="0"/>
            </w:tcBorders>
            <w:vAlign w:val="center"/>
          </w:tcPr>
          <w:p w14:paraId="67B83375">
            <w:pPr>
              <w:jc w:val="center"/>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lang w:val="en-US" w:eastAsia="zh-CN"/>
              </w:rPr>
              <w:t>6m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vertAlign w:val="baseline"/>
                <w:lang w:val="en-US" w:eastAsia="zh-CN"/>
              </w:rPr>
              <w:t>事故池1座</w:t>
            </w:r>
            <w:r>
              <w:rPr>
                <w:rFonts w:hint="eastAsia"/>
                <w:color w:val="auto"/>
                <w:highlight w:val="none"/>
                <w:lang w:eastAsia="zh-CN"/>
              </w:rPr>
              <w:t>，</w:t>
            </w:r>
            <w:r>
              <w:rPr>
                <w:rFonts w:hint="eastAsia" w:cs="Times New Roman"/>
                <w:color w:val="auto"/>
                <w:kern w:val="0"/>
                <w:sz w:val="21"/>
                <w:szCs w:val="21"/>
                <w:highlight w:val="none"/>
                <w:lang w:eastAsia="zh-CN"/>
              </w:rPr>
              <w:t>位于医院大楼</w:t>
            </w:r>
            <w:r>
              <w:rPr>
                <w:rFonts w:hint="eastAsia" w:cs="Times New Roman"/>
                <w:color w:val="auto"/>
                <w:kern w:val="0"/>
                <w:sz w:val="21"/>
                <w:szCs w:val="21"/>
                <w:highlight w:val="none"/>
                <w:lang w:val="en-US" w:eastAsia="zh-CN"/>
              </w:rPr>
              <w:t>3层东侧</w:t>
            </w:r>
          </w:p>
        </w:tc>
      </w:tr>
    </w:tbl>
    <w:p w14:paraId="58D44405">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both"/>
        <w:textAlignment w:val="auto"/>
        <w:outlineLvl w:val="9"/>
        <w:rPr>
          <w:rFonts w:hint="default" w:ascii="Times New Roman" w:hAnsi="Times New Roman" w:cs="Times New Roman"/>
          <w:b/>
          <w:bCs/>
          <w:color w:val="auto"/>
          <w:highlight w:val="none"/>
        </w:rPr>
      </w:pPr>
      <w:r>
        <w:rPr>
          <w:rFonts w:hint="eastAsia" w:ascii="Times New Roman" w:hAnsi="Times New Roman" w:cs="Times New Roman"/>
          <w:b/>
          <w:bCs/>
          <w:color w:val="auto"/>
          <w:highlight w:val="none"/>
        </w:rPr>
        <w:t>表</w:t>
      </w:r>
      <w:r>
        <w:rPr>
          <w:rFonts w:hint="eastAsia" w:cs="Times New Roman"/>
          <w:b/>
          <w:bCs/>
          <w:color w:val="auto"/>
          <w:highlight w:val="none"/>
          <w:lang w:val="en-US" w:eastAsia="zh-CN"/>
        </w:rPr>
        <w:t xml:space="preserve">4                               </w:t>
      </w:r>
      <w:r>
        <w:rPr>
          <w:rFonts w:hint="eastAsia" w:ascii="Times New Roman" w:hAnsi="Times New Roman" w:cs="Times New Roman"/>
          <w:b/>
          <w:bCs/>
          <w:color w:val="auto"/>
          <w:highlight w:val="none"/>
        </w:rPr>
        <w:t>大楼建设规模明细</w:t>
      </w:r>
    </w:p>
    <w:tbl>
      <w:tblPr>
        <w:tblStyle w:val="24"/>
        <w:tblW w:w="92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1605"/>
        <w:gridCol w:w="5134"/>
        <w:gridCol w:w="1422"/>
      </w:tblGrid>
      <w:tr w14:paraId="21AFD9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tcBorders>
              <w:tl2br w:val="nil"/>
              <w:tr2bl w:val="nil"/>
            </w:tcBorders>
            <w:vAlign w:val="center"/>
          </w:tcPr>
          <w:p w14:paraId="6E272E9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1605" w:type="dxa"/>
            <w:tcBorders>
              <w:tl2br w:val="nil"/>
              <w:tr2bl w:val="nil"/>
            </w:tcBorders>
            <w:vAlign w:val="center"/>
          </w:tcPr>
          <w:p w14:paraId="00E05CC8">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楼层</w:t>
            </w:r>
          </w:p>
        </w:tc>
        <w:tc>
          <w:tcPr>
            <w:tcW w:w="5134" w:type="dxa"/>
            <w:tcBorders>
              <w:tl2br w:val="nil"/>
              <w:tr2bl w:val="nil"/>
            </w:tcBorders>
            <w:vAlign w:val="center"/>
          </w:tcPr>
          <w:p w14:paraId="4D9D0DD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使用功能</w:t>
            </w:r>
          </w:p>
        </w:tc>
        <w:tc>
          <w:tcPr>
            <w:tcW w:w="1422" w:type="dxa"/>
            <w:tcBorders>
              <w:tl2br w:val="nil"/>
              <w:tr2bl w:val="nil"/>
            </w:tcBorders>
            <w:vAlign w:val="center"/>
          </w:tcPr>
          <w:p w14:paraId="4DF5530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建筑面积（m</w:t>
            </w:r>
            <w:r>
              <w:rPr>
                <w:rFonts w:hint="default" w:ascii="Times New Roman" w:hAnsi="Times New Roman" w:eastAsia="宋体" w:cs="Times New Roman"/>
                <w:color w:val="auto"/>
                <w:sz w:val="21"/>
                <w:szCs w:val="21"/>
                <w:highlight w:val="none"/>
                <w:vertAlign w:val="superscript"/>
              </w:rPr>
              <w:t>2</w:t>
            </w:r>
            <w:r>
              <w:rPr>
                <w:rFonts w:hint="default" w:ascii="Times New Roman" w:hAnsi="Times New Roman" w:eastAsia="宋体" w:cs="Times New Roman"/>
                <w:color w:val="auto"/>
                <w:sz w:val="21"/>
                <w:szCs w:val="21"/>
                <w:highlight w:val="none"/>
              </w:rPr>
              <w:t>）</w:t>
            </w:r>
          </w:p>
        </w:tc>
      </w:tr>
      <w:tr w14:paraId="74A706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tcBorders>
              <w:tl2br w:val="nil"/>
              <w:tr2bl w:val="nil"/>
            </w:tcBorders>
            <w:vAlign w:val="center"/>
          </w:tcPr>
          <w:p w14:paraId="77FA5EA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605" w:type="dxa"/>
            <w:tcBorders>
              <w:tl2br w:val="nil"/>
              <w:tr2bl w:val="nil"/>
            </w:tcBorders>
            <w:vAlign w:val="center"/>
          </w:tcPr>
          <w:p w14:paraId="59E67F49">
            <w:pPr>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层</w:t>
            </w:r>
          </w:p>
        </w:tc>
        <w:tc>
          <w:tcPr>
            <w:tcW w:w="5134" w:type="dxa"/>
            <w:tcBorders>
              <w:tl2br w:val="nil"/>
              <w:tr2bl w:val="nil"/>
            </w:tcBorders>
            <w:vAlign w:val="center"/>
          </w:tcPr>
          <w:p w14:paraId="39C599D6">
            <w:pPr>
              <w:jc w:val="center"/>
              <w:rPr>
                <w:rFonts w:hint="eastAsia" w:ascii="Times New Roman" w:hAnsi="Times New Roman" w:eastAsia="宋体" w:cs="Times New Roman"/>
                <w:color w:val="auto"/>
                <w:sz w:val="21"/>
                <w:szCs w:val="21"/>
                <w:highlight w:val="none"/>
                <w:lang w:val="en-US" w:eastAsia="zh-CN"/>
              </w:rPr>
            </w:pPr>
            <w:r>
              <w:rPr>
                <w:rFonts w:hint="eastAsia"/>
                <w:color w:val="auto"/>
                <w:sz w:val="21"/>
                <w:szCs w:val="21"/>
                <w:highlight w:val="none"/>
                <w:lang w:eastAsia="zh-CN"/>
              </w:rPr>
              <w:t>药浴室</w:t>
            </w:r>
            <w:r>
              <w:rPr>
                <w:rFonts w:hint="eastAsia"/>
                <w:color w:val="auto"/>
                <w:sz w:val="21"/>
                <w:szCs w:val="21"/>
                <w:highlight w:val="none"/>
                <w:lang w:val="en-US" w:eastAsia="zh-CN"/>
              </w:rPr>
              <w:t>2个</w:t>
            </w:r>
            <w:r>
              <w:rPr>
                <w:rFonts w:hint="eastAsia"/>
                <w:color w:val="auto"/>
                <w:sz w:val="21"/>
                <w:szCs w:val="21"/>
                <w:highlight w:val="none"/>
                <w:lang w:eastAsia="zh-CN"/>
              </w:rPr>
              <w:t>、熏蒸室</w:t>
            </w:r>
            <w:r>
              <w:rPr>
                <w:rFonts w:hint="eastAsia"/>
                <w:color w:val="auto"/>
                <w:sz w:val="21"/>
                <w:szCs w:val="21"/>
                <w:highlight w:val="none"/>
                <w:lang w:val="en-US" w:eastAsia="zh-CN"/>
              </w:rPr>
              <w:t>2个</w:t>
            </w:r>
            <w:r>
              <w:rPr>
                <w:rFonts w:hint="eastAsia"/>
                <w:color w:val="auto"/>
                <w:sz w:val="21"/>
                <w:szCs w:val="21"/>
                <w:highlight w:val="none"/>
                <w:lang w:eastAsia="zh-CN"/>
              </w:rPr>
              <w:t>、休息室</w:t>
            </w:r>
            <w:r>
              <w:rPr>
                <w:rFonts w:hint="eastAsia"/>
                <w:color w:val="auto"/>
                <w:sz w:val="21"/>
                <w:szCs w:val="21"/>
                <w:highlight w:val="none"/>
                <w:lang w:val="en-US" w:eastAsia="zh-CN"/>
              </w:rPr>
              <w:t>2个</w:t>
            </w:r>
          </w:p>
        </w:tc>
        <w:tc>
          <w:tcPr>
            <w:tcW w:w="1422" w:type="dxa"/>
            <w:tcBorders>
              <w:tl2br w:val="nil"/>
              <w:tr2bl w:val="nil"/>
            </w:tcBorders>
            <w:vAlign w:val="center"/>
          </w:tcPr>
          <w:p w14:paraId="74492063">
            <w:pPr>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900</w:t>
            </w:r>
          </w:p>
        </w:tc>
      </w:tr>
      <w:tr w14:paraId="3B3E8C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tcBorders>
              <w:tl2br w:val="nil"/>
              <w:tr2bl w:val="nil"/>
            </w:tcBorders>
            <w:vAlign w:val="center"/>
          </w:tcPr>
          <w:p w14:paraId="5FC33BD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1605" w:type="dxa"/>
            <w:tcBorders>
              <w:tl2br w:val="nil"/>
              <w:tr2bl w:val="nil"/>
            </w:tcBorders>
            <w:vAlign w:val="center"/>
          </w:tcPr>
          <w:p w14:paraId="38769F4A">
            <w:pPr>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层</w:t>
            </w:r>
          </w:p>
        </w:tc>
        <w:tc>
          <w:tcPr>
            <w:tcW w:w="5134" w:type="dxa"/>
            <w:tcBorders>
              <w:tl2br w:val="nil"/>
              <w:tr2bl w:val="nil"/>
            </w:tcBorders>
            <w:vAlign w:val="center"/>
          </w:tcPr>
          <w:p w14:paraId="37C9C71D">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eastAsia="zh-CN"/>
              </w:rPr>
              <w:t>机房、心电图室、理疗室</w:t>
            </w:r>
            <w:r>
              <w:rPr>
                <w:rFonts w:hint="eastAsia" w:cs="Times New Roman"/>
                <w:color w:val="auto"/>
                <w:sz w:val="21"/>
                <w:szCs w:val="21"/>
                <w:highlight w:val="none"/>
                <w:lang w:val="en-US" w:eastAsia="zh-CN"/>
              </w:rPr>
              <w:t>2个、处置室、观察室、库房、药房、办公室4个、护士站、护士休息室、收款室、诊室2个、候诊厅</w:t>
            </w:r>
          </w:p>
        </w:tc>
        <w:tc>
          <w:tcPr>
            <w:tcW w:w="1422" w:type="dxa"/>
            <w:tcBorders>
              <w:tl2br w:val="nil"/>
              <w:tr2bl w:val="nil"/>
            </w:tcBorders>
            <w:vAlign w:val="center"/>
          </w:tcPr>
          <w:p w14:paraId="0F60BD2E">
            <w:pPr>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900</w:t>
            </w:r>
          </w:p>
        </w:tc>
      </w:tr>
      <w:tr w14:paraId="47A7AA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tcBorders>
              <w:tl2br w:val="nil"/>
              <w:tr2bl w:val="nil"/>
            </w:tcBorders>
            <w:vAlign w:val="center"/>
          </w:tcPr>
          <w:p w14:paraId="53138E17">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1605" w:type="dxa"/>
            <w:tcBorders>
              <w:tl2br w:val="nil"/>
              <w:tr2bl w:val="nil"/>
            </w:tcBorders>
            <w:vAlign w:val="center"/>
          </w:tcPr>
          <w:p w14:paraId="3E5ADAA1">
            <w:pPr>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层</w:t>
            </w:r>
          </w:p>
        </w:tc>
        <w:tc>
          <w:tcPr>
            <w:tcW w:w="5134" w:type="dxa"/>
            <w:tcBorders>
              <w:tl2br w:val="nil"/>
              <w:tr2bl w:val="nil"/>
            </w:tcBorders>
            <w:vAlign w:val="center"/>
          </w:tcPr>
          <w:p w14:paraId="15DEA2D3">
            <w:pPr>
              <w:ind w:right="-61" w:rightChars="-29"/>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eastAsia="zh-CN"/>
              </w:rPr>
              <w:t>小会议室、多媒体教室、煎药室、休闲厅、普通病房</w:t>
            </w:r>
            <w:r>
              <w:rPr>
                <w:rFonts w:hint="eastAsia" w:cs="Times New Roman"/>
                <w:color w:val="auto"/>
                <w:sz w:val="21"/>
                <w:szCs w:val="21"/>
                <w:highlight w:val="none"/>
                <w:lang w:val="en-US" w:eastAsia="zh-CN"/>
              </w:rPr>
              <w:t>3间</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VIP病房1间、国医馆、办公室2间、休息室</w:t>
            </w:r>
          </w:p>
        </w:tc>
        <w:tc>
          <w:tcPr>
            <w:tcW w:w="1422" w:type="dxa"/>
            <w:tcBorders>
              <w:tl2br w:val="nil"/>
              <w:tr2bl w:val="nil"/>
            </w:tcBorders>
            <w:vAlign w:val="center"/>
          </w:tcPr>
          <w:p w14:paraId="729495BB">
            <w:pPr>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900</w:t>
            </w:r>
          </w:p>
        </w:tc>
      </w:tr>
      <w:tr w14:paraId="2E4BB2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25" w:type="dxa"/>
            <w:tcBorders>
              <w:tl2br w:val="nil"/>
              <w:tr2bl w:val="nil"/>
            </w:tcBorders>
            <w:vAlign w:val="center"/>
          </w:tcPr>
          <w:p w14:paraId="2E90F41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605" w:type="dxa"/>
            <w:tcBorders>
              <w:tl2br w:val="nil"/>
              <w:tr2bl w:val="nil"/>
            </w:tcBorders>
            <w:vAlign w:val="center"/>
          </w:tcPr>
          <w:p w14:paraId="55617D5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合计</w:t>
            </w:r>
          </w:p>
        </w:tc>
        <w:tc>
          <w:tcPr>
            <w:tcW w:w="5134" w:type="dxa"/>
            <w:tcBorders>
              <w:tl2br w:val="nil"/>
              <w:tr2bl w:val="nil"/>
            </w:tcBorders>
            <w:vAlign w:val="center"/>
          </w:tcPr>
          <w:p w14:paraId="59DDADC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422" w:type="dxa"/>
            <w:tcBorders>
              <w:tl2br w:val="nil"/>
              <w:tr2bl w:val="nil"/>
            </w:tcBorders>
            <w:vAlign w:val="center"/>
          </w:tcPr>
          <w:p w14:paraId="4A9E3A92">
            <w:pPr>
              <w:jc w:val="center"/>
              <w:rPr>
                <w:rFonts w:hint="default" w:ascii="Times New Roman" w:hAnsi="Times New Roman" w:eastAsia="宋体" w:cs="Times New Roman"/>
                <w:color w:val="auto"/>
                <w:sz w:val="21"/>
                <w:szCs w:val="21"/>
                <w:highlight w:val="none"/>
                <w:lang w:val="en-US"/>
              </w:rPr>
            </w:pPr>
            <w:r>
              <w:rPr>
                <w:rFonts w:hint="eastAsia" w:cs="Times New Roman"/>
                <w:color w:val="auto"/>
                <w:sz w:val="21"/>
                <w:szCs w:val="21"/>
                <w:highlight w:val="none"/>
                <w:lang w:val="en-US" w:eastAsia="zh-CN"/>
              </w:rPr>
              <w:t>2700</w:t>
            </w:r>
          </w:p>
        </w:tc>
      </w:tr>
    </w:tbl>
    <w:p w14:paraId="4872F99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auto"/>
        <w:outlineLvl w:val="9"/>
        <w:rPr>
          <w:rFonts w:hint="eastAsia"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6.3主要医疗设备</w:t>
      </w:r>
    </w:p>
    <w:p w14:paraId="31C507A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outlineLvl w:val="9"/>
        <w:rPr>
          <w:rFonts w:hint="eastAsia"/>
          <w:color w:val="auto"/>
          <w:sz w:val="24"/>
          <w:highlight w:val="none"/>
        </w:rPr>
      </w:pPr>
      <w:r>
        <w:rPr>
          <w:rFonts w:hint="eastAsia"/>
          <w:color w:val="auto"/>
          <w:sz w:val="24"/>
          <w:highlight w:val="none"/>
        </w:rPr>
        <w:t>主要医疗设备见表</w:t>
      </w:r>
      <w:r>
        <w:rPr>
          <w:rFonts w:hint="eastAsia"/>
          <w:color w:val="auto"/>
          <w:sz w:val="24"/>
          <w:highlight w:val="none"/>
          <w:lang w:val="en-US" w:eastAsia="zh-CN"/>
        </w:rPr>
        <w:t>5</w:t>
      </w:r>
      <w:r>
        <w:rPr>
          <w:rFonts w:hint="eastAsia"/>
          <w:color w:val="auto"/>
          <w:sz w:val="24"/>
          <w:highlight w:val="none"/>
        </w:rPr>
        <w:t>。</w:t>
      </w:r>
    </w:p>
    <w:p w14:paraId="2976CAA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both"/>
        <w:textAlignment w:val="auto"/>
        <w:outlineLvl w:val="9"/>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rPr>
        <w:t>表</w:t>
      </w:r>
      <w:r>
        <w:rPr>
          <w:rFonts w:hint="eastAsia" w:cs="Times New Roman"/>
          <w:b/>
          <w:bCs/>
          <w:color w:val="auto"/>
          <w:highlight w:val="none"/>
          <w:lang w:val="en-US" w:eastAsia="zh-CN"/>
        </w:rPr>
        <w:t xml:space="preserve">5                              </w:t>
      </w:r>
      <w:r>
        <w:rPr>
          <w:rFonts w:hint="default" w:ascii="Times New Roman" w:hAnsi="Times New Roman" w:cs="Times New Roman"/>
          <w:b/>
          <w:bCs/>
          <w:color w:val="auto"/>
          <w:highlight w:val="none"/>
        </w:rPr>
        <w:t>项目主要设备一览表</w:t>
      </w:r>
      <w:r>
        <w:rPr>
          <w:rFonts w:hint="default" w:ascii="Times New Roman" w:hAnsi="Times New Roman" w:cs="Times New Roman"/>
          <w:b/>
          <w:bCs/>
          <w:color w:val="auto"/>
          <w:highlight w:val="none"/>
          <w:lang w:val="en-US" w:eastAsia="zh-CN"/>
        </w:rPr>
        <w:t xml:space="preserve"> </w:t>
      </w:r>
    </w:p>
    <w:tbl>
      <w:tblPr>
        <w:tblStyle w:val="24"/>
        <w:tblW w:w="928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2888"/>
        <w:gridCol w:w="1595"/>
        <w:gridCol w:w="3791"/>
      </w:tblGrid>
      <w:tr w14:paraId="3C60F4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tcBorders>
              <w:tl2br w:val="nil"/>
              <w:tr2bl w:val="nil"/>
            </w:tcBorders>
            <w:vAlign w:val="center"/>
          </w:tcPr>
          <w:p w14:paraId="26D3D14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2888" w:type="dxa"/>
            <w:tcBorders>
              <w:tl2br w:val="nil"/>
              <w:tr2bl w:val="nil"/>
            </w:tcBorders>
            <w:vAlign w:val="center"/>
          </w:tcPr>
          <w:p w14:paraId="093B1CC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设备名称</w:t>
            </w:r>
          </w:p>
        </w:tc>
        <w:tc>
          <w:tcPr>
            <w:tcW w:w="1595" w:type="dxa"/>
            <w:tcBorders>
              <w:tl2br w:val="nil"/>
              <w:tr2bl w:val="nil"/>
            </w:tcBorders>
            <w:vAlign w:val="center"/>
          </w:tcPr>
          <w:p w14:paraId="34ED889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数量</w:t>
            </w:r>
          </w:p>
        </w:tc>
        <w:tc>
          <w:tcPr>
            <w:tcW w:w="3791" w:type="dxa"/>
            <w:tcBorders>
              <w:tl2br w:val="nil"/>
              <w:tr2bl w:val="nil"/>
            </w:tcBorders>
            <w:vAlign w:val="center"/>
          </w:tcPr>
          <w:p w14:paraId="3AE5FAE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规格型号</w:t>
            </w:r>
          </w:p>
        </w:tc>
      </w:tr>
      <w:tr w14:paraId="7CC983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tcBorders>
              <w:tl2br w:val="nil"/>
              <w:tr2bl w:val="nil"/>
            </w:tcBorders>
            <w:vAlign w:val="center"/>
          </w:tcPr>
          <w:p w14:paraId="730D290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888" w:type="dxa"/>
            <w:tcBorders>
              <w:tl2br w:val="nil"/>
              <w:tr2bl w:val="nil"/>
            </w:tcBorders>
            <w:vAlign w:val="center"/>
          </w:tcPr>
          <w:p w14:paraId="29EA7B4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心电图仪</w:t>
            </w:r>
          </w:p>
        </w:tc>
        <w:tc>
          <w:tcPr>
            <w:tcW w:w="1595" w:type="dxa"/>
            <w:tcBorders>
              <w:tl2br w:val="nil"/>
              <w:tr2bl w:val="nil"/>
            </w:tcBorders>
            <w:vAlign w:val="center"/>
          </w:tcPr>
          <w:p w14:paraId="67FD2AD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3791" w:type="dxa"/>
            <w:tcBorders>
              <w:tl2br w:val="nil"/>
              <w:tr2bl w:val="nil"/>
            </w:tcBorders>
            <w:vAlign w:val="center"/>
          </w:tcPr>
          <w:p w14:paraId="53A929D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1250p</w:t>
            </w:r>
          </w:p>
        </w:tc>
      </w:tr>
      <w:tr w14:paraId="522EC7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tcBorders>
              <w:tl2br w:val="nil"/>
              <w:tr2bl w:val="nil"/>
            </w:tcBorders>
            <w:vAlign w:val="center"/>
          </w:tcPr>
          <w:p w14:paraId="7DE0AFB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2888" w:type="dxa"/>
            <w:tcBorders>
              <w:tl2br w:val="nil"/>
              <w:tr2bl w:val="nil"/>
            </w:tcBorders>
            <w:vAlign w:val="center"/>
          </w:tcPr>
          <w:p w14:paraId="4522CE0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洗胃机</w:t>
            </w:r>
          </w:p>
        </w:tc>
        <w:tc>
          <w:tcPr>
            <w:tcW w:w="1595" w:type="dxa"/>
            <w:tcBorders>
              <w:tl2br w:val="nil"/>
              <w:tr2bl w:val="nil"/>
            </w:tcBorders>
            <w:vAlign w:val="center"/>
          </w:tcPr>
          <w:p w14:paraId="2714458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3791" w:type="dxa"/>
            <w:tcBorders>
              <w:tl2br w:val="nil"/>
              <w:tr2bl w:val="nil"/>
            </w:tcBorders>
            <w:vAlign w:val="center"/>
          </w:tcPr>
          <w:p w14:paraId="096AC2D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KD·XW-47.2C</w:t>
            </w:r>
          </w:p>
        </w:tc>
      </w:tr>
      <w:tr w14:paraId="679F29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tcBorders>
              <w:tl2br w:val="nil"/>
              <w:tr2bl w:val="nil"/>
            </w:tcBorders>
            <w:vAlign w:val="center"/>
          </w:tcPr>
          <w:p w14:paraId="5E241EF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2888" w:type="dxa"/>
            <w:tcBorders>
              <w:tl2br w:val="nil"/>
              <w:tr2bl w:val="nil"/>
            </w:tcBorders>
            <w:vAlign w:val="center"/>
          </w:tcPr>
          <w:p w14:paraId="33F4485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电动吸引器</w:t>
            </w:r>
          </w:p>
        </w:tc>
        <w:tc>
          <w:tcPr>
            <w:tcW w:w="1595" w:type="dxa"/>
            <w:tcBorders>
              <w:tl2br w:val="nil"/>
              <w:tr2bl w:val="nil"/>
            </w:tcBorders>
            <w:vAlign w:val="center"/>
          </w:tcPr>
          <w:p w14:paraId="000C26C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3791" w:type="dxa"/>
            <w:tcBorders>
              <w:tl2br w:val="nil"/>
              <w:tr2bl w:val="nil"/>
            </w:tcBorders>
            <w:vAlign w:val="center"/>
          </w:tcPr>
          <w:p w14:paraId="1BC0E4F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7A-23D</w:t>
            </w:r>
          </w:p>
        </w:tc>
      </w:tr>
      <w:tr w14:paraId="52E2A8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tcBorders>
              <w:tl2br w:val="nil"/>
              <w:tr2bl w:val="nil"/>
            </w:tcBorders>
            <w:vAlign w:val="center"/>
          </w:tcPr>
          <w:p w14:paraId="3BF30D1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p>
        </w:tc>
        <w:tc>
          <w:tcPr>
            <w:tcW w:w="2888" w:type="dxa"/>
            <w:tcBorders>
              <w:tl2br w:val="nil"/>
              <w:tr2bl w:val="nil"/>
            </w:tcBorders>
            <w:vAlign w:val="center"/>
          </w:tcPr>
          <w:p w14:paraId="6141D4B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氧气车</w:t>
            </w:r>
          </w:p>
        </w:tc>
        <w:tc>
          <w:tcPr>
            <w:tcW w:w="1595" w:type="dxa"/>
            <w:tcBorders>
              <w:tl2br w:val="nil"/>
              <w:tr2bl w:val="nil"/>
            </w:tcBorders>
            <w:vAlign w:val="center"/>
          </w:tcPr>
          <w:p w14:paraId="3C76BC0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3791" w:type="dxa"/>
            <w:tcBorders>
              <w:tl2br w:val="nil"/>
              <w:tr2bl w:val="nil"/>
            </w:tcBorders>
            <w:vAlign w:val="center"/>
          </w:tcPr>
          <w:p w14:paraId="6B4F691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0BEA38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tcBorders>
              <w:tl2br w:val="nil"/>
              <w:tr2bl w:val="nil"/>
            </w:tcBorders>
            <w:vAlign w:val="center"/>
          </w:tcPr>
          <w:p w14:paraId="404B492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w:t>
            </w:r>
          </w:p>
        </w:tc>
        <w:tc>
          <w:tcPr>
            <w:tcW w:w="2888" w:type="dxa"/>
            <w:tcBorders>
              <w:tl2br w:val="nil"/>
              <w:tr2bl w:val="nil"/>
            </w:tcBorders>
            <w:vAlign w:val="center"/>
          </w:tcPr>
          <w:p w14:paraId="050D217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医用离心机</w:t>
            </w:r>
          </w:p>
        </w:tc>
        <w:tc>
          <w:tcPr>
            <w:tcW w:w="1595" w:type="dxa"/>
            <w:tcBorders>
              <w:tl2br w:val="nil"/>
              <w:tr2bl w:val="nil"/>
            </w:tcBorders>
            <w:vAlign w:val="center"/>
          </w:tcPr>
          <w:p w14:paraId="66DD90E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3791" w:type="dxa"/>
            <w:tcBorders>
              <w:tl2br w:val="nil"/>
              <w:tr2bl w:val="nil"/>
            </w:tcBorders>
            <w:vAlign w:val="center"/>
          </w:tcPr>
          <w:p w14:paraId="73A1BDF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S-1-150S</w:t>
            </w:r>
          </w:p>
        </w:tc>
      </w:tr>
      <w:tr w14:paraId="025B9E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tcBorders>
              <w:tl2br w:val="nil"/>
              <w:tr2bl w:val="nil"/>
            </w:tcBorders>
            <w:vAlign w:val="center"/>
          </w:tcPr>
          <w:p w14:paraId="7B39545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w:t>
            </w:r>
          </w:p>
        </w:tc>
        <w:tc>
          <w:tcPr>
            <w:tcW w:w="2888" w:type="dxa"/>
            <w:tcBorders>
              <w:tl2br w:val="nil"/>
              <w:tr2bl w:val="nil"/>
            </w:tcBorders>
            <w:vAlign w:val="center"/>
          </w:tcPr>
          <w:p w14:paraId="65D9930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煎药机</w:t>
            </w:r>
          </w:p>
        </w:tc>
        <w:tc>
          <w:tcPr>
            <w:tcW w:w="1595" w:type="dxa"/>
            <w:tcBorders>
              <w:tl2br w:val="nil"/>
              <w:tr2bl w:val="nil"/>
            </w:tcBorders>
            <w:vAlign w:val="center"/>
          </w:tcPr>
          <w:p w14:paraId="7507269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3791" w:type="dxa"/>
            <w:tcBorders>
              <w:tl2br w:val="nil"/>
              <w:tr2bl w:val="nil"/>
            </w:tcBorders>
            <w:vAlign w:val="center"/>
          </w:tcPr>
          <w:p w14:paraId="109B692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YY-C1</w:t>
            </w:r>
          </w:p>
        </w:tc>
      </w:tr>
      <w:tr w14:paraId="152DF3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tcBorders>
              <w:tl2br w:val="nil"/>
              <w:tr2bl w:val="nil"/>
            </w:tcBorders>
            <w:vAlign w:val="center"/>
          </w:tcPr>
          <w:p w14:paraId="29F41B2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w:t>
            </w:r>
          </w:p>
        </w:tc>
        <w:tc>
          <w:tcPr>
            <w:tcW w:w="2888" w:type="dxa"/>
            <w:tcBorders>
              <w:tl2br w:val="nil"/>
              <w:tr2bl w:val="nil"/>
            </w:tcBorders>
            <w:vAlign w:val="center"/>
          </w:tcPr>
          <w:p w14:paraId="70CE583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熏蒸器</w:t>
            </w:r>
          </w:p>
        </w:tc>
        <w:tc>
          <w:tcPr>
            <w:tcW w:w="1595" w:type="dxa"/>
            <w:tcBorders>
              <w:tl2br w:val="nil"/>
              <w:tr2bl w:val="nil"/>
            </w:tcBorders>
            <w:vAlign w:val="center"/>
          </w:tcPr>
          <w:p w14:paraId="0B39840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p>
        </w:tc>
        <w:tc>
          <w:tcPr>
            <w:tcW w:w="3791" w:type="dxa"/>
            <w:tcBorders>
              <w:tl2br w:val="nil"/>
              <w:tr2bl w:val="nil"/>
            </w:tcBorders>
            <w:vAlign w:val="center"/>
          </w:tcPr>
          <w:p w14:paraId="4E976C1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2EFA08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tcBorders>
              <w:tl2br w:val="nil"/>
              <w:tr2bl w:val="nil"/>
            </w:tcBorders>
            <w:vAlign w:val="center"/>
          </w:tcPr>
          <w:p w14:paraId="1F84709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w:t>
            </w:r>
          </w:p>
        </w:tc>
        <w:tc>
          <w:tcPr>
            <w:tcW w:w="2888" w:type="dxa"/>
            <w:tcBorders>
              <w:tl2br w:val="nil"/>
              <w:tr2bl w:val="nil"/>
            </w:tcBorders>
            <w:vAlign w:val="center"/>
          </w:tcPr>
          <w:p w14:paraId="28FA38E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熏药床</w:t>
            </w:r>
          </w:p>
        </w:tc>
        <w:tc>
          <w:tcPr>
            <w:tcW w:w="1595" w:type="dxa"/>
            <w:tcBorders>
              <w:tl2br w:val="nil"/>
              <w:tr2bl w:val="nil"/>
            </w:tcBorders>
            <w:vAlign w:val="center"/>
          </w:tcPr>
          <w:p w14:paraId="2CF25BA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3791" w:type="dxa"/>
            <w:tcBorders>
              <w:tl2br w:val="nil"/>
              <w:tr2bl w:val="nil"/>
            </w:tcBorders>
            <w:vAlign w:val="center"/>
          </w:tcPr>
          <w:p w14:paraId="41F0BC5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1CABA9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tcBorders>
              <w:tl2br w:val="nil"/>
              <w:tr2bl w:val="nil"/>
            </w:tcBorders>
            <w:vAlign w:val="center"/>
          </w:tcPr>
          <w:p w14:paraId="5591E29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FF0000"/>
                <w:sz w:val="21"/>
                <w:szCs w:val="21"/>
                <w:highlight w:val="none"/>
                <w:lang w:val="en-US" w:eastAsia="zh-CN"/>
              </w:rPr>
            </w:pPr>
            <w:r>
              <w:rPr>
                <w:rFonts w:hint="eastAsia" w:cs="Times New Roman"/>
                <w:color w:val="FF0000"/>
                <w:sz w:val="21"/>
                <w:szCs w:val="21"/>
                <w:highlight w:val="none"/>
                <w:lang w:val="en-US" w:eastAsia="zh-CN"/>
              </w:rPr>
              <w:t>9</w:t>
            </w:r>
          </w:p>
        </w:tc>
        <w:tc>
          <w:tcPr>
            <w:tcW w:w="2888" w:type="dxa"/>
            <w:tcBorders>
              <w:tl2br w:val="nil"/>
              <w:tr2bl w:val="nil"/>
            </w:tcBorders>
            <w:vAlign w:val="center"/>
          </w:tcPr>
          <w:p w14:paraId="0C2BDBF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cs="Times New Roman"/>
                <w:color w:val="FF0000"/>
                <w:sz w:val="21"/>
                <w:szCs w:val="21"/>
                <w:highlight w:val="none"/>
                <w:lang w:eastAsia="zh-CN"/>
              </w:rPr>
            </w:pPr>
            <w:r>
              <w:rPr>
                <w:rFonts w:hint="eastAsia" w:cs="Times New Roman"/>
                <w:color w:val="FF0000"/>
                <w:sz w:val="21"/>
                <w:szCs w:val="21"/>
                <w:highlight w:val="none"/>
                <w:lang w:eastAsia="zh-CN"/>
              </w:rPr>
              <w:t>紫外线杀菌器</w:t>
            </w:r>
          </w:p>
        </w:tc>
        <w:tc>
          <w:tcPr>
            <w:tcW w:w="1595" w:type="dxa"/>
            <w:tcBorders>
              <w:tl2br w:val="nil"/>
              <w:tr2bl w:val="nil"/>
            </w:tcBorders>
            <w:vAlign w:val="center"/>
          </w:tcPr>
          <w:p w14:paraId="623EF73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cs="Times New Roman"/>
                <w:color w:val="FF0000"/>
                <w:sz w:val="21"/>
                <w:szCs w:val="21"/>
                <w:highlight w:val="none"/>
                <w:lang w:val="en-US" w:eastAsia="zh-CN"/>
              </w:rPr>
            </w:pPr>
            <w:r>
              <w:rPr>
                <w:rFonts w:hint="eastAsia" w:cs="Times New Roman"/>
                <w:color w:val="FF0000"/>
                <w:sz w:val="21"/>
                <w:szCs w:val="21"/>
                <w:highlight w:val="none"/>
                <w:lang w:val="en-US" w:eastAsia="zh-CN"/>
              </w:rPr>
              <w:t>1</w:t>
            </w:r>
          </w:p>
        </w:tc>
        <w:tc>
          <w:tcPr>
            <w:tcW w:w="3791" w:type="dxa"/>
            <w:tcBorders>
              <w:tl2br w:val="nil"/>
              <w:tr2bl w:val="nil"/>
            </w:tcBorders>
            <w:vAlign w:val="center"/>
          </w:tcPr>
          <w:p w14:paraId="2D9C98A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cs="Times New Roman"/>
                <w:color w:val="FF0000"/>
                <w:sz w:val="21"/>
                <w:szCs w:val="21"/>
                <w:highlight w:val="none"/>
                <w:lang w:val="en-US" w:eastAsia="zh-CN"/>
              </w:rPr>
            </w:pPr>
            <w:r>
              <w:rPr>
                <w:rFonts w:hint="eastAsia" w:cs="Times New Roman"/>
                <w:color w:val="FF0000"/>
                <w:sz w:val="21"/>
                <w:szCs w:val="21"/>
                <w:highlight w:val="none"/>
                <w:lang w:val="en-US" w:eastAsia="zh-CN"/>
              </w:rPr>
              <w:t>/</w:t>
            </w:r>
          </w:p>
        </w:tc>
      </w:tr>
      <w:tr w14:paraId="4E4452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tcBorders>
              <w:tl2br w:val="nil"/>
              <w:tr2bl w:val="nil"/>
            </w:tcBorders>
            <w:vAlign w:val="center"/>
          </w:tcPr>
          <w:p w14:paraId="6A8B83B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FF0000"/>
                <w:sz w:val="21"/>
                <w:szCs w:val="21"/>
                <w:highlight w:val="none"/>
                <w:lang w:val="en-US" w:eastAsia="zh-CN"/>
              </w:rPr>
            </w:pPr>
            <w:r>
              <w:rPr>
                <w:rFonts w:hint="eastAsia" w:cs="Times New Roman"/>
                <w:color w:val="FF0000"/>
                <w:sz w:val="21"/>
                <w:szCs w:val="21"/>
                <w:highlight w:val="none"/>
                <w:lang w:val="en-US" w:eastAsia="zh-CN"/>
              </w:rPr>
              <w:t>10</w:t>
            </w:r>
          </w:p>
        </w:tc>
        <w:tc>
          <w:tcPr>
            <w:tcW w:w="2888" w:type="dxa"/>
            <w:tcBorders>
              <w:tl2br w:val="nil"/>
              <w:tr2bl w:val="nil"/>
            </w:tcBorders>
            <w:vAlign w:val="center"/>
          </w:tcPr>
          <w:p w14:paraId="3A8CC5B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cs="Times New Roman"/>
                <w:color w:val="FF0000"/>
                <w:sz w:val="21"/>
                <w:szCs w:val="21"/>
                <w:highlight w:val="none"/>
                <w:lang w:eastAsia="zh-CN"/>
              </w:rPr>
            </w:pPr>
            <w:r>
              <w:rPr>
                <w:rFonts w:hint="eastAsia" w:cs="Times New Roman"/>
                <w:color w:val="FF0000"/>
                <w:sz w:val="21"/>
                <w:szCs w:val="21"/>
                <w:highlight w:val="none"/>
                <w:lang w:eastAsia="zh-CN"/>
              </w:rPr>
              <w:t>压力蒸汽灭菌器</w:t>
            </w:r>
          </w:p>
        </w:tc>
        <w:tc>
          <w:tcPr>
            <w:tcW w:w="1595" w:type="dxa"/>
            <w:tcBorders>
              <w:tl2br w:val="nil"/>
              <w:tr2bl w:val="nil"/>
            </w:tcBorders>
            <w:vAlign w:val="center"/>
          </w:tcPr>
          <w:p w14:paraId="4133EE9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cs="Times New Roman"/>
                <w:color w:val="FF0000"/>
                <w:sz w:val="21"/>
                <w:szCs w:val="21"/>
                <w:highlight w:val="none"/>
                <w:lang w:val="en-US" w:eastAsia="zh-CN"/>
              </w:rPr>
            </w:pPr>
            <w:r>
              <w:rPr>
                <w:rFonts w:hint="eastAsia" w:cs="Times New Roman"/>
                <w:color w:val="FF0000"/>
                <w:sz w:val="21"/>
                <w:szCs w:val="21"/>
                <w:highlight w:val="none"/>
                <w:lang w:val="en-US" w:eastAsia="zh-CN"/>
              </w:rPr>
              <w:t>1</w:t>
            </w:r>
          </w:p>
        </w:tc>
        <w:tc>
          <w:tcPr>
            <w:tcW w:w="3791" w:type="dxa"/>
            <w:tcBorders>
              <w:tl2br w:val="nil"/>
              <w:tr2bl w:val="nil"/>
            </w:tcBorders>
            <w:vAlign w:val="center"/>
          </w:tcPr>
          <w:p w14:paraId="5DCD8EF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cs="Times New Roman"/>
                <w:color w:val="FF0000"/>
                <w:sz w:val="21"/>
                <w:szCs w:val="21"/>
                <w:highlight w:val="none"/>
                <w:lang w:val="en-US" w:eastAsia="zh-CN"/>
              </w:rPr>
            </w:pPr>
            <w:r>
              <w:rPr>
                <w:rFonts w:hint="eastAsia" w:cs="Times New Roman"/>
                <w:color w:val="FF0000"/>
                <w:sz w:val="21"/>
                <w:szCs w:val="21"/>
                <w:highlight w:val="none"/>
                <w:lang w:val="en-US" w:eastAsia="zh-CN"/>
              </w:rPr>
              <w:t>BKQ-B50Ⅱ</w:t>
            </w:r>
          </w:p>
        </w:tc>
      </w:tr>
    </w:tbl>
    <w:p w14:paraId="50A59102">
      <w:pPr>
        <w:adjustRightInd w:val="0"/>
        <w:snapToGrid w:val="0"/>
        <w:spacing w:line="360" w:lineRule="auto"/>
        <w:ind w:left="480" w:hanging="480" w:hangingChars="200"/>
        <w:jc w:val="left"/>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6.4原辅材料及能源</w:t>
      </w:r>
    </w:p>
    <w:p w14:paraId="2624F02E">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outlineLvl w:val="9"/>
        <w:rPr>
          <w:rFonts w:hint="eastAsia" w:ascii="Times New Roman" w:hAnsi="Times New Roman" w:eastAsia="宋体" w:cs="Times New Roman"/>
          <w:color w:val="auto"/>
          <w:sz w:val="24"/>
          <w:szCs w:val="24"/>
          <w:highlight w:val="none"/>
          <w:lang w:eastAsia="zh-CN"/>
        </w:rPr>
      </w:pPr>
      <w:r>
        <w:rPr>
          <w:rFonts w:hint="eastAsia" w:ascii="Times New Roman" w:hAnsi="Times New Roman" w:cs="Times New Roman"/>
          <w:color w:val="auto"/>
          <w:sz w:val="24"/>
          <w:szCs w:val="24"/>
          <w:highlight w:val="none"/>
        </w:rPr>
        <w:t>本项目原辅材料消耗情况见</w:t>
      </w:r>
      <w:r>
        <w:rPr>
          <w:rFonts w:hint="eastAsia" w:ascii="Times New Roman" w:hAnsi="Times New Roman" w:cs="Times New Roman"/>
          <w:color w:val="auto"/>
          <w:sz w:val="24"/>
          <w:szCs w:val="24"/>
          <w:highlight w:val="none"/>
          <w:lang w:eastAsia="zh-CN"/>
        </w:rPr>
        <w:t>下表：</w:t>
      </w:r>
    </w:p>
    <w:p w14:paraId="348CCECE">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color w:val="auto"/>
          <w:sz w:val="21"/>
          <w:szCs w:val="21"/>
          <w:highlight w:val="none"/>
        </w:rPr>
      </w:pPr>
      <w:r>
        <w:rPr>
          <w:rFonts w:ascii="Times New Roman" w:hAnsi="Times New Roman" w:cs="Times New Roman"/>
          <w:b/>
          <w:bCs/>
          <w:color w:val="auto"/>
          <w:sz w:val="21"/>
          <w:szCs w:val="21"/>
          <w:highlight w:val="none"/>
        </w:rPr>
        <w:t>表</w:t>
      </w:r>
      <w:r>
        <w:rPr>
          <w:rFonts w:hint="eastAsia" w:cs="Times New Roman"/>
          <w:b/>
          <w:bCs/>
          <w:color w:val="auto"/>
          <w:sz w:val="21"/>
          <w:szCs w:val="21"/>
          <w:highlight w:val="none"/>
          <w:lang w:val="en-US" w:eastAsia="zh-CN"/>
        </w:rPr>
        <w:t>6</w:t>
      </w:r>
      <w:r>
        <w:rPr>
          <w:rFonts w:ascii="Times New Roman" w:hAnsi="Times New Roman" w:cs="Times New Roman"/>
          <w:b/>
          <w:bCs/>
          <w:color w:val="auto"/>
          <w:sz w:val="21"/>
          <w:szCs w:val="21"/>
          <w:highlight w:val="none"/>
        </w:rPr>
        <w:t xml:space="preserve">              </w:t>
      </w:r>
      <w:r>
        <w:rPr>
          <w:rFonts w:hint="eastAsia" w:ascii="Times New Roman" w:hAnsi="Times New Roman" w:cs="Times New Roman"/>
          <w:b/>
          <w:bCs/>
          <w:color w:val="auto"/>
          <w:sz w:val="21"/>
          <w:szCs w:val="21"/>
          <w:highlight w:val="none"/>
          <w:lang w:val="en-US" w:eastAsia="zh-CN"/>
        </w:rPr>
        <w:t xml:space="preserve">    </w:t>
      </w:r>
      <w:r>
        <w:rPr>
          <w:rFonts w:ascii="Times New Roman" w:hAnsi="Times New Roman" w:cs="Times New Roman"/>
          <w:b/>
          <w:bCs/>
          <w:color w:val="auto"/>
          <w:sz w:val="21"/>
          <w:szCs w:val="21"/>
          <w:highlight w:val="none"/>
        </w:rPr>
        <w:t xml:space="preserve"> </w:t>
      </w:r>
      <w:r>
        <w:rPr>
          <w:rFonts w:hint="eastAsia" w:cs="Times New Roman"/>
          <w:b/>
          <w:bCs/>
          <w:color w:val="auto"/>
          <w:sz w:val="21"/>
          <w:szCs w:val="21"/>
          <w:highlight w:val="none"/>
          <w:lang w:val="en-US" w:eastAsia="zh-CN"/>
        </w:rPr>
        <w:t xml:space="preserve">    </w:t>
      </w:r>
      <w:r>
        <w:rPr>
          <w:rFonts w:ascii="Times New Roman" w:hAnsi="Times New Roman" w:cs="Times New Roman"/>
          <w:b/>
          <w:bCs/>
          <w:color w:val="auto"/>
          <w:sz w:val="21"/>
          <w:szCs w:val="21"/>
          <w:highlight w:val="none"/>
        </w:rPr>
        <w:t>主要原辅材料及能源消耗情况表</w:t>
      </w:r>
    </w:p>
    <w:tbl>
      <w:tblPr>
        <w:tblStyle w:val="24"/>
        <w:tblW w:w="92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484"/>
        <w:gridCol w:w="1225"/>
        <w:gridCol w:w="1275"/>
        <w:gridCol w:w="4666"/>
      </w:tblGrid>
      <w:tr w14:paraId="6F0FEE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636" w:type="dxa"/>
            <w:noWrap w:val="0"/>
            <w:vAlign w:val="center"/>
          </w:tcPr>
          <w:p w14:paraId="5E403FCA">
            <w:pPr>
              <w:ind w:left="-105" w:leftChars="-50" w:right="-105" w:rightChars="-5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序号</w:t>
            </w:r>
          </w:p>
        </w:tc>
        <w:tc>
          <w:tcPr>
            <w:tcW w:w="1484" w:type="dxa"/>
            <w:noWrap w:val="0"/>
            <w:vAlign w:val="center"/>
          </w:tcPr>
          <w:p w14:paraId="615B42B9">
            <w:pPr>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名称</w:t>
            </w:r>
          </w:p>
        </w:tc>
        <w:tc>
          <w:tcPr>
            <w:tcW w:w="1225" w:type="dxa"/>
            <w:noWrap w:val="0"/>
            <w:vAlign w:val="center"/>
          </w:tcPr>
          <w:p w14:paraId="4089D0CF">
            <w:pPr>
              <w:ind w:left="-105" w:leftChars="-50" w:right="-105" w:rightChars="-5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单位</w:t>
            </w:r>
          </w:p>
        </w:tc>
        <w:tc>
          <w:tcPr>
            <w:tcW w:w="1275" w:type="dxa"/>
            <w:noWrap w:val="0"/>
            <w:vAlign w:val="center"/>
          </w:tcPr>
          <w:p w14:paraId="39CE7043">
            <w:pPr>
              <w:ind w:left="-105" w:leftChars="-50" w:right="-105" w:rightChars="-5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年用量</w:t>
            </w:r>
          </w:p>
        </w:tc>
        <w:tc>
          <w:tcPr>
            <w:tcW w:w="4666" w:type="dxa"/>
            <w:noWrap w:val="0"/>
            <w:vAlign w:val="center"/>
          </w:tcPr>
          <w:p w14:paraId="18965DD1">
            <w:pPr>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备注</w:t>
            </w:r>
          </w:p>
        </w:tc>
      </w:tr>
      <w:tr w14:paraId="29D6F8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636" w:type="dxa"/>
            <w:noWrap w:val="0"/>
            <w:vAlign w:val="center"/>
          </w:tcPr>
          <w:p w14:paraId="1FAB7166">
            <w:pPr>
              <w:pStyle w:val="36"/>
              <w:jc w:val="center"/>
              <w:rPr>
                <w:rFonts w:hint="eastAsia"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w:t>
            </w:r>
          </w:p>
        </w:tc>
        <w:tc>
          <w:tcPr>
            <w:tcW w:w="1484" w:type="dxa"/>
            <w:noWrap w:val="0"/>
            <w:vAlign w:val="center"/>
          </w:tcPr>
          <w:p w14:paraId="332E2061">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中药材</w:t>
            </w:r>
          </w:p>
        </w:tc>
        <w:tc>
          <w:tcPr>
            <w:tcW w:w="1225" w:type="dxa"/>
            <w:noWrap w:val="0"/>
            <w:vAlign w:val="center"/>
          </w:tcPr>
          <w:p w14:paraId="2533C18D">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t/a</w:t>
            </w:r>
          </w:p>
        </w:tc>
        <w:tc>
          <w:tcPr>
            <w:tcW w:w="1275" w:type="dxa"/>
            <w:noWrap w:val="0"/>
            <w:vAlign w:val="center"/>
          </w:tcPr>
          <w:p w14:paraId="57494BFE">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5.3</w:t>
            </w:r>
          </w:p>
        </w:tc>
        <w:tc>
          <w:tcPr>
            <w:tcW w:w="4666" w:type="dxa"/>
            <w:vMerge w:val="restart"/>
            <w:noWrap w:val="0"/>
            <w:vAlign w:val="center"/>
          </w:tcPr>
          <w:p w14:paraId="62944EBA">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外购</w:t>
            </w:r>
          </w:p>
        </w:tc>
      </w:tr>
      <w:tr w14:paraId="1B84D2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636" w:type="dxa"/>
            <w:noWrap w:val="0"/>
            <w:vAlign w:val="center"/>
          </w:tcPr>
          <w:p w14:paraId="49F474CC">
            <w:pPr>
              <w:pStyle w:val="36"/>
              <w:jc w:val="center"/>
              <w:rPr>
                <w:rFonts w:hint="eastAsia"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w:t>
            </w:r>
          </w:p>
        </w:tc>
        <w:tc>
          <w:tcPr>
            <w:tcW w:w="1484" w:type="dxa"/>
            <w:noWrap w:val="0"/>
            <w:vAlign w:val="center"/>
          </w:tcPr>
          <w:p w14:paraId="38665EFD">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lang w:eastAsia="zh-CN"/>
              </w:rPr>
            </w:pPr>
            <w:r>
              <w:rPr>
                <w:rFonts w:hint="eastAsia" w:cs="Times New Roman"/>
                <w:color w:val="auto"/>
                <w:sz w:val="21"/>
                <w:szCs w:val="21"/>
                <w:highlight w:val="none"/>
                <w:lang w:eastAsia="zh-CN"/>
              </w:rPr>
              <w:t>中成药</w:t>
            </w:r>
          </w:p>
        </w:tc>
        <w:tc>
          <w:tcPr>
            <w:tcW w:w="1225" w:type="dxa"/>
            <w:noWrap w:val="0"/>
            <w:vAlign w:val="center"/>
          </w:tcPr>
          <w:p w14:paraId="0143CDB7">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t/a</w:t>
            </w:r>
          </w:p>
        </w:tc>
        <w:tc>
          <w:tcPr>
            <w:tcW w:w="1275" w:type="dxa"/>
            <w:noWrap w:val="0"/>
            <w:vAlign w:val="center"/>
          </w:tcPr>
          <w:p w14:paraId="4925EFC1">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1.3</w:t>
            </w:r>
          </w:p>
        </w:tc>
        <w:tc>
          <w:tcPr>
            <w:tcW w:w="4666" w:type="dxa"/>
            <w:vMerge w:val="continue"/>
            <w:noWrap w:val="0"/>
            <w:vAlign w:val="center"/>
          </w:tcPr>
          <w:p w14:paraId="180AB0C4">
            <w:pPr>
              <w:jc w:val="center"/>
              <w:rPr>
                <w:rFonts w:hint="default" w:ascii="Times New Roman" w:hAnsi="Times New Roman" w:cs="Times New Roman"/>
                <w:color w:val="auto"/>
                <w:sz w:val="21"/>
                <w:szCs w:val="21"/>
                <w:highlight w:val="none"/>
                <w:lang w:eastAsia="zh-CN"/>
              </w:rPr>
            </w:pPr>
          </w:p>
        </w:tc>
      </w:tr>
      <w:tr w14:paraId="5B543A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636" w:type="dxa"/>
            <w:noWrap w:val="0"/>
            <w:vAlign w:val="center"/>
          </w:tcPr>
          <w:p w14:paraId="60BD4935">
            <w:pPr>
              <w:pStyle w:val="36"/>
              <w:jc w:val="center"/>
              <w:rPr>
                <w:rFonts w:hint="eastAsia"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3</w:t>
            </w:r>
          </w:p>
        </w:tc>
        <w:tc>
          <w:tcPr>
            <w:tcW w:w="1484" w:type="dxa"/>
            <w:noWrap w:val="0"/>
            <w:vAlign w:val="center"/>
          </w:tcPr>
          <w:p w14:paraId="3412EE4E">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棉棒</w:t>
            </w:r>
          </w:p>
        </w:tc>
        <w:tc>
          <w:tcPr>
            <w:tcW w:w="1225" w:type="dxa"/>
            <w:noWrap w:val="0"/>
            <w:vAlign w:val="center"/>
          </w:tcPr>
          <w:p w14:paraId="755473C9">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eastAsia="zh-CN"/>
              </w:rPr>
              <w:t>支</w:t>
            </w:r>
            <w:r>
              <w:rPr>
                <w:rFonts w:hint="default" w:ascii="Times New Roman" w:hAnsi="Times New Roman" w:cs="Times New Roman"/>
                <w:color w:val="auto"/>
                <w:sz w:val="21"/>
                <w:szCs w:val="21"/>
                <w:highlight w:val="none"/>
                <w:lang w:val="en-US" w:eastAsia="zh-CN"/>
              </w:rPr>
              <w:t>/a</w:t>
            </w:r>
          </w:p>
        </w:tc>
        <w:tc>
          <w:tcPr>
            <w:tcW w:w="1275" w:type="dxa"/>
            <w:noWrap w:val="0"/>
            <w:vAlign w:val="center"/>
          </w:tcPr>
          <w:p w14:paraId="13DCFE16">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FF0000"/>
                <w:sz w:val="21"/>
                <w:szCs w:val="21"/>
                <w:highlight w:val="none"/>
                <w:lang w:val="en-US" w:eastAsia="zh-CN"/>
              </w:rPr>
              <w:t>10000</w:t>
            </w:r>
          </w:p>
        </w:tc>
        <w:tc>
          <w:tcPr>
            <w:tcW w:w="4666" w:type="dxa"/>
            <w:vMerge w:val="continue"/>
            <w:noWrap w:val="0"/>
            <w:vAlign w:val="center"/>
          </w:tcPr>
          <w:p w14:paraId="1CA6D44A">
            <w:pPr>
              <w:jc w:val="center"/>
              <w:rPr>
                <w:rFonts w:hint="default" w:ascii="Times New Roman" w:hAnsi="Times New Roman" w:cs="Times New Roman"/>
                <w:color w:val="auto"/>
                <w:sz w:val="21"/>
                <w:szCs w:val="21"/>
                <w:highlight w:val="none"/>
                <w:lang w:eastAsia="zh-CN"/>
              </w:rPr>
            </w:pPr>
          </w:p>
        </w:tc>
      </w:tr>
      <w:tr w14:paraId="5656B2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636" w:type="dxa"/>
            <w:noWrap w:val="0"/>
            <w:vAlign w:val="center"/>
          </w:tcPr>
          <w:p w14:paraId="4E4B0B72">
            <w:pPr>
              <w:pStyle w:val="36"/>
              <w:jc w:val="center"/>
              <w:rPr>
                <w:rFonts w:hint="eastAsia"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4</w:t>
            </w:r>
          </w:p>
        </w:tc>
        <w:tc>
          <w:tcPr>
            <w:tcW w:w="1484" w:type="dxa"/>
            <w:noWrap w:val="0"/>
            <w:vAlign w:val="center"/>
          </w:tcPr>
          <w:p w14:paraId="788C0160">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eastAsia="zh-CN"/>
              </w:rPr>
            </w:pPr>
            <w:r>
              <w:rPr>
                <w:rFonts w:hint="eastAsia" w:cs="Times New Roman"/>
                <w:color w:val="auto"/>
                <w:sz w:val="21"/>
                <w:szCs w:val="21"/>
                <w:highlight w:val="none"/>
                <w:lang w:eastAsia="zh-CN"/>
              </w:rPr>
              <w:t>纱布</w:t>
            </w:r>
          </w:p>
        </w:tc>
        <w:tc>
          <w:tcPr>
            <w:tcW w:w="1225" w:type="dxa"/>
            <w:noWrap w:val="0"/>
            <w:vAlign w:val="center"/>
          </w:tcPr>
          <w:p w14:paraId="4B3185BA">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卷/a</w:t>
            </w:r>
          </w:p>
        </w:tc>
        <w:tc>
          <w:tcPr>
            <w:tcW w:w="1275" w:type="dxa"/>
            <w:noWrap w:val="0"/>
            <w:vAlign w:val="center"/>
          </w:tcPr>
          <w:p w14:paraId="0B62C6F9">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FF0000"/>
                <w:sz w:val="21"/>
                <w:szCs w:val="21"/>
                <w:highlight w:val="none"/>
                <w:lang w:val="en-US" w:eastAsia="zh-CN"/>
              </w:rPr>
              <w:t>300</w:t>
            </w:r>
          </w:p>
        </w:tc>
        <w:tc>
          <w:tcPr>
            <w:tcW w:w="4666" w:type="dxa"/>
            <w:vMerge w:val="continue"/>
            <w:noWrap w:val="0"/>
            <w:vAlign w:val="center"/>
          </w:tcPr>
          <w:p w14:paraId="5380E87A">
            <w:pPr>
              <w:jc w:val="center"/>
              <w:rPr>
                <w:rFonts w:hint="default" w:ascii="Times New Roman" w:hAnsi="Times New Roman" w:cs="Times New Roman"/>
                <w:color w:val="auto"/>
                <w:sz w:val="21"/>
                <w:szCs w:val="21"/>
                <w:highlight w:val="none"/>
                <w:lang w:eastAsia="zh-CN"/>
              </w:rPr>
            </w:pPr>
          </w:p>
        </w:tc>
      </w:tr>
      <w:tr w14:paraId="708465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636" w:type="dxa"/>
            <w:noWrap w:val="0"/>
            <w:vAlign w:val="center"/>
          </w:tcPr>
          <w:p w14:paraId="3D9C492B">
            <w:pPr>
              <w:pStyle w:val="36"/>
              <w:jc w:val="center"/>
              <w:rPr>
                <w:rFonts w:hint="eastAsia"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5</w:t>
            </w:r>
          </w:p>
        </w:tc>
        <w:tc>
          <w:tcPr>
            <w:tcW w:w="1484" w:type="dxa"/>
            <w:noWrap w:val="0"/>
            <w:vAlign w:val="center"/>
          </w:tcPr>
          <w:p w14:paraId="5E244341">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eastAsia="zh-CN"/>
              </w:rPr>
            </w:pPr>
            <w:r>
              <w:rPr>
                <w:rFonts w:hint="eastAsia" w:cs="Times New Roman"/>
                <w:color w:val="auto"/>
                <w:sz w:val="21"/>
                <w:szCs w:val="21"/>
                <w:highlight w:val="none"/>
                <w:lang w:eastAsia="zh-CN"/>
              </w:rPr>
              <w:t>针灸针</w:t>
            </w:r>
          </w:p>
        </w:tc>
        <w:tc>
          <w:tcPr>
            <w:tcW w:w="1225" w:type="dxa"/>
            <w:noWrap w:val="0"/>
            <w:vAlign w:val="center"/>
          </w:tcPr>
          <w:p w14:paraId="222023F5">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支/a</w:t>
            </w:r>
          </w:p>
        </w:tc>
        <w:tc>
          <w:tcPr>
            <w:tcW w:w="1275" w:type="dxa"/>
            <w:noWrap w:val="0"/>
            <w:vAlign w:val="center"/>
          </w:tcPr>
          <w:p w14:paraId="48E58EE5">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4000</w:t>
            </w:r>
          </w:p>
        </w:tc>
        <w:tc>
          <w:tcPr>
            <w:tcW w:w="4666" w:type="dxa"/>
            <w:vMerge w:val="continue"/>
            <w:noWrap w:val="0"/>
            <w:vAlign w:val="center"/>
          </w:tcPr>
          <w:p w14:paraId="59F5AFAF">
            <w:pPr>
              <w:jc w:val="center"/>
              <w:rPr>
                <w:rFonts w:hint="default" w:ascii="Times New Roman" w:hAnsi="Times New Roman" w:cs="Times New Roman"/>
                <w:color w:val="auto"/>
                <w:sz w:val="21"/>
                <w:szCs w:val="21"/>
                <w:highlight w:val="none"/>
                <w:lang w:eastAsia="zh-CN"/>
              </w:rPr>
            </w:pPr>
          </w:p>
        </w:tc>
      </w:tr>
      <w:tr w14:paraId="0A93DA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636" w:type="dxa"/>
            <w:noWrap w:val="0"/>
            <w:vAlign w:val="center"/>
          </w:tcPr>
          <w:p w14:paraId="0FB02DFF">
            <w:pPr>
              <w:pStyle w:val="36"/>
              <w:jc w:val="center"/>
              <w:rPr>
                <w:rFonts w:hint="eastAsia"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6</w:t>
            </w:r>
          </w:p>
        </w:tc>
        <w:tc>
          <w:tcPr>
            <w:tcW w:w="1484" w:type="dxa"/>
            <w:noWrap w:val="0"/>
            <w:vAlign w:val="center"/>
          </w:tcPr>
          <w:p w14:paraId="24765CE3">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注射器</w:t>
            </w:r>
          </w:p>
        </w:tc>
        <w:tc>
          <w:tcPr>
            <w:tcW w:w="1225" w:type="dxa"/>
            <w:noWrap w:val="0"/>
            <w:vAlign w:val="center"/>
          </w:tcPr>
          <w:p w14:paraId="1F8E8BF9">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支/a</w:t>
            </w:r>
          </w:p>
        </w:tc>
        <w:tc>
          <w:tcPr>
            <w:tcW w:w="1275" w:type="dxa"/>
            <w:noWrap w:val="0"/>
            <w:vAlign w:val="center"/>
          </w:tcPr>
          <w:p w14:paraId="06BCBB14">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FF0000"/>
                <w:sz w:val="21"/>
                <w:szCs w:val="21"/>
                <w:highlight w:val="none"/>
                <w:lang w:val="en-US" w:eastAsia="zh-CN"/>
              </w:rPr>
              <w:t>1000</w:t>
            </w:r>
          </w:p>
        </w:tc>
        <w:tc>
          <w:tcPr>
            <w:tcW w:w="4666" w:type="dxa"/>
            <w:vMerge w:val="continue"/>
            <w:noWrap w:val="0"/>
            <w:vAlign w:val="center"/>
          </w:tcPr>
          <w:p w14:paraId="3C6EBCB8">
            <w:pPr>
              <w:jc w:val="center"/>
              <w:rPr>
                <w:rFonts w:hint="default" w:ascii="Times New Roman" w:hAnsi="Times New Roman" w:cs="Times New Roman"/>
                <w:color w:val="auto"/>
                <w:sz w:val="21"/>
                <w:szCs w:val="21"/>
                <w:highlight w:val="none"/>
                <w:lang w:eastAsia="zh-CN"/>
              </w:rPr>
            </w:pPr>
          </w:p>
        </w:tc>
      </w:tr>
      <w:tr w14:paraId="5AF772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636" w:type="dxa"/>
            <w:noWrap w:val="0"/>
            <w:vAlign w:val="center"/>
          </w:tcPr>
          <w:p w14:paraId="50C69CF7">
            <w:pPr>
              <w:pStyle w:val="36"/>
              <w:jc w:val="center"/>
              <w:rPr>
                <w:rFonts w:hint="eastAsia"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7</w:t>
            </w:r>
          </w:p>
        </w:tc>
        <w:tc>
          <w:tcPr>
            <w:tcW w:w="1484" w:type="dxa"/>
            <w:noWrap w:val="0"/>
            <w:vAlign w:val="center"/>
          </w:tcPr>
          <w:p w14:paraId="3479EBBD">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eastAsia="zh-CN"/>
              </w:rPr>
            </w:pPr>
            <w:r>
              <w:rPr>
                <w:rFonts w:hint="eastAsia" w:cs="Times New Roman"/>
                <w:color w:val="auto"/>
                <w:sz w:val="21"/>
                <w:szCs w:val="21"/>
                <w:highlight w:val="none"/>
                <w:lang w:eastAsia="zh-CN"/>
              </w:rPr>
              <w:t>火罐</w:t>
            </w:r>
          </w:p>
        </w:tc>
        <w:tc>
          <w:tcPr>
            <w:tcW w:w="1225" w:type="dxa"/>
            <w:noWrap w:val="0"/>
            <w:vAlign w:val="center"/>
          </w:tcPr>
          <w:p w14:paraId="40B85377">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个/a</w:t>
            </w:r>
          </w:p>
        </w:tc>
        <w:tc>
          <w:tcPr>
            <w:tcW w:w="1275" w:type="dxa"/>
            <w:noWrap w:val="0"/>
            <w:vAlign w:val="center"/>
          </w:tcPr>
          <w:p w14:paraId="15874668">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320</w:t>
            </w:r>
          </w:p>
        </w:tc>
        <w:tc>
          <w:tcPr>
            <w:tcW w:w="4666" w:type="dxa"/>
            <w:vMerge w:val="continue"/>
            <w:noWrap w:val="0"/>
            <w:vAlign w:val="center"/>
          </w:tcPr>
          <w:p w14:paraId="253048FA">
            <w:pPr>
              <w:jc w:val="center"/>
              <w:rPr>
                <w:rFonts w:hint="default" w:ascii="Times New Roman" w:hAnsi="Times New Roman" w:cs="Times New Roman"/>
                <w:color w:val="auto"/>
                <w:sz w:val="21"/>
                <w:szCs w:val="21"/>
                <w:highlight w:val="none"/>
                <w:lang w:eastAsia="zh-CN"/>
              </w:rPr>
            </w:pPr>
          </w:p>
        </w:tc>
      </w:tr>
      <w:tr w14:paraId="69B5EA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636" w:type="dxa"/>
            <w:noWrap w:val="0"/>
            <w:vAlign w:val="center"/>
          </w:tcPr>
          <w:p w14:paraId="4840BD1E">
            <w:pPr>
              <w:pStyle w:val="36"/>
              <w:jc w:val="center"/>
              <w:rPr>
                <w:rFonts w:hint="eastAsia"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8</w:t>
            </w:r>
          </w:p>
        </w:tc>
        <w:tc>
          <w:tcPr>
            <w:tcW w:w="1484" w:type="dxa"/>
            <w:noWrap w:val="0"/>
            <w:vAlign w:val="center"/>
          </w:tcPr>
          <w:p w14:paraId="1E1429E7">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eastAsia="zh-CN"/>
              </w:rPr>
            </w:pPr>
            <w:r>
              <w:rPr>
                <w:rFonts w:hint="eastAsia" w:cs="Times New Roman"/>
                <w:color w:val="auto"/>
                <w:sz w:val="21"/>
                <w:szCs w:val="21"/>
                <w:highlight w:val="none"/>
                <w:lang w:eastAsia="zh-CN"/>
              </w:rPr>
              <w:t>白醋</w:t>
            </w:r>
          </w:p>
        </w:tc>
        <w:tc>
          <w:tcPr>
            <w:tcW w:w="1225" w:type="dxa"/>
            <w:noWrap w:val="0"/>
            <w:vAlign w:val="center"/>
          </w:tcPr>
          <w:p w14:paraId="7F593000">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瓶/a</w:t>
            </w:r>
          </w:p>
        </w:tc>
        <w:tc>
          <w:tcPr>
            <w:tcW w:w="1275" w:type="dxa"/>
            <w:noWrap w:val="0"/>
            <w:vAlign w:val="center"/>
          </w:tcPr>
          <w:p w14:paraId="6A1E0AEB">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FF0000"/>
                <w:sz w:val="21"/>
                <w:szCs w:val="21"/>
                <w:highlight w:val="none"/>
                <w:lang w:val="en-US" w:eastAsia="zh-CN"/>
              </w:rPr>
              <w:t>200</w:t>
            </w:r>
          </w:p>
        </w:tc>
        <w:tc>
          <w:tcPr>
            <w:tcW w:w="4666" w:type="dxa"/>
            <w:vMerge w:val="continue"/>
            <w:noWrap w:val="0"/>
            <w:vAlign w:val="center"/>
          </w:tcPr>
          <w:p w14:paraId="3B0D13CB">
            <w:pPr>
              <w:jc w:val="center"/>
              <w:rPr>
                <w:rFonts w:hint="default" w:ascii="Times New Roman" w:hAnsi="Times New Roman" w:cs="Times New Roman"/>
                <w:color w:val="auto"/>
                <w:sz w:val="21"/>
                <w:szCs w:val="21"/>
                <w:highlight w:val="none"/>
                <w:lang w:eastAsia="zh-CN"/>
              </w:rPr>
            </w:pPr>
          </w:p>
        </w:tc>
      </w:tr>
      <w:tr w14:paraId="69F0B5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636" w:type="dxa"/>
            <w:noWrap w:val="0"/>
            <w:vAlign w:val="center"/>
          </w:tcPr>
          <w:p w14:paraId="24DA9005">
            <w:pPr>
              <w:pStyle w:val="36"/>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9</w:t>
            </w:r>
          </w:p>
        </w:tc>
        <w:tc>
          <w:tcPr>
            <w:tcW w:w="1484" w:type="dxa"/>
            <w:noWrap w:val="0"/>
            <w:vAlign w:val="center"/>
          </w:tcPr>
          <w:p w14:paraId="688E5864">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盐酸（31%）</w:t>
            </w:r>
          </w:p>
        </w:tc>
        <w:tc>
          <w:tcPr>
            <w:tcW w:w="1225" w:type="dxa"/>
            <w:noWrap w:val="0"/>
            <w:vAlign w:val="center"/>
          </w:tcPr>
          <w:p w14:paraId="5021D0F6">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lang w:eastAsia="zh-CN"/>
              </w:rPr>
            </w:pPr>
            <w:r>
              <w:rPr>
                <w:rFonts w:hint="eastAsia" w:cs="Times New Roman"/>
                <w:color w:val="auto"/>
                <w:sz w:val="21"/>
                <w:szCs w:val="21"/>
                <w:highlight w:val="none"/>
                <w:lang w:val="en-US" w:eastAsia="zh-CN"/>
              </w:rPr>
              <w:t>kg</w:t>
            </w:r>
            <w:r>
              <w:rPr>
                <w:rFonts w:hint="default" w:ascii="Times New Roman" w:hAnsi="Times New Roman" w:cs="Times New Roman"/>
                <w:color w:val="auto"/>
                <w:sz w:val="21"/>
                <w:szCs w:val="21"/>
                <w:highlight w:val="none"/>
                <w:lang w:val="en-US" w:eastAsia="zh-CN"/>
              </w:rPr>
              <w:t>/a</w:t>
            </w:r>
          </w:p>
        </w:tc>
        <w:tc>
          <w:tcPr>
            <w:tcW w:w="1275" w:type="dxa"/>
            <w:noWrap w:val="0"/>
            <w:vAlign w:val="center"/>
          </w:tcPr>
          <w:p w14:paraId="473BF3AF">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68</w:t>
            </w:r>
          </w:p>
        </w:tc>
        <w:tc>
          <w:tcPr>
            <w:tcW w:w="4666" w:type="dxa"/>
            <w:noWrap w:val="0"/>
            <w:vAlign w:val="center"/>
          </w:tcPr>
          <w:p w14:paraId="6ED18BC9">
            <w:pPr>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储存在二氧化氯发生器自带的储存装置中，</w:t>
            </w:r>
            <w:r>
              <w:rPr>
                <w:rFonts w:hint="eastAsia"/>
                <w:color w:val="auto"/>
                <w:highlight w:val="none"/>
                <w:lang w:eastAsia="zh-CN"/>
              </w:rPr>
              <w:t>最大存储量</w:t>
            </w:r>
            <w:r>
              <w:rPr>
                <w:rFonts w:hint="eastAsia"/>
                <w:color w:val="auto"/>
                <w:highlight w:val="none"/>
                <w:lang w:val="en-US" w:eastAsia="zh-CN"/>
              </w:rPr>
              <w:t>34kg，</w:t>
            </w:r>
            <w:r>
              <w:rPr>
                <w:rFonts w:hint="eastAsia" w:cs="Times New Roman"/>
                <w:color w:val="auto"/>
                <w:sz w:val="21"/>
                <w:szCs w:val="21"/>
                <w:highlight w:val="none"/>
                <w:lang w:eastAsia="zh-CN"/>
              </w:rPr>
              <w:t>用于污水站消毒</w:t>
            </w:r>
          </w:p>
        </w:tc>
      </w:tr>
      <w:tr w14:paraId="77E6D5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36" w:type="dxa"/>
            <w:noWrap w:val="0"/>
            <w:vAlign w:val="center"/>
          </w:tcPr>
          <w:p w14:paraId="0184F6DF">
            <w:pPr>
              <w:pStyle w:val="36"/>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1484" w:type="dxa"/>
            <w:noWrap w:val="0"/>
            <w:vAlign w:val="center"/>
          </w:tcPr>
          <w:p w14:paraId="08C501C9">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氯酸钠</w:t>
            </w:r>
          </w:p>
        </w:tc>
        <w:tc>
          <w:tcPr>
            <w:tcW w:w="1225" w:type="dxa"/>
            <w:noWrap w:val="0"/>
            <w:vAlign w:val="center"/>
          </w:tcPr>
          <w:p w14:paraId="11B0A254">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kg</w:t>
            </w:r>
            <w:r>
              <w:rPr>
                <w:rFonts w:hint="default" w:ascii="Times New Roman" w:hAnsi="Times New Roman" w:cs="Times New Roman"/>
                <w:color w:val="auto"/>
                <w:sz w:val="21"/>
                <w:szCs w:val="21"/>
                <w:highlight w:val="none"/>
                <w:lang w:val="en-US" w:eastAsia="zh-CN"/>
              </w:rPr>
              <w:t>/a</w:t>
            </w:r>
          </w:p>
        </w:tc>
        <w:tc>
          <w:tcPr>
            <w:tcW w:w="1275" w:type="dxa"/>
            <w:noWrap w:val="0"/>
            <w:vAlign w:val="center"/>
          </w:tcPr>
          <w:p w14:paraId="47EEFDB6">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136</w:t>
            </w:r>
          </w:p>
        </w:tc>
        <w:tc>
          <w:tcPr>
            <w:tcW w:w="4666" w:type="dxa"/>
            <w:noWrap w:val="0"/>
            <w:vAlign w:val="center"/>
          </w:tcPr>
          <w:p w14:paraId="047D3DE8">
            <w:pPr>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储存在二氧化氯发生器自带的储存装置中，</w:t>
            </w:r>
            <w:r>
              <w:rPr>
                <w:rFonts w:hint="eastAsia"/>
                <w:color w:val="auto"/>
                <w:highlight w:val="none"/>
                <w:lang w:eastAsia="zh-CN"/>
              </w:rPr>
              <w:t>最大存储量</w:t>
            </w:r>
            <w:r>
              <w:rPr>
                <w:rFonts w:hint="eastAsia"/>
                <w:color w:val="auto"/>
                <w:highlight w:val="none"/>
                <w:lang w:val="en-US" w:eastAsia="zh-CN"/>
              </w:rPr>
              <w:t>68kg，</w:t>
            </w:r>
            <w:r>
              <w:rPr>
                <w:rFonts w:hint="eastAsia" w:cs="Times New Roman"/>
                <w:color w:val="auto"/>
                <w:sz w:val="21"/>
                <w:szCs w:val="21"/>
                <w:highlight w:val="none"/>
                <w:lang w:eastAsia="zh-CN"/>
              </w:rPr>
              <w:t>用于污水站消毒</w:t>
            </w:r>
          </w:p>
        </w:tc>
      </w:tr>
      <w:tr w14:paraId="071166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36" w:type="dxa"/>
            <w:noWrap w:val="0"/>
            <w:vAlign w:val="center"/>
          </w:tcPr>
          <w:p w14:paraId="39B0E290">
            <w:pPr>
              <w:pStyle w:val="36"/>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11</w:t>
            </w:r>
          </w:p>
        </w:tc>
        <w:tc>
          <w:tcPr>
            <w:tcW w:w="1484" w:type="dxa"/>
            <w:noWrap w:val="0"/>
            <w:vAlign w:val="center"/>
          </w:tcPr>
          <w:p w14:paraId="46974A33">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ascii="宋体"/>
                <w:color w:val="auto"/>
                <w:highlight w:val="none"/>
              </w:rPr>
              <w:t>聚合氯化铝</w:t>
            </w:r>
          </w:p>
        </w:tc>
        <w:tc>
          <w:tcPr>
            <w:tcW w:w="1225" w:type="dxa"/>
            <w:noWrap w:val="0"/>
            <w:vAlign w:val="center"/>
          </w:tcPr>
          <w:p w14:paraId="2F6881DB">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kg</w:t>
            </w:r>
            <w:r>
              <w:rPr>
                <w:rFonts w:hint="default" w:ascii="Times New Roman" w:hAnsi="Times New Roman" w:cs="Times New Roman"/>
                <w:color w:val="auto"/>
                <w:sz w:val="21"/>
                <w:szCs w:val="21"/>
                <w:highlight w:val="none"/>
                <w:lang w:val="en-US" w:eastAsia="zh-CN"/>
              </w:rPr>
              <w:t>/a</w:t>
            </w:r>
          </w:p>
        </w:tc>
        <w:tc>
          <w:tcPr>
            <w:tcW w:w="1275" w:type="dxa"/>
            <w:noWrap w:val="0"/>
            <w:vAlign w:val="center"/>
          </w:tcPr>
          <w:p w14:paraId="30A26D68">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136</w:t>
            </w:r>
          </w:p>
        </w:tc>
        <w:tc>
          <w:tcPr>
            <w:tcW w:w="4666" w:type="dxa"/>
            <w:noWrap w:val="0"/>
            <w:vAlign w:val="center"/>
          </w:tcPr>
          <w:p w14:paraId="27131EE1">
            <w:pPr>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highlight w:val="none"/>
              </w:rPr>
              <w:t>絮凝剂</w:t>
            </w:r>
            <w:r>
              <w:rPr>
                <w:rFonts w:hint="eastAsia" w:cs="Times New Roman"/>
                <w:color w:val="auto"/>
                <w:highlight w:val="none"/>
                <w:lang w:eastAsia="zh-CN"/>
              </w:rPr>
              <w:t>，袋装，存于库房，最大储存量</w:t>
            </w:r>
            <w:r>
              <w:rPr>
                <w:rFonts w:hint="eastAsia" w:cs="Times New Roman"/>
                <w:color w:val="auto"/>
                <w:highlight w:val="none"/>
                <w:lang w:val="en-US" w:eastAsia="zh-CN"/>
              </w:rPr>
              <w:t>50kg</w:t>
            </w:r>
          </w:p>
        </w:tc>
      </w:tr>
      <w:tr w14:paraId="099605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636" w:type="dxa"/>
            <w:noWrap w:val="0"/>
            <w:vAlign w:val="center"/>
          </w:tcPr>
          <w:p w14:paraId="5755C4FC">
            <w:pPr>
              <w:pStyle w:val="36"/>
              <w:jc w:val="center"/>
              <w:rPr>
                <w:rFonts w:hint="eastAsia"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12</w:t>
            </w:r>
          </w:p>
        </w:tc>
        <w:tc>
          <w:tcPr>
            <w:tcW w:w="1484" w:type="dxa"/>
            <w:noWrap w:val="0"/>
            <w:vAlign w:val="center"/>
          </w:tcPr>
          <w:p w14:paraId="608D142C">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氧气</w:t>
            </w:r>
          </w:p>
        </w:tc>
        <w:tc>
          <w:tcPr>
            <w:tcW w:w="1225" w:type="dxa"/>
            <w:noWrap w:val="0"/>
            <w:vAlign w:val="center"/>
          </w:tcPr>
          <w:p w14:paraId="0DDFA12C">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m</w:t>
            </w:r>
            <w:r>
              <w:rPr>
                <w:rFonts w:hint="default" w:cs="Times New Roman"/>
                <w:color w:val="auto"/>
                <w:sz w:val="21"/>
                <w:szCs w:val="21"/>
                <w:highlight w:val="none"/>
                <w:vertAlign w:val="superscript"/>
                <w:lang w:val="en-US" w:eastAsia="zh-CN"/>
              </w:rPr>
              <w:t>3</w:t>
            </w:r>
            <w:r>
              <w:rPr>
                <w:rFonts w:hint="default" w:cs="Times New Roman"/>
                <w:color w:val="auto"/>
                <w:sz w:val="21"/>
                <w:szCs w:val="21"/>
                <w:highlight w:val="none"/>
                <w:lang w:val="en-US" w:eastAsia="zh-CN"/>
              </w:rPr>
              <w:t>/a</w:t>
            </w:r>
          </w:p>
        </w:tc>
        <w:tc>
          <w:tcPr>
            <w:tcW w:w="1275" w:type="dxa"/>
            <w:noWrap w:val="0"/>
            <w:vAlign w:val="center"/>
          </w:tcPr>
          <w:p w14:paraId="224E3D78">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1000</w:t>
            </w:r>
          </w:p>
        </w:tc>
        <w:tc>
          <w:tcPr>
            <w:tcW w:w="4666" w:type="dxa"/>
            <w:noWrap w:val="0"/>
            <w:vAlign w:val="center"/>
          </w:tcPr>
          <w:p w14:paraId="2E1BA05A">
            <w:pPr>
              <w:pStyle w:val="13"/>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氧气外购，贮存于50L氧气钢瓶中，</w:t>
            </w:r>
            <w:r>
              <w:rPr>
                <w:rFonts w:hint="eastAsia" w:cs="Times New Roman"/>
                <w:color w:val="auto"/>
                <w:highlight w:val="none"/>
                <w:lang w:eastAsia="zh-CN"/>
              </w:rPr>
              <w:t>存于库房，</w:t>
            </w:r>
            <w:r>
              <w:rPr>
                <w:rFonts w:hint="eastAsia" w:cs="Times New Roman"/>
                <w:color w:val="auto"/>
                <w:sz w:val="21"/>
                <w:szCs w:val="21"/>
                <w:highlight w:val="none"/>
                <w:lang w:val="en-US" w:eastAsia="zh-CN"/>
              </w:rPr>
              <w:t>压力15MPa，</w:t>
            </w:r>
            <w:r>
              <w:rPr>
                <w:rFonts w:hint="eastAsia"/>
                <w:color w:val="auto"/>
                <w:highlight w:val="none"/>
                <w:lang w:eastAsia="zh-CN"/>
              </w:rPr>
              <w:t>最大存储量</w:t>
            </w:r>
            <w:r>
              <w:rPr>
                <w:rFonts w:hint="eastAsia"/>
                <w:color w:val="auto"/>
                <w:highlight w:val="none"/>
                <w:lang w:val="en-US" w:eastAsia="zh-CN"/>
              </w:rPr>
              <w:t>500L</w:t>
            </w:r>
          </w:p>
        </w:tc>
      </w:tr>
      <w:tr w14:paraId="75C393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36" w:type="dxa"/>
            <w:noWrap w:val="0"/>
            <w:vAlign w:val="center"/>
          </w:tcPr>
          <w:p w14:paraId="49031085">
            <w:pPr>
              <w:pStyle w:val="36"/>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13</w:t>
            </w:r>
          </w:p>
        </w:tc>
        <w:tc>
          <w:tcPr>
            <w:tcW w:w="1484" w:type="dxa"/>
            <w:noWrap w:val="0"/>
            <w:vAlign w:val="center"/>
          </w:tcPr>
          <w:p w14:paraId="4C58A963">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水</w:t>
            </w:r>
          </w:p>
        </w:tc>
        <w:tc>
          <w:tcPr>
            <w:tcW w:w="1225" w:type="dxa"/>
            <w:noWrap w:val="0"/>
            <w:vAlign w:val="center"/>
          </w:tcPr>
          <w:p w14:paraId="0F0E7615">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t</w:t>
            </w:r>
          </w:p>
        </w:tc>
        <w:tc>
          <w:tcPr>
            <w:tcW w:w="1275" w:type="dxa"/>
            <w:noWrap w:val="0"/>
            <w:vAlign w:val="center"/>
          </w:tcPr>
          <w:p w14:paraId="2558AA22">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13486.75</w:t>
            </w:r>
          </w:p>
        </w:tc>
        <w:tc>
          <w:tcPr>
            <w:tcW w:w="4666" w:type="dxa"/>
            <w:noWrap w:val="0"/>
            <w:vAlign w:val="center"/>
          </w:tcPr>
          <w:p w14:paraId="2BBD897F">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市政供水</w:t>
            </w:r>
          </w:p>
        </w:tc>
      </w:tr>
      <w:tr w14:paraId="362187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36" w:type="dxa"/>
            <w:noWrap w:val="0"/>
            <w:vAlign w:val="center"/>
          </w:tcPr>
          <w:p w14:paraId="0580D38E">
            <w:pPr>
              <w:pStyle w:val="36"/>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eastAsia="宋体" w:cs="Times New Roman"/>
                <w:color w:val="auto"/>
                <w:sz w:val="21"/>
                <w:szCs w:val="21"/>
                <w:highlight w:val="none"/>
                <w:lang w:val="en-US" w:eastAsia="zh-CN"/>
              </w:rPr>
              <w:t>4</w:t>
            </w:r>
          </w:p>
        </w:tc>
        <w:tc>
          <w:tcPr>
            <w:tcW w:w="1484" w:type="dxa"/>
            <w:noWrap w:val="0"/>
            <w:vAlign w:val="center"/>
          </w:tcPr>
          <w:p w14:paraId="56FD65E5">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电</w:t>
            </w:r>
          </w:p>
        </w:tc>
        <w:tc>
          <w:tcPr>
            <w:tcW w:w="1225" w:type="dxa"/>
            <w:noWrap w:val="0"/>
            <w:vAlign w:val="center"/>
          </w:tcPr>
          <w:p w14:paraId="7D5A8CB0">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万KWh/a</w:t>
            </w:r>
          </w:p>
        </w:tc>
        <w:tc>
          <w:tcPr>
            <w:tcW w:w="1275" w:type="dxa"/>
            <w:noWrap w:val="0"/>
            <w:vAlign w:val="center"/>
          </w:tcPr>
          <w:p w14:paraId="24131A93">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lang w:val="en-US"/>
              </w:rPr>
            </w:pPr>
            <w:r>
              <w:rPr>
                <w:rFonts w:hint="eastAsia" w:cs="Times New Roman"/>
                <w:color w:val="auto"/>
                <w:sz w:val="21"/>
                <w:szCs w:val="21"/>
                <w:highlight w:val="none"/>
                <w:lang w:val="en-US" w:eastAsia="zh-CN"/>
              </w:rPr>
              <w:t>10</w:t>
            </w:r>
          </w:p>
        </w:tc>
        <w:tc>
          <w:tcPr>
            <w:tcW w:w="4666" w:type="dxa"/>
            <w:noWrap w:val="0"/>
            <w:vAlign w:val="center"/>
          </w:tcPr>
          <w:p w14:paraId="453E9F51">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市政供电</w:t>
            </w:r>
          </w:p>
        </w:tc>
      </w:tr>
    </w:tbl>
    <w:p w14:paraId="313743A8">
      <w:pPr>
        <w:keepNext w:val="0"/>
        <w:keepLines w:val="0"/>
        <w:pageBreakBefore w:val="0"/>
        <w:widowControl w:val="0"/>
        <w:kinsoku/>
        <w:wordWrap/>
        <w:overflowPunct/>
        <w:topLinePunct w:val="0"/>
        <w:autoSpaceDE/>
        <w:autoSpaceDN/>
        <w:bidi w:val="0"/>
        <w:adjustRightInd w:val="0"/>
        <w:snapToGrid w:val="0"/>
        <w:spacing w:line="360" w:lineRule="auto"/>
        <w:ind w:left="0" w:hanging="480" w:hangingChars="200"/>
        <w:jc w:val="left"/>
        <w:textAlignment w:val="auto"/>
        <w:outlineLvl w:val="9"/>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原辅材料理化特性：</w:t>
      </w:r>
    </w:p>
    <w:p w14:paraId="26493594">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盐酸：</w:t>
      </w:r>
      <w:r>
        <w:rPr>
          <w:rFonts w:hint="default" w:ascii="Times New Roman" w:hAnsi="Times New Roman" w:cs="Times New Roman"/>
          <w:color w:val="auto"/>
          <w:sz w:val="24"/>
          <w:szCs w:val="24"/>
          <w:highlight w:val="none"/>
        </w:rPr>
        <w:t>盐酸是无色液体，为</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"https://baike.baidu.com/item/%E6%B0%AF%E5%8C%96%E6%B0%A2" \t "https://baike.baidu.com/item/%E7%9B%90%E9%85%B8/_blank"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氯化氢</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的水溶液，具有刺激性气味。</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"https://baike.baidu.com/item/%E7%9B%90%E9%85%B8" \t "https://baike.baidu.com/item/%E7%9B%90%E9%85%B8/_blank"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盐酸</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与水、乙醇任意混溶，氯化氢能溶于许多有机溶剂。盐酸</w:t>
      </w:r>
      <w:r>
        <w:rPr>
          <w:rFonts w:hint="default" w:ascii="Times New Roman" w:hAnsi="Times New Roman" w:cs="Times New Roman"/>
          <w:color w:val="auto"/>
          <w:sz w:val="24"/>
          <w:szCs w:val="24"/>
          <w:highlight w:val="none"/>
          <w:lang w:eastAsia="zh-CN"/>
        </w:rPr>
        <w:t>具有酸性，</w:t>
      </w:r>
      <w:r>
        <w:rPr>
          <w:rFonts w:hint="default" w:ascii="Times New Roman" w:hAnsi="Times New Roman" w:cs="Times New Roman"/>
          <w:color w:val="auto"/>
          <w:sz w:val="24"/>
          <w:szCs w:val="24"/>
          <w:highlight w:val="none"/>
        </w:rPr>
        <w:t>溶于碱液时与碱液发生中和反应</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盐酸具有</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"https://baike.baidu.com/item/%E8%BF%98%E5%8E%9F%E6%80%A7" \t "https://baike.baidu.com/item/%E7%9B%90%E9%85%B8/_blank"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还原性</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，可以和一些强氧化剂反应。</w:t>
      </w:r>
    </w:p>
    <w:p w14:paraId="70B617A9">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氯酸钠：</w:t>
      </w:r>
      <w:r>
        <w:rPr>
          <w:rFonts w:hint="default" w:ascii="Times New Roman" w:hAnsi="Times New Roman" w:cs="Times New Roman"/>
          <w:color w:val="auto"/>
          <w:sz w:val="24"/>
          <w:szCs w:val="24"/>
          <w:highlight w:val="none"/>
        </w:rPr>
        <w:t>常温下为无色立方晶体或三方结晶或白色粉末。味咸而凉。密度2.490g/cm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。熔点255℃。易溶于水，0℃在水中的溶解度为79g。溶于乙醇、</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"https://baike.baidu.com/item/%E7%94%98%E6%B2%B9" \t "https://baike.baidu.com/item/%E6%B0%AF%E9%85%B8%E9%92%A0/_blank"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甘油</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"https://baike.baidu.com/item/%E4%B8%99%E9%85%AE" \t "https://baike.baidu.com/item/%E6%B0%AF%E9%85%B8%E9%92%A0/_blank"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丙酮</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"https://baike.baidu.com/item/%E6%B6%B2%E6%B0%A8" \t "https://baike.baidu.com/item/%E6%B0%AF%E9%85%B8%E9%92%A0/_blank"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液氨</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。常压下加热至300℃以上易分解放出</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"https://baike.baidu.com/item/%E6%B0%A7%E6%B0%94" \t "https://baike.baidu.com/item/%E6%B0%AF%E9%85%B8%E9%92%A0/_blank"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氧气</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。在中性或弱碱性溶液中氧化力非常低，但在酸性溶液中或有诱导氧化剂和催化剂(如</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"https://baike.baidu.com/item/%E7%A1%AB%E9%85%B8%E9%93%9C" \t "https://baike.baidu.com/item/%E6%B0%AF%E9%85%B8%E9%92%A0/_blank"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硫酸铜</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)存在时，则是</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"https://baike.baidu.com/item/%E5%BC%BA%E6%B0%A7%E5%8C%96%E5%89%82" \t "https://baike.baidu.com/item/%E6%B0%AF%E9%85%B8%E9%92%A0/_blank"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强氧化剂</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。与酸类(如硫酸)作用放出</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"https://baike.baidu.com/item/%E4%BA%8C%E6%B0%A7%E5%8C%96%E6%B0%AF" \t "https://baike.baidu.com/item/%E6%B0%AF%E9%85%B8%E9%92%A0/_blank"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二氧化氯</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，有强氧化性。</w:t>
      </w:r>
    </w:p>
    <w:p w14:paraId="51CF6F39">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聚合氯化铝</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聚合氯化铝具有吸附、凝聚、沉淀等性能，其稳定性差，有腐蚀性</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聚合氯化铝具有喷雾干燥稳定性好，适应水域宽，水解速度快，吸附能力强，形成矾花大，质密沉淀快，出水浊度低，脱水性能好等优点。</w:t>
      </w:r>
    </w:p>
    <w:p w14:paraId="6A41414A">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outlineLvl w:val="9"/>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eastAsia="zh-CN"/>
        </w:rPr>
        <w:t>氧气：</w:t>
      </w:r>
      <w:r>
        <w:rPr>
          <w:rFonts w:hint="eastAsia" w:ascii="Times New Roman" w:hAnsi="Times New Roman" w:cs="Times New Roman"/>
          <w:color w:val="auto"/>
          <w:sz w:val="24"/>
          <w:szCs w:val="24"/>
          <w:highlight w:val="none"/>
        </w:rPr>
        <w:t>无色无味气体，熔点-218.8℃，沸点-183.1℃，相对密度1.14（-183℃，水=1），相对蒸气密度1.43（空气=1），</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"https://baike.baidu.com/item/%E9%A5%B1%E5%92%8C%E8%92%B8%E6%B0%94%E5%8E%8B" \t "https://baike.baidu.com/item/%E6%B0%A7%E6%B0%94/_blank"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饱和蒸气压</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506.62kPa（-164℃），</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"https://baike.baidu.com/item/%E4%B8%B4%E7%95%8C%E6%B8%A9%E5%BA%A6/22831" \t "https://baike.baidu.com/item/%E6%B0%A7%E6%B0%94/_blank"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临界温度</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-118.95℃，</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"https://baike.baidu.com/item/%E4%B8%B4%E7%95%8C%E5%8E%8B%E5%8A%9B" \t "https://baike.baidu.com/item/%E6%B0%A7%E6%B0%94/_blank"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临界压力</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5.08MPa</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rPr>
        <w:t>氧气的化学性质比较活泼</w:t>
      </w:r>
      <w:r>
        <w:rPr>
          <w:rFonts w:hint="eastAsia" w:ascii="Times New Roman" w:hAnsi="Times New Roman" w:cs="Times New Roman"/>
          <w:color w:val="auto"/>
          <w:sz w:val="24"/>
          <w:szCs w:val="24"/>
          <w:highlight w:val="none"/>
          <w:lang w:eastAsia="zh-CN"/>
        </w:rPr>
        <w:t>，具有助燃性</w:t>
      </w:r>
      <w:r>
        <w:rPr>
          <w:rFonts w:hint="eastAsia" w:ascii="Times New Roman" w:hAnsi="Times New Roman" w:cs="Times New Roman"/>
          <w:color w:val="auto"/>
          <w:sz w:val="24"/>
          <w:szCs w:val="24"/>
          <w:highlight w:val="none"/>
        </w:rPr>
        <w:t>。除了</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"https://baike.baidu.com/item/%E7%A8%80%E6%9C%89%E6%B0%94%E4%BD%93" \t "https://baike.baidu.com/item/%E6%B0%A7%E6%B0%94/_blank"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稀有气体</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、活性小的</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"https://baike.baidu.com/item/%E9%87%91%E5%B1%9E%E5%85%83%E7%B4%A0" \t "https://baike.baidu.com/item/%E6%B0%A7%E6%B0%94/_blank"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金属元素</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如金、铂、</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"https://baike.baidu.com/item/%E9%93%B6" \t "https://baike.baidu.com/item/%E6%B0%A7%E6%B0%94/_blank"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银</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之外，大部分的元素都能与氧气反应，这些反应称为</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"https://baike.baidu.com/item/%E6%B0%A7%E5%8C%96%E5%8F%8D%E5%BA%94" \t "https://baike.baidu.com/item/%E6%B0%A7%E6%B0%94/_blank"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氧化反应</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，而经过反应产生的化合物称为氧化物。</w:t>
      </w:r>
    </w:p>
    <w:p w14:paraId="4A721480">
      <w:pPr>
        <w:keepNext w:val="0"/>
        <w:keepLines w:val="0"/>
        <w:pageBreakBefore w:val="0"/>
        <w:widowControl w:val="0"/>
        <w:kinsoku/>
        <w:wordWrap/>
        <w:overflowPunct/>
        <w:topLinePunct w:val="0"/>
        <w:autoSpaceDE/>
        <w:autoSpaceDN/>
        <w:bidi w:val="0"/>
        <w:adjustRightInd w:val="0"/>
        <w:snapToGrid w:val="0"/>
        <w:spacing w:line="360" w:lineRule="auto"/>
        <w:ind w:left="0" w:hanging="480" w:hangingChars="200"/>
        <w:jc w:val="left"/>
        <w:textAlignment w:val="auto"/>
        <w:outlineLvl w:val="9"/>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5</w:t>
      </w:r>
      <w:r>
        <w:rPr>
          <w:rFonts w:hint="eastAsia" w:cs="Times New Roman"/>
          <w:color w:val="auto"/>
          <w:sz w:val="24"/>
          <w:szCs w:val="24"/>
          <w:highlight w:val="none"/>
          <w:lang w:eastAsia="zh-CN"/>
        </w:rPr>
        <w:t>主要经济技术指标</w:t>
      </w:r>
    </w:p>
    <w:p w14:paraId="4840CB3F">
      <w:pPr>
        <w:adjustRightInd w:val="0"/>
        <w:snapToGrid w:val="0"/>
        <w:spacing w:line="360" w:lineRule="auto"/>
        <w:ind w:firstLine="480" w:firstLineChars="200"/>
        <w:rPr>
          <w:rFonts w:hint="eastAsia" w:ascii="宋体"/>
          <w:color w:val="auto"/>
          <w:sz w:val="24"/>
          <w:highlight w:val="none"/>
        </w:rPr>
      </w:pPr>
      <w:r>
        <w:rPr>
          <w:rFonts w:hint="eastAsia" w:ascii="宋体" w:hAnsi="宋体"/>
          <w:color w:val="auto"/>
          <w:sz w:val="24"/>
          <w:highlight w:val="none"/>
        </w:rPr>
        <w:t>本项目主要技术经济指标见表</w:t>
      </w:r>
      <w:r>
        <w:rPr>
          <w:rFonts w:hint="eastAsia" w:ascii="宋体" w:hAnsi="宋体"/>
          <w:color w:val="auto"/>
          <w:sz w:val="24"/>
          <w:highlight w:val="none"/>
          <w:lang w:val="en-US" w:eastAsia="zh-CN"/>
        </w:rPr>
        <w:t>7</w:t>
      </w:r>
      <w:r>
        <w:rPr>
          <w:rFonts w:hint="eastAsia" w:ascii="宋体" w:hAnsi="宋体"/>
          <w:color w:val="auto"/>
          <w:sz w:val="24"/>
          <w:highlight w:val="none"/>
        </w:rPr>
        <w:t>。</w:t>
      </w:r>
    </w:p>
    <w:p w14:paraId="052DF73C">
      <w:pPr>
        <w:adjustRightInd w:val="0"/>
        <w:snapToGrid w:val="0"/>
        <w:jc w:val="both"/>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表</w:t>
      </w:r>
      <w:r>
        <w:rPr>
          <w:rFonts w:hint="eastAsia" w:ascii="宋体" w:hAnsi="宋体" w:cs="宋体"/>
          <w:b/>
          <w:color w:val="auto"/>
          <w:szCs w:val="21"/>
          <w:highlight w:val="none"/>
          <w:lang w:val="en-US" w:eastAsia="zh-CN"/>
        </w:rPr>
        <w:t xml:space="preserve">7                                </w:t>
      </w:r>
      <w:r>
        <w:rPr>
          <w:rFonts w:hint="eastAsia" w:ascii="宋体" w:hAnsi="宋体" w:eastAsia="宋体" w:cs="宋体"/>
          <w:b/>
          <w:color w:val="auto"/>
          <w:szCs w:val="21"/>
          <w:highlight w:val="none"/>
        </w:rPr>
        <w:t>主要技术经济指标</w:t>
      </w:r>
    </w:p>
    <w:tbl>
      <w:tblPr>
        <w:tblStyle w:val="24"/>
        <w:tblW w:w="928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67"/>
        <w:gridCol w:w="3450"/>
        <w:gridCol w:w="1437"/>
        <w:gridCol w:w="2632"/>
      </w:tblGrid>
      <w:tr w14:paraId="053D94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67" w:type="dxa"/>
            <w:tcBorders>
              <w:tl2br w:val="nil"/>
              <w:tr2bl w:val="nil"/>
            </w:tcBorders>
          </w:tcPr>
          <w:p w14:paraId="06AF64B7">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序号</w:t>
            </w:r>
          </w:p>
        </w:tc>
        <w:tc>
          <w:tcPr>
            <w:tcW w:w="3450" w:type="dxa"/>
            <w:tcBorders>
              <w:tl2br w:val="nil"/>
              <w:tr2bl w:val="nil"/>
            </w:tcBorders>
          </w:tcPr>
          <w:p w14:paraId="64A69D25">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项目</w:t>
            </w:r>
          </w:p>
        </w:tc>
        <w:tc>
          <w:tcPr>
            <w:tcW w:w="1437" w:type="dxa"/>
            <w:tcBorders>
              <w:tl2br w:val="nil"/>
              <w:tr2bl w:val="nil"/>
            </w:tcBorders>
          </w:tcPr>
          <w:p w14:paraId="0804F3F4">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单位</w:t>
            </w:r>
          </w:p>
        </w:tc>
        <w:tc>
          <w:tcPr>
            <w:tcW w:w="2632" w:type="dxa"/>
            <w:tcBorders>
              <w:tl2br w:val="nil"/>
              <w:tr2bl w:val="nil"/>
            </w:tcBorders>
          </w:tcPr>
          <w:p w14:paraId="2941C1C1">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数量</w:t>
            </w:r>
          </w:p>
        </w:tc>
      </w:tr>
      <w:tr w14:paraId="629602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67" w:type="dxa"/>
            <w:tcBorders>
              <w:tl2br w:val="nil"/>
              <w:tr2bl w:val="nil"/>
            </w:tcBorders>
          </w:tcPr>
          <w:p w14:paraId="089BD170">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一</w:t>
            </w:r>
          </w:p>
        </w:tc>
        <w:tc>
          <w:tcPr>
            <w:tcW w:w="3450" w:type="dxa"/>
            <w:tcBorders>
              <w:tl2br w:val="nil"/>
              <w:tr2bl w:val="nil"/>
            </w:tcBorders>
          </w:tcPr>
          <w:p w14:paraId="3F19DD35">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建设内容</w:t>
            </w:r>
          </w:p>
        </w:tc>
        <w:tc>
          <w:tcPr>
            <w:tcW w:w="1437" w:type="dxa"/>
            <w:tcBorders>
              <w:tl2br w:val="nil"/>
              <w:tr2bl w:val="nil"/>
            </w:tcBorders>
          </w:tcPr>
          <w:p w14:paraId="4E3BD783">
            <w:pPr>
              <w:ind w:right="17" w:hanging="22"/>
              <w:jc w:val="center"/>
              <w:rPr>
                <w:rFonts w:hint="default" w:ascii="Times New Roman" w:hAnsi="Times New Roman" w:eastAsia="宋体" w:cs="Times New Roman"/>
                <w:color w:val="auto"/>
                <w:szCs w:val="21"/>
                <w:highlight w:val="none"/>
              </w:rPr>
            </w:pPr>
          </w:p>
        </w:tc>
        <w:tc>
          <w:tcPr>
            <w:tcW w:w="2632" w:type="dxa"/>
            <w:tcBorders>
              <w:tl2br w:val="nil"/>
              <w:tr2bl w:val="nil"/>
            </w:tcBorders>
          </w:tcPr>
          <w:p w14:paraId="1FB06CFD">
            <w:pPr>
              <w:ind w:right="17" w:hanging="22"/>
              <w:jc w:val="center"/>
              <w:rPr>
                <w:rFonts w:hint="default" w:ascii="Times New Roman" w:hAnsi="Times New Roman" w:eastAsia="宋体" w:cs="Times New Roman"/>
                <w:color w:val="auto"/>
                <w:szCs w:val="21"/>
                <w:highlight w:val="none"/>
              </w:rPr>
            </w:pPr>
          </w:p>
        </w:tc>
      </w:tr>
      <w:tr w14:paraId="13E156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767" w:type="dxa"/>
            <w:tcBorders>
              <w:tl2br w:val="nil"/>
              <w:tr2bl w:val="nil"/>
            </w:tcBorders>
            <w:vAlign w:val="center"/>
          </w:tcPr>
          <w:p w14:paraId="2238988E">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p>
        </w:tc>
        <w:tc>
          <w:tcPr>
            <w:tcW w:w="3450" w:type="dxa"/>
            <w:tcBorders>
              <w:tl2br w:val="nil"/>
              <w:tr2bl w:val="nil"/>
            </w:tcBorders>
            <w:vAlign w:val="center"/>
          </w:tcPr>
          <w:p w14:paraId="442AEFAE">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建筑面积</w:t>
            </w:r>
          </w:p>
        </w:tc>
        <w:tc>
          <w:tcPr>
            <w:tcW w:w="1437" w:type="dxa"/>
            <w:tcBorders>
              <w:tl2br w:val="nil"/>
              <w:tr2bl w:val="nil"/>
            </w:tcBorders>
          </w:tcPr>
          <w:p w14:paraId="225594B2">
            <w:pPr>
              <w:ind w:right="17" w:hanging="22"/>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szCs w:val="21"/>
                <w:highlight w:val="none"/>
              </w:rPr>
              <w:t>m</w:t>
            </w:r>
            <w:r>
              <w:rPr>
                <w:rFonts w:hint="default" w:ascii="Times New Roman" w:hAnsi="Times New Roman" w:eastAsia="宋体" w:cs="Times New Roman"/>
                <w:color w:val="auto"/>
                <w:szCs w:val="21"/>
                <w:highlight w:val="none"/>
                <w:vertAlign w:val="superscript"/>
              </w:rPr>
              <w:t>2</w:t>
            </w:r>
          </w:p>
        </w:tc>
        <w:tc>
          <w:tcPr>
            <w:tcW w:w="2632" w:type="dxa"/>
            <w:tcBorders>
              <w:tl2br w:val="nil"/>
              <w:tr2bl w:val="nil"/>
            </w:tcBorders>
            <w:vAlign w:val="center"/>
          </w:tcPr>
          <w:p w14:paraId="797FCC42">
            <w:pPr>
              <w:ind w:right="17" w:hanging="22"/>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2700</w:t>
            </w:r>
          </w:p>
        </w:tc>
      </w:tr>
      <w:tr w14:paraId="762E1A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767" w:type="dxa"/>
            <w:tcBorders>
              <w:tl2br w:val="nil"/>
              <w:tr2bl w:val="nil"/>
            </w:tcBorders>
            <w:vAlign w:val="center"/>
          </w:tcPr>
          <w:p w14:paraId="615E533B">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w:t>
            </w:r>
          </w:p>
        </w:tc>
        <w:tc>
          <w:tcPr>
            <w:tcW w:w="3450" w:type="dxa"/>
            <w:tcBorders>
              <w:tl2br w:val="nil"/>
              <w:tr2bl w:val="nil"/>
            </w:tcBorders>
            <w:vAlign w:val="center"/>
          </w:tcPr>
          <w:p w14:paraId="024EB268">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污水处理站</w:t>
            </w:r>
          </w:p>
        </w:tc>
        <w:tc>
          <w:tcPr>
            <w:tcW w:w="1437" w:type="dxa"/>
            <w:tcBorders>
              <w:tl2br w:val="nil"/>
              <w:tr2bl w:val="nil"/>
            </w:tcBorders>
          </w:tcPr>
          <w:p w14:paraId="2BAB7178">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m</w:t>
            </w:r>
            <w:r>
              <w:rPr>
                <w:rFonts w:hint="default" w:ascii="Times New Roman" w:hAnsi="Times New Roman" w:eastAsia="宋体" w:cs="Times New Roman"/>
                <w:color w:val="auto"/>
                <w:szCs w:val="21"/>
                <w:highlight w:val="none"/>
                <w:vertAlign w:val="superscript"/>
              </w:rPr>
              <w:t>3</w:t>
            </w:r>
            <w:r>
              <w:rPr>
                <w:rFonts w:hint="default" w:ascii="Times New Roman" w:hAnsi="Times New Roman" w:eastAsia="宋体" w:cs="Times New Roman"/>
                <w:color w:val="auto"/>
                <w:szCs w:val="21"/>
                <w:highlight w:val="none"/>
              </w:rPr>
              <w:t>/d</w:t>
            </w:r>
          </w:p>
        </w:tc>
        <w:tc>
          <w:tcPr>
            <w:tcW w:w="2632" w:type="dxa"/>
            <w:tcBorders>
              <w:tl2br w:val="nil"/>
              <w:tr2bl w:val="nil"/>
            </w:tcBorders>
            <w:vAlign w:val="center"/>
          </w:tcPr>
          <w:p w14:paraId="3C5475D7">
            <w:pPr>
              <w:ind w:right="17" w:hanging="22"/>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20</w:t>
            </w:r>
          </w:p>
        </w:tc>
      </w:tr>
      <w:tr w14:paraId="26D60F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767" w:type="dxa"/>
            <w:tcBorders>
              <w:tl2br w:val="nil"/>
              <w:tr2bl w:val="nil"/>
            </w:tcBorders>
            <w:vAlign w:val="center"/>
          </w:tcPr>
          <w:p w14:paraId="42B8154F">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w:t>
            </w:r>
          </w:p>
        </w:tc>
        <w:tc>
          <w:tcPr>
            <w:tcW w:w="3450" w:type="dxa"/>
            <w:tcBorders>
              <w:tl2br w:val="nil"/>
              <w:tr2bl w:val="nil"/>
            </w:tcBorders>
            <w:vAlign w:val="center"/>
          </w:tcPr>
          <w:p w14:paraId="046D847D">
            <w:pPr>
              <w:ind w:right="17" w:hanging="22"/>
              <w:jc w:val="center"/>
              <w:rPr>
                <w:rFonts w:hint="default" w:ascii="Times New Roman" w:hAnsi="Times New Roman" w:eastAsia="宋体" w:cs="Times New Roman"/>
                <w:color w:val="auto"/>
                <w:szCs w:val="21"/>
                <w:highlight w:val="none"/>
              </w:rPr>
            </w:pPr>
            <w:r>
              <w:rPr>
                <w:rFonts w:hint="eastAsia" w:cs="Times New Roman"/>
                <w:color w:val="auto"/>
                <w:szCs w:val="21"/>
                <w:highlight w:val="none"/>
                <w:lang w:eastAsia="zh-CN"/>
              </w:rPr>
              <w:t>医疗废物</w:t>
            </w:r>
            <w:r>
              <w:rPr>
                <w:rFonts w:hint="default" w:ascii="Times New Roman" w:hAnsi="Times New Roman" w:eastAsia="宋体" w:cs="Times New Roman"/>
                <w:color w:val="auto"/>
                <w:szCs w:val="21"/>
                <w:highlight w:val="none"/>
              </w:rPr>
              <w:t>暂存间</w:t>
            </w:r>
          </w:p>
        </w:tc>
        <w:tc>
          <w:tcPr>
            <w:tcW w:w="1437" w:type="dxa"/>
            <w:tcBorders>
              <w:tl2br w:val="nil"/>
              <w:tr2bl w:val="nil"/>
            </w:tcBorders>
          </w:tcPr>
          <w:p w14:paraId="727A44D2">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m</w:t>
            </w:r>
            <w:r>
              <w:rPr>
                <w:rFonts w:hint="default" w:ascii="Times New Roman" w:hAnsi="Times New Roman" w:eastAsia="宋体" w:cs="Times New Roman"/>
                <w:color w:val="auto"/>
                <w:szCs w:val="21"/>
                <w:highlight w:val="none"/>
                <w:vertAlign w:val="superscript"/>
              </w:rPr>
              <w:t>2</w:t>
            </w:r>
          </w:p>
        </w:tc>
        <w:tc>
          <w:tcPr>
            <w:tcW w:w="2632" w:type="dxa"/>
            <w:tcBorders>
              <w:tl2br w:val="nil"/>
              <w:tr2bl w:val="nil"/>
            </w:tcBorders>
            <w:vAlign w:val="center"/>
          </w:tcPr>
          <w:p w14:paraId="22966FCE">
            <w:pPr>
              <w:ind w:right="17" w:hanging="22"/>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w:t>
            </w:r>
          </w:p>
        </w:tc>
      </w:tr>
      <w:tr w14:paraId="543A37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767" w:type="dxa"/>
            <w:tcBorders>
              <w:tl2br w:val="nil"/>
              <w:tr2bl w:val="nil"/>
            </w:tcBorders>
            <w:vAlign w:val="center"/>
          </w:tcPr>
          <w:p w14:paraId="5DF6C282">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w:t>
            </w:r>
          </w:p>
        </w:tc>
        <w:tc>
          <w:tcPr>
            <w:tcW w:w="3450" w:type="dxa"/>
            <w:tcBorders>
              <w:tl2br w:val="nil"/>
              <w:tr2bl w:val="nil"/>
            </w:tcBorders>
            <w:vAlign w:val="center"/>
          </w:tcPr>
          <w:p w14:paraId="0A11A0AE">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科室</w:t>
            </w:r>
          </w:p>
        </w:tc>
        <w:tc>
          <w:tcPr>
            <w:tcW w:w="1437" w:type="dxa"/>
            <w:tcBorders>
              <w:tl2br w:val="nil"/>
              <w:tr2bl w:val="nil"/>
            </w:tcBorders>
          </w:tcPr>
          <w:p w14:paraId="4CB718E3">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个</w:t>
            </w:r>
          </w:p>
        </w:tc>
        <w:tc>
          <w:tcPr>
            <w:tcW w:w="2632" w:type="dxa"/>
            <w:tcBorders>
              <w:tl2br w:val="nil"/>
              <w:tr2bl w:val="nil"/>
            </w:tcBorders>
            <w:vAlign w:val="center"/>
          </w:tcPr>
          <w:p w14:paraId="13B88B2D">
            <w:pPr>
              <w:ind w:right="17" w:hanging="22"/>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w:t>
            </w:r>
          </w:p>
        </w:tc>
      </w:tr>
      <w:tr w14:paraId="7F9535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767" w:type="dxa"/>
            <w:tcBorders>
              <w:tl2br w:val="nil"/>
              <w:tr2bl w:val="nil"/>
            </w:tcBorders>
            <w:vAlign w:val="center"/>
          </w:tcPr>
          <w:p w14:paraId="01E6FF28">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5</w:t>
            </w:r>
          </w:p>
        </w:tc>
        <w:tc>
          <w:tcPr>
            <w:tcW w:w="3450" w:type="dxa"/>
            <w:tcBorders>
              <w:tl2br w:val="nil"/>
              <w:tr2bl w:val="nil"/>
            </w:tcBorders>
            <w:vAlign w:val="center"/>
          </w:tcPr>
          <w:p w14:paraId="4AFC18BA">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床位</w:t>
            </w:r>
          </w:p>
        </w:tc>
        <w:tc>
          <w:tcPr>
            <w:tcW w:w="1437" w:type="dxa"/>
            <w:tcBorders>
              <w:tl2br w:val="nil"/>
              <w:tr2bl w:val="nil"/>
            </w:tcBorders>
          </w:tcPr>
          <w:p w14:paraId="7B7C65F2">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张</w:t>
            </w:r>
          </w:p>
        </w:tc>
        <w:tc>
          <w:tcPr>
            <w:tcW w:w="2632" w:type="dxa"/>
            <w:tcBorders>
              <w:tl2br w:val="nil"/>
              <w:tr2bl w:val="nil"/>
            </w:tcBorders>
            <w:vAlign w:val="center"/>
          </w:tcPr>
          <w:p w14:paraId="6D28D771">
            <w:pPr>
              <w:ind w:right="17" w:hanging="22"/>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80</w:t>
            </w:r>
          </w:p>
        </w:tc>
      </w:tr>
      <w:tr w14:paraId="4BFDF4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67" w:type="dxa"/>
            <w:tcBorders>
              <w:tl2br w:val="nil"/>
              <w:tr2bl w:val="nil"/>
            </w:tcBorders>
            <w:vAlign w:val="center"/>
          </w:tcPr>
          <w:p w14:paraId="35B0CDD4">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二</w:t>
            </w:r>
          </w:p>
        </w:tc>
        <w:tc>
          <w:tcPr>
            <w:tcW w:w="3450" w:type="dxa"/>
            <w:tcBorders>
              <w:tl2br w:val="nil"/>
              <w:tr2bl w:val="nil"/>
            </w:tcBorders>
            <w:vAlign w:val="center"/>
          </w:tcPr>
          <w:p w14:paraId="2D60DACF">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投资</w:t>
            </w:r>
          </w:p>
        </w:tc>
        <w:tc>
          <w:tcPr>
            <w:tcW w:w="1437" w:type="dxa"/>
            <w:tcBorders>
              <w:tl2br w:val="nil"/>
              <w:tr2bl w:val="nil"/>
            </w:tcBorders>
          </w:tcPr>
          <w:p w14:paraId="1A8870BD">
            <w:pPr>
              <w:ind w:right="17" w:hanging="22"/>
              <w:jc w:val="center"/>
              <w:rPr>
                <w:rFonts w:hint="default" w:ascii="Times New Roman" w:hAnsi="Times New Roman" w:eastAsia="宋体" w:cs="Times New Roman"/>
                <w:color w:val="auto"/>
                <w:szCs w:val="21"/>
                <w:highlight w:val="none"/>
              </w:rPr>
            </w:pPr>
          </w:p>
        </w:tc>
        <w:tc>
          <w:tcPr>
            <w:tcW w:w="2632" w:type="dxa"/>
            <w:tcBorders>
              <w:tl2br w:val="nil"/>
              <w:tr2bl w:val="nil"/>
            </w:tcBorders>
            <w:vAlign w:val="center"/>
          </w:tcPr>
          <w:p w14:paraId="1E80EF1A">
            <w:pPr>
              <w:ind w:right="17" w:hanging="22"/>
              <w:jc w:val="center"/>
              <w:rPr>
                <w:rFonts w:hint="default" w:ascii="Times New Roman" w:hAnsi="Times New Roman" w:eastAsia="宋体" w:cs="Times New Roman"/>
                <w:color w:val="auto"/>
                <w:szCs w:val="21"/>
                <w:highlight w:val="none"/>
              </w:rPr>
            </w:pPr>
          </w:p>
        </w:tc>
      </w:tr>
      <w:tr w14:paraId="241E6D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67" w:type="dxa"/>
            <w:tcBorders>
              <w:tl2br w:val="nil"/>
              <w:tr2bl w:val="nil"/>
            </w:tcBorders>
            <w:vAlign w:val="center"/>
          </w:tcPr>
          <w:p w14:paraId="150B4E3D">
            <w:pPr>
              <w:ind w:right="17" w:hanging="22"/>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w:t>
            </w:r>
          </w:p>
        </w:tc>
        <w:tc>
          <w:tcPr>
            <w:tcW w:w="3450" w:type="dxa"/>
            <w:tcBorders>
              <w:tl2br w:val="nil"/>
              <w:tr2bl w:val="nil"/>
            </w:tcBorders>
            <w:vAlign w:val="center"/>
          </w:tcPr>
          <w:p w14:paraId="5AF2195A">
            <w:pPr>
              <w:ind w:right="17" w:hanging="22"/>
              <w:jc w:val="center"/>
              <w:rPr>
                <w:rFonts w:hint="eastAsia" w:ascii="Times New Roman" w:hAnsi="Times New Roman" w:eastAsia="宋体" w:cs="Times New Roman"/>
                <w:color w:val="auto"/>
                <w:szCs w:val="21"/>
                <w:highlight w:val="none"/>
                <w:lang w:eastAsia="zh-CN"/>
              </w:rPr>
            </w:pPr>
            <w:r>
              <w:rPr>
                <w:rFonts w:hint="eastAsia"/>
                <w:color w:val="auto"/>
                <w:szCs w:val="28"/>
                <w:highlight w:val="none"/>
                <w:lang w:eastAsia="zh-CN"/>
              </w:rPr>
              <w:t>工程建设费用</w:t>
            </w:r>
          </w:p>
        </w:tc>
        <w:tc>
          <w:tcPr>
            <w:tcW w:w="1437" w:type="dxa"/>
            <w:tcBorders>
              <w:tl2br w:val="nil"/>
              <w:tr2bl w:val="nil"/>
            </w:tcBorders>
          </w:tcPr>
          <w:p w14:paraId="0129C429">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万元</w:t>
            </w:r>
          </w:p>
        </w:tc>
        <w:tc>
          <w:tcPr>
            <w:tcW w:w="2632" w:type="dxa"/>
            <w:tcBorders>
              <w:tl2br w:val="nil"/>
              <w:tr2bl w:val="nil"/>
            </w:tcBorders>
            <w:vAlign w:val="center"/>
          </w:tcPr>
          <w:p w14:paraId="3879DC16">
            <w:pPr>
              <w:ind w:right="17" w:hanging="22"/>
              <w:jc w:val="center"/>
              <w:rPr>
                <w:rFonts w:hint="eastAsia" w:ascii="Times New Roman" w:hAnsi="Times New Roman" w:eastAsia="宋体" w:cs="Times New Roman"/>
                <w:color w:val="auto"/>
                <w:szCs w:val="21"/>
                <w:highlight w:val="none"/>
                <w:lang w:val="en-US" w:eastAsia="zh-CN"/>
              </w:rPr>
            </w:pPr>
            <w:r>
              <w:rPr>
                <w:rFonts w:hint="eastAsia"/>
                <w:color w:val="auto"/>
                <w:szCs w:val="28"/>
                <w:highlight w:val="none"/>
                <w:lang w:val="en-US" w:eastAsia="zh-CN"/>
              </w:rPr>
              <w:t>1145</w:t>
            </w:r>
          </w:p>
        </w:tc>
      </w:tr>
      <w:tr w14:paraId="0AFB66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67" w:type="dxa"/>
            <w:tcBorders>
              <w:tl2br w:val="nil"/>
              <w:tr2bl w:val="nil"/>
            </w:tcBorders>
            <w:vAlign w:val="center"/>
          </w:tcPr>
          <w:p w14:paraId="4D504D9C">
            <w:pPr>
              <w:ind w:right="17" w:hanging="22"/>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w:t>
            </w:r>
          </w:p>
        </w:tc>
        <w:tc>
          <w:tcPr>
            <w:tcW w:w="3450" w:type="dxa"/>
            <w:tcBorders>
              <w:tl2br w:val="nil"/>
              <w:tr2bl w:val="nil"/>
            </w:tcBorders>
            <w:vAlign w:val="center"/>
          </w:tcPr>
          <w:p w14:paraId="0053C0DA">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环保投资</w:t>
            </w:r>
          </w:p>
        </w:tc>
        <w:tc>
          <w:tcPr>
            <w:tcW w:w="1437" w:type="dxa"/>
            <w:tcBorders>
              <w:tl2br w:val="nil"/>
              <w:tr2bl w:val="nil"/>
            </w:tcBorders>
          </w:tcPr>
          <w:p w14:paraId="32FECF06">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万元</w:t>
            </w:r>
          </w:p>
        </w:tc>
        <w:tc>
          <w:tcPr>
            <w:tcW w:w="2632" w:type="dxa"/>
            <w:tcBorders>
              <w:tl2br w:val="nil"/>
              <w:tr2bl w:val="nil"/>
            </w:tcBorders>
            <w:vAlign w:val="center"/>
          </w:tcPr>
          <w:p w14:paraId="4EAB951F">
            <w:pPr>
              <w:ind w:right="17" w:hanging="22"/>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11.1</w:t>
            </w:r>
          </w:p>
        </w:tc>
      </w:tr>
      <w:tr w14:paraId="6C1503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67" w:type="dxa"/>
            <w:tcBorders>
              <w:tl2br w:val="nil"/>
              <w:tr2bl w:val="nil"/>
            </w:tcBorders>
            <w:vAlign w:val="center"/>
          </w:tcPr>
          <w:p w14:paraId="2473B6F0">
            <w:pPr>
              <w:ind w:right="17" w:hanging="22"/>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w:t>
            </w:r>
          </w:p>
        </w:tc>
        <w:tc>
          <w:tcPr>
            <w:tcW w:w="3450" w:type="dxa"/>
            <w:tcBorders>
              <w:tl2br w:val="nil"/>
              <w:tr2bl w:val="nil"/>
            </w:tcBorders>
            <w:vAlign w:val="center"/>
          </w:tcPr>
          <w:p w14:paraId="197C4D91">
            <w:pPr>
              <w:ind w:right="17" w:hanging="22"/>
              <w:jc w:val="center"/>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eastAsia="zh-CN"/>
              </w:rPr>
              <w:t>工程其他费用</w:t>
            </w:r>
          </w:p>
        </w:tc>
        <w:tc>
          <w:tcPr>
            <w:tcW w:w="1437" w:type="dxa"/>
            <w:tcBorders>
              <w:tl2br w:val="nil"/>
              <w:tr2bl w:val="nil"/>
            </w:tcBorders>
          </w:tcPr>
          <w:p w14:paraId="0F89B9FF">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万元</w:t>
            </w:r>
          </w:p>
        </w:tc>
        <w:tc>
          <w:tcPr>
            <w:tcW w:w="2632" w:type="dxa"/>
            <w:tcBorders>
              <w:tl2br w:val="nil"/>
              <w:tr2bl w:val="nil"/>
            </w:tcBorders>
            <w:vAlign w:val="center"/>
          </w:tcPr>
          <w:p w14:paraId="03E2D438">
            <w:pPr>
              <w:ind w:right="17" w:hanging="22"/>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102</w:t>
            </w:r>
          </w:p>
        </w:tc>
      </w:tr>
      <w:tr w14:paraId="330B35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1767" w:type="dxa"/>
            <w:tcBorders>
              <w:tl2br w:val="nil"/>
              <w:tr2bl w:val="nil"/>
            </w:tcBorders>
            <w:vAlign w:val="center"/>
          </w:tcPr>
          <w:p w14:paraId="2E088ED6">
            <w:pPr>
              <w:ind w:right="17" w:hanging="22"/>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w:t>
            </w:r>
          </w:p>
        </w:tc>
        <w:tc>
          <w:tcPr>
            <w:tcW w:w="3450" w:type="dxa"/>
            <w:tcBorders>
              <w:tl2br w:val="nil"/>
              <w:tr2bl w:val="nil"/>
            </w:tcBorders>
            <w:vAlign w:val="center"/>
          </w:tcPr>
          <w:p w14:paraId="0C6404DA">
            <w:pPr>
              <w:ind w:right="17" w:hanging="22"/>
              <w:jc w:val="center"/>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eastAsia="zh-CN"/>
              </w:rPr>
              <w:t>预备费</w:t>
            </w:r>
          </w:p>
        </w:tc>
        <w:tc>
          <w:tcPr>
            <w:tcW w:w="1437" w:type="dxa"/>
            <w:tcBorders>
              <w:tl2br w:val="nil"/>
              <w:tr2bl w:val="nil"/>
            </w:tcBorders>
          </w:tcPr>
          <w:p w14:paraId="423B13C9">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万元</w:t>
            </w:r>
          </w:p>
        </w:tc>
        <w:tc>
          <w:tcPr>
            <w:tcW w:w="2632" w:type="dxa"/>
            <w:tcBorders>
              <w:tl2br w:val="nil"/>
              <w:tr2bl w:val="nil"/>
            </w:tcBorders>
            <w:vAlign w:val="center"/>
          </w:tcPr>
          <w:p w14:paraId="5DC03A9B">
            <w:pPr>
              <w:ind w:right="17" w:hanging="22"/>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75</w:t>
            </w:r>
          </w:p>
        </w:tc>
      </w:tr>
      <w:tr w14:paraId="48CAD8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1767" w:type="dxa"/>
            <w:tcBorders>
              <w:tl2br w:val="nil"/>
              <w:tr2bl w:val="nil"/>
            </w:tcBorders>
            <w:vAlign w:val="center"/>
          </w:tcPr>
          <w:p w14:paraId="185991C5">
            <w:pPr>
              <w:ind w:right="17" w:hanging="22"/>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5</w:t>
            </w:r>
          </w:p>
        </w:tc>
        <w:tc>
          <w:tcPr>
            <w:tcW w:w="3450" w:type="dxa"/>
            <w:tcBorders>
              <w:tl2br w:val="nil"/>
              <w:tr2bl w:val="nil"/>
            </w:tcBorders>
            <w:vAlign w:val="center"/>
          </w:tcPr>
          <w:p w14:paraId="4B667D04">
            <w:pPr>
              <w:ind w:right="17" w:hanging="22"/>
              <w:jc w:val="center"/>
              <w:rPr>
                <w:rFonts w:hint="eastAsia" w:cs="Times New Roman"/>
                <w:b w:val="0"/>
                <w:bCs w:val="0"/>
                <w:color w:val="auto"/>
                <w:szCs w:val="21"/>
                <w:highlight w:val="none"/>
                <w:lang w:eastAsia="zh-CN"/>
              </w:rPr>
            </w:pPr>
            <w:r>
              <w:rPr>
                <w:rFonts w:hint="eastAsia" w:ascii="宋体" w:hAnsi="宋体" w:cs="宋体"/>
                <w:b w:val="0"/>
                <w:bCs w:val="0"/>
                <w:color w:val="auto"/>
                <w:kern w:val="0"/>
                <w:sz w:val="20"/>
                <w:szCs w:val="20"/>
                <w:highlight w:val="none"/>
              </w:rPr>
              <w:t>医疗设备购置</w:t>
            </w:r>
          </w:p>
        </w:tc>
        <w:tc>
          <w:tcPr>
            <w:tcW w:w="1437" w:type="dxa"/>
            <w:tcBorders>
              <w:tl2br w:val="nil"/>
              <w:tr2bl w:val="nil"/>
            </w:tcBorders>
          </w:tcPr>
          <w:p w14:paraId="064D3B2A">
            <w:pPr>
              <w:ind w:right="17" w:hanging="22"/>
              <w:jc w:val="center"/>
              <w:rPr>
                <w:rFonts w:hint="eastAsia" w:ascii="Times New Roman" w:hAnsi="Times New Roman" w:eastAsia="宋体" w:cs="Times New Roman"/>
                <w:b w:val="0"/>
                <w:bCs w:val="0"/>
                <w:color w:val="auto"/>
                <w:szCs w:val="21"/>
                <w:highlight w:val="none"/>
                <w:lang w:eastAsia="zh-CN"/>
              </w:rPr>
            </w:pPr>
            <w:r>
              <w:rPr>
                <w:rFonts w:hint="eastAsia" w:cs="Times New Roman"/>
                <w:b w:val="0"/>
                <w:bCs w:val="0"/>
                <w:color w:val="auto"/>
                <w:szCs w:val="21"/>
                <w:highlight w:val="none"/>
                <w:lang w:eastAsia="zh-CN"/>
              </w:rPr>
              <w:t>万元</w:t>
            </w:r>
          </w:p>
        </w:tc>
        <w:tc>
          <w:tcPr>
            <w:tcW w:w="2632" w:type="dxa"/>
            <w:tcBorders>
              <w:tl2br w:val="nil"/>
              <w:tr2bl w:val="nil"/>
            </w:tcBorders>
            <w:vAlign w:val="center"/>
          </w:tcPr>
          <w:p w14:paraId="1B244861">
            <w:pPr>
              <w:ind w:right="17" w:hanging="22"/>
              <w:jc w:val="center"/>
              <w:rPr>
                <w:rFonts w:hint="eastAsia" w:cs="Times New Roman"/>
                <w:b w:val="0"/>
                <w:bCs w:val="0"/>
                <w:color w:val="auto"/>
                <w:szCs w:val="21"/>
                <w:highlight w:val="none"/>
                <w:lang w:val="en-US" w:eastAsia="zh-CN"/>
              </w:rPr>
            </w:pPr>
            <w:r>
              <w:rPr>
                <w:rFonts w:hint="eastAsia" w:cs="Times New Roman"/>
                <w:b w:val="0"/>
                <w:bCs w:val="0"/>
                <w:color w:val="auto"/>
                <w:szCs w:val="21"/>
                <w:highlight w:val="none"/>
                <w:lang w:val="en-US" w:eastAsia="zh-CN"/>
              </w:rPr>
              <w:t>666.9</w:t>
            </w:r>
          </w:p>
        </w:tc>
      </w:tr>
      <w:tr w14:paraId="27DA83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67" w:type="dxa"/>
            <w:tcBorders>
              <w:tl2br w:val="nil"/>
              <w:tr2bl w:val="nil"/>
            </w:tcBorders>
            <w:vAlign w:val="center"/>
          </w:tcPr>
          <w:p w14:paraId="3BF3D90E">
            <w:pPr>
              <w:ind w:right="17" w:hanging="22"/>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w:t>
            </w:r>
          </w:p>
        </w:tc>
        <w:tc>
          <w:tcPr>
            <w:tcW w:w="3450" w:type="dxa"/>
            <w:tcBorders>
              <w:tl2br w:val="nil"/>
              <w:tr2bl w:val="nil"/>
            </w:tcBorders>
            <w:vAlign w:val="center"/>
          </w:tcPr>
          <w:p w14:paraId="37879EB4">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总投资</w:t>
            </w:r>
          </w:p>
        </w:tc>
        <w:tc>
          <w:tcPr>
            <w:tcW w:w="1437" w:type="dxa"/>
            <w:tcBorders>
              <w:tl2br w:val="nil"/>
              <w:tr2bl w:val="nil"/>
            </w:tcBorders>
          </w:tcPr>
          <w:p w14:paraId="587CDC30">
            <w:pPr>
              <w:ind w:right="17" w:hanging="22"/>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万元</w:t>
            </w:r>
          </w:p>
        </w:tc>
        <w:tc>
          <w:tcPr>
            <w:tcW w:w="2632" w:type="dxa"/>
            <w:tcBorders>
              <w:tl2br w:val="nil"/>
              <w:tr2bl w:val="nil"/>
            </w:tcBorders>
            <w:vAlign w:val="center"/>
          </w:tcPr>
          <w:p w14:paraId="1F15AD1B">
            <w:pPr>
              <w:ind w:right="17" w:hanging="22"/>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2000</w:t>
            </w:r>
          </w:p>
        </w:tc>
      </w:tr>
    </w:tbl>
    <w:p w14:paraId="7B426149">
      <w:pPr>
        <w:adjustRightInd w:val="0"/>
        <w:snapToGrid w:val="0"/>
        <w:spacing w:line="360" w:lineRule="auto"/>
        <w:ind w:left="480" w:hanging="480" w:hangingChars="200"/>
        <w:jc w:val="left"/>
        <w:rPr>
          <w:rFonts w:hint="default" w:ascii="Times New Roman" w:hAnsi="Times New Roman" w:cs="Times New Roman"/>
          <w:color w:val="auto"/>
          <w:sz w:val="24"/>
          <w:szCs w:val="24"/>
          <w:highlight w:val="none"/>
        </w:rPr>
      </w:pPr>
    </w:p>
    <w:p w14:paraId="1D5D7086">
      <w:pPr>
        <w:adjustRightInd w:val="0"/>
        <w:snapToGrid w:val="0"/>
        <w:spacing w:line="360" w:lineRule="auto"/>
        <w:ind w:left="480" w:hanging="480" w:hangingChars="200"/>
        <w:jc w:val="left"/>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项目定员</w:t>
      </w:r>
    </w:p>
    <w:p w14:paraId="1DED431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textAlignment w:val="auto"/>
        <w:outlineLvl w:val="9"/>
        <w:rPr>
          <w:rFonts w:ascii="宋体" w:hAnsi="宋体"/>
          <w:color w:val="auto"/>
          <w:sz w:val="24"/>
          <w:highlight w:val="none"/>
        </w:rPr>
      </w:pPr>
      <w:r>
        <w:rPr>
          <w:rFonts w:hint="eastAsia" w:ascii="宋体" w:hAnsi="宋体"/>
          <w:color w:val="auto"/>
          <w:sz w:val="24"/>
          <w:highlight w:val="none"/>
        </w:rPr>
        <w:t>劳动定员人数</w:t>
      </w:r>
      <w:r>
        <w:rPr>
          <w:rFonts w:hint="eastAsia" w:ascii="宋体" w:hAnsi="宋体"/>
          <w:color w:val="auto"/>
          <w:sz w:val="24"/>
          <w:highlight w:val="none"/>
          <w:lang w:val="en-US" w:eastAsia="zh-CN"/>
        </w:rPr>
        <w:t>85</w:t>
      </w:r>
      <w:r>
        <w:rPr>
          <w:rFonts w:hint="eastAsia" w:ascii="宋体" w:hAnsi="宋体"/>
          <w:color w:val="auto"/>
          <w:sz w:val="24"/>
          <w:highlight w:val="none"/>
        </w:rPr>
        <w:t>人</w:t>
      </w:r>
      <w:r>
        <w:rPr>
          <w:rFonts w:hint="eastAsia" w:ascii="宋体" w:hAnsi="宋体"/>
          <w:color w:val="auto"/>
          <w:sz w:val="24"/>
          <w:highlight w:val="none"/>
          <w:lang w:eastAsia="zh-CN"/>
        </w:rPr>
        <w:t>，每天</w:t>
      </w:r>
      <w:r>
        <w:rPr>
          <w:rFonts w:hint="eastAsia" w:ascii="宋体" w:hAnsi="宋体"/>
          <w:color w:val="auto"/>
          <w:sz w:val="24"/>
          <w:highlight w:val="none"/>
        </w:rPr>
        <w:t>工作</w:t>
      </w:r>
      <w:r>
        <w:rPr>
          <w:rFonts w:hint="eastAsia" w:ascii="宋体" w:hAnsi="宋体"/>
          <w:color w:val="auto"/>
          <w:sz w:val="24"/>
          <w:highlight w:val="none"/>
          <w:lang w:val="en-US" w:eastAsia="zh-CN"/>
        </w:rPr>
        <w:t>8</w:t>
      </w:r>
      <w:r>
        <w:rPr>
          <w:rFonts w:hint="eastAsia" w:ascii="宋体" w:hAnsi="宋体"/>
          <w:color w:val="auto"/>
          <w:sz w:val="24"/>
          <w:highlight w:val="none"/>
        </w:rPr>
        <w:t>小时，</w:t>
      </w:r>
      <w:r>
        <w:rPr>
          <w:rFonts w:hint="eastAsia" w:ascii="宋体" w:hAnsi="宋体"/>
          <w:color w:val="auto"/>
          <w:sz w:val="24"/>
          <w:highlight w:val="none"/>
          <w:lang w:eastAsia="zh-CN"/>
        </w:rPr>
        <w:t>病房每天工作</w:t>
      </w:r>
      <w:r>
        <w:rPr>
          <w:rFonts w:hint="eastAsia" w:ascii="宋体" w:hAnsi="宋体"/>
          <w:color w:val="auto"/>
          <w:sz w:val="24"/>
          <w:highlight w:val="none"/>
          <w:lang w:val="en-US" w:eastAsia="zh-CN"/>
        </w:rPr>
        <w:t>24小时，</w:t>
      </w:r>
      <w:r>
        <w:rPr>
          <w:rFonts w:hint="eastAsia" w:ascii="宋体" w:hAnsi="宋体"/>
          <w:color w:val="auto"/>
          <w:sz w:val="24"/>
          <w:highlight w:val="none"/>
        </w:rPr>
        <w:t>每年工作</w:t>
      </w:r>
      <w:r>
        <w:rPr>
          <w:rFonts w:ascii="宋体" w:hAnsi="宋体"/>
          <w:color w:val="auto"/>
          <w:sz w:val="24"/>
          <w:highlight w:val="none"/>
        </w:rPr>
        <w:t>365</w:t>
      </w:r>
      <w:r>
        <w:rPr>
          <w:rFonts w:hint="eastAsia" w:ascii="宋体" w:hAnsi="宋体"/>
          <w:color w:val="auto"/>
          <w:sz w:val="24"/>
          <w:highlight w:val="none"/>
        </w:rPr>
        <w:t>天。</w:t>
      </w:r>
    </w:p>
    <w:p w14:paraId="7543DE39">
      <w:pPr>
        <w:keepNext w:val="0"/>
        <w:keepLines w:val="0"/>
        <w:pageBreakBefore w:val="0"/>
        <w:widowControl w:val="0"/>
        <w:kinsoku/>
        <w:wordWrap/>
        <w:overflowPunct/>
        <w:topLinePunct w:val="0"/>
        <w:autoSpaceDE/>
        <w:autoSpaceDN/>
        <w:bidi w:val="0"/>
        <w:adjustRightInd w:val="0"/>
        <w:snapToGrid w:val="0"/>
        <w:spacing w:line="360" w:lineRule="auto"/>
        <w:ind w:left="562" w:leftChars="0" w:right="0" w:rightChars="0" w:hanging="562" w:hangingChars="200"/>
        <w:jc w:val="left"/>
        <w:textAlignment w:val="auto"/>
        <w:outlineLvl w:val="9"/>
        <w:rPr>
          <w:rFonts w:hint="default" w:ascii="Times New Roman" w:hAnsi="Times New Roman" w:cs="Times New Roman"/>
          <w:b/>
          <w:bCs/>
          <w:color w:val="auto"/>
          <w:sz w:val="28"/>
          <w:szCs w:val="28"/>
          <w:highlight w:val="none"/>
        </w:rPr>
      </w:pPr>
      <w:r>
        <w:rPr>
          <w:rFonts w:hint="eastAsia" w:cs="Times New Roman"/>
          <w:b/>
          <w:bCs/>
          <w:color w:val="auto"/>
          <w:sz w:val="28"/>
          <w:szCs w:val="28"/>
          <w:highlight w:val="none"/>
          <w:lang w:val="en-US" w:eastAsia="zh-CN"/>
        </w:rPr>
        <w:t>7</w:t>
      </w:r>
      <w:r>
        <w:rPr>
          <w:rFonts w:hint="default" w:ascii="Times New Roman" w:hAnsi="Times New Roman" w:cs="Times New Roman"/>
          <w:b/>
          <w:bCs/>
          <w:color w:val="auto"/>
          <w:sz w:val="28"/>
          <w:szCs w:val="28"/>
          <w:highlight w:val="none"/>
        </w:rPr>
        <w:t>公用工程</w:t>
      </w:r>
    </w:p>
    <w:p w14:paraId="540CE19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（1）给水</w:t>
      </w:r>
    </w:p>
    <w:p w14:paraId="583C953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outlineLvl w:val="9"/>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本项目</w:t>
      </w:r>
      <w:r>
        <w:rPr>
          <w:rFonts w:hint="eastAsia" w:ascii="Times New Roman" w:hAnsi="Times New Roman" w:cs="Times New Roman"/>
          <w:color w:val="auto"/>
          <w:sz w:val="24"/>
          <w:szCs w:val="24"/>
          <w:highlight w:val="none"/>
          <w:lang w:eastAsia="zh-CN"/>
        </w:rPr>
        <w:t>用水引自</w:t>
      </w:r>
      <w:r>
        <w:rPr>
          <w:rFonts w:hint="eastAsia" w:ascii="Times New Roman" w:hAnsi="Times New Roman" w:cs="Times New Roman"/>
          <w:color w:val="auto"/>
          <w:sz w:val="24"/>
          <w:szCs w:val="24"/>
          <w:highlight w:val="none"/>
        </w:rPr>
        <w:t>市政供水管网</w:t>
      </w: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rPr>
        <w:t>用水主要为生活用水、医疗用水和消防用水。根据</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全国</w:t>
      </w:r>
      <w:r>
        <w:rPr>
          <w:rFonts w:hint="default" w:ascii="Times New Roman" w:hAnsi="Times New Roman" w:eastAsia="宋体" w:cs="Times New Roman"/>
          <w:color w:val="auto"/>
          <w:sz w:val="24"/>
          <w:szCs w:val="24"/>
          <w:highlight w:val="none"/>
        </w:rPr>
        <w:t>民用建筑工程设计技术措施</w:t>
      </w:r>
      <w:r>
        <w:rPr>
          <w:rFonts w:hint="default" w:ascii="Times New Roman" w:hAnsi="Times New Roman" w:eastAsia="宋体" w:cs="Times New Roman"/>
          <w:color w:val="auto"/>
          <w:sz w:val="24"/>
          <w:szCs w:val="24"/>
          <w:highlight w:val="none"/>
          <w:lang w:val="en-US" w:eastAsia="zh-CN"/>
        </w:rPr>
        <w:t>2009</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eastAsia="zh-CN"/>
        </w:rPr>
        <w:t>、《医院污水处理工程技术规范》（</w:t>
      </w:r>
      <w:r>
        <w:rPr>
          <w:rFonts w:hint="eastAsia" w:cs="Times New Roman"/>
          <w:color w:val="auto"/>
          <w:sz w:val="24"/>
          <w:szCs w:val="24"/>
          <w:highlight w:val="none"/>
          <w:lang w:val="en-US" w:eastAsia="zh-CN"/>
        </w:rPr>
        <w:t>HJ2029-2013</w:t>
      </w:r>
      <w:r>
        <w:rPr>
          <w:rFonts w:hint="eastAsia" w:cs="Times New Roman"/>
          <w:color w:val="auto"/>
          <w:sz w:val="24"/>
          <w:szCs w:val="24"/>
          <w:highlight w:val="none"/>
          <w:lang w:eastAsia="zh-CN"/>
        </w:rPr>
        <w:t>）及辽宁省《行业用水定额》（</w:t>
      </w:r>
      <w:r>
        <w:rPr>
          <w:rFonts w:hint="eastAsia" w:cs="Times New Roman"/>
          <w:color w:val="auto"/>
          <w:sz w:val="24"/>
          <w:szCs w:val="24"/>
          <w:highlight w:val="none"/>
          <w:lang w:val="en-US" w:eastAsia="zh-CN"/>
        </w:rPr>
        <w:t>DB</w:t>
      </w:r>
      <w:r>
        <w:rPr>
          <w:rFonts w:hint="default" w:cs="Times New Roman"/>
          <w:color w:val="auto"/>
          <w:sz w:val="24"/>
          <w:szCs w:val="24"/>
          <w:highlight w:val="none"/>
          <w:lang w:val="en-US" w:eastAsia="zh-CN"/>
        </w:rPr>
        <w:t>21/</w:t>
      </w:r>
      <w:r>
        <w:rPr>
          <w:rFonts w:hint="eastAsia" w:cs="Times New Roman"/>
          <w:color w:val="auto"/>
          <w:sz w:val="24"/>
          <w:szCs w:val="24"/>
          <w:highlight w:val="none"/>
          <w:lang w:val="en-US" w:eastAsia="zh-CN"/>
        </w:rPr>
        <w:t>T</w:t>
      </w:r>
      <w:r>
        <w:rPr>
          <w:rFonts w:hint="default" w:cs="Times New Roman"/>
          <w:color w:val="auto"/>
          <w:sz w:val="24"/>
          <w:szCs w:val="24"/>
          <w:highlight w:val="none"/>
          <w:lang w:val="en-US" w:eastAsia="zh-CN"/>
        </w:rPr>
        <w:t>1237-2015</w:t>
      </w:r>
      <w:r>
        <w:rPr>
          <w:rFonts w:hint="eastAsia" w:cs="Times New Roman"/>
          <w:color w:val="auto"/>
          <w:sz w:val="24"/>
          <w:szCs w:val="24"/>
          <w:highlight w:val="none"/>
          <w:lang w:eastAsia="zh-CN"/>
        </w:rPr>
        <w:t>）</w:t>
      </w:r>
      <w:r>
        <w:rPr>
          <w:rFonts w:ascii="Times New Roman" w:hAnsi="Times New Roman" w:cs="Times New Roman"/>
          <w:color w:val="auto"/>
          <w:sz w:val="24"/>
          <w:szCs w:val="24"/>
          <w:highlight w:val="none"/>
        </w:rPr>
        <w:t>规定，本项目的最高日用水量为</w:t>
      </w:r>
      <w:r>
        <w:rPr>
          <w:rFonts w:hint="eastAsia" w:cs="Times New Roman"/>
          <w:color w:val="auto"/>
          <w:sz w:val="24"/>
          <w:szCs w:val="24"/>
          <w:highlight w:val="none"/>
          <w:lang w:val="en-US" w:eastAsia="zh-CN"/>
        </w:rPr>
        <w:t>36.95</w:t>
      </w:r>
      <w:r>
        <w:rPr>
          <w:rFonts w:ascii="Times New Roman" w:hAnsi="Times New Roman" w:cs="Times New Roman"/>
          <w:color w:val="auto"/>
          <w:sz w:val="24"/>
          <w:szCs w:val="24"/>
          <w:highlight w:val="none"/>
        </w:rPr>
        <w:t>m</w:t>
      </w:r>
      <w:r>
        <w:rPr>
          <w:rFonts w:ascii="Times New Roman" w:hAnsi="Times New Roman" w:cs="Times New Roman"/>
          <w:color w:val="auto"/>
          <w:sz w:val="24"/>
          <w:szCs w:val="24"/>
          <w:highlight w:val="none"/>
          <w:vertAlign w:val="superscript"/>
        </w:rPr>
        <w:t>3</w:t>
      </w:r>
      <w:r>
        <w:rPr>
          <w:rFonts w:ascii="Times New Roman" w:hAnsi="Times New Roman" w:cs="Times New Roman"/>
          <w:color w:val="auto"/>
          <w:sz w:val="24"/>
          <w:szCs w:val="24"/>
          <w:highlight w:val="none"/>
        </w:rPr>
        <w:t>/d</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13486.75</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ascii="Times New Roman" w:hAnsi="Times New Roman" w:cs="Times New Roman"/>
          <w:color w:val="auto"/>
          <w:sz w:val="24"/>
          <w:szCs w:val="24"/>
          <w:highlight w:val="none"/>
        </w:rPr>
        <w:t>。</w:t>
      </w:r>
    </w:p>
    <w:p w14:paraId="0C8C98D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outlineLvl w:val="9"/>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根据《高层民用建筑设计防火规范》(GB50045-95)规定：本项目消防用水量为：室内20L/s，室外20L/s，自动喷水灭火用水量21.3L/s，水源由城市管网提供。</w:t>
      </w:r>
    </w:p>
    <w:p w14:paraId="6A6627C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（2）排水</w:t>
      </w:r>
    </w:p>
    <w:p w14:paraId="0830634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auto"/>
        <w:outlineLvl w:val="9"/>
        <w:rPr>
          <w:rFonts w:hint="eastAsia"/>
          <w:color w:val="auto"/>
          <w:sz w:val="24"/>
          <w:szCs w:val="24"/>
          <w:highlight w:val="none"/>
        </w:rPr>
      </w:pPr>
      <w:r>
        <w:rPr>
          <w:rFonts w:hint="eastAsia"/>
          <w:color w:val="auto"/>
          <w:sz w:val="24"/>
          <w:highlight w:val="none"/>
          <w:lang w:val="en-US" w:eastAsia="zh-CN"/>
        </w:rPr>
        <w:t xml:space="preserve">    </w:t>
      </w:r>
      <w:r>
        <w:rPr>
          <w:rFonts w:hint="eastAsia"/>
          <w:color w:val="auto"/>
          <w:sz w:val="24"/>
          <w:highlight w:val="none"/>
          <w:lang w:eastAsia="zh-CN"/>
        </w:rPr>
        <w:t>医院废水主要为医疗废水和医护人</w:t>
      </w:r>
      <w:r>
        <w:rPr>
          <w:rFonts w:hint="eastAsia"/>
          <w:color w:val="auto"/>
          <w:sz w:val="24"/>
          <w:highlight w:val="none"/>
        </w:rPr>
        <w:t>员生活污水，</w:t>
      </w:r>
      <w:r>
        <w:rPr>
          <w:rFonts w:hint="eastAsia"/>
          <w:color w:val="auto"/>
          <w:sz w:val="24"/>
          <w:highlight w:val="none"/>
          <w:lang w:eastAsia="zh-CN"/>
        </w:rPr>
        <w:t>医疗废水及生活污水分别</w:t>
      </w:r>
      <w:r>
        <w:rPr>
          <w:rFonts w:hint="eastAsia"/>
          <w:color w:val="auto"/>
          <w:sz w:val="24"/>
          <w:highlight w:val="none"/>
        </w:rPr>
        <w:t>收集，</w:t>
      </w:r>
      <w:r>
        <w:rPr>
          <w:rFonts w:hint="eastAsia"/>
          <w:color w:val="auto"/>
          <w:sz w:val="24"/>
          <w:highlight w:val="none"/>
          <w:lang w:eastAsia="zh-CN"/>
        </w:rPr>
        <w:t>生活污水依托小区化粪池处理后排入市政管网，医疗废水经医院污水处理站处理后排入市政管网</w:t>
      </w:r>
      <w:r>
        <w:rPr>
          <w:rFonts w:hint="eastAsia"/>
          <w:color w:val="auto"/>
          <w:sz w:val="24"/>
          <w:szCs w:val="24"/>
          <w:highlight w:val="none"/>
        </w:rPr>
        <w:t>。</w:t>
      </w:r>
    </w:p>
    <w:p w14:paraId="3F31944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（3）供电</w:t>
      </w:r>
    </w:p>
    <w:p w14:paraId="1B9BB74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color w:val="auto"/>
          <w:sz w:val="24"/>
          <w:highlight w:val="none"/>
          <w:lang w:eastAsia="zh-CN"/>
        </w:rPr>
        <w:t>项目不设置应急发电机，项目用电为医疗、办公及暖通照明等用电，依托房屋现有配套供电、配电设置，只需根据项目用电需要进行线路布置，无需增设其它供配电设施。电源由市区供电局供电。用电量约</w:t>
      </w:r>
      <w:r>
        <w:rPr>
          <w:rFonts w:hint="eastAsia" w:ascii="宋体" w:hAnsi="宋体"/>
          <w:color w:val="auto"/>
          <w:sz w:val="24"/>
          <w:highlight w:val="none"/>
          <w:lang w:val="en-US" w:eastAsia="zh-CN"/>
        </w:rPr>
        <w:t>10万</w:t>
      </w:r>
      <w:r>
        <w:rPr>
          <w:rFonts w:hint="default" w:ascii="Times New Roman" w:hAnsi="Times New Roman" w:cs="Times New Roman"/>
          <w:color w:val="auto"/>
          <w:sz w:val="24"/>
          <w:highlight w:val="none"/>
          <w:lang w:val="en-US" w:eastAsia="zh-CN"/>
        </w:rPr>
        <w:t>kwh/a</w:t>
      </w:r>
      <w:r>
        <w:rPr>
          <w:rFonts w:hint="eastAsia" w:ascii="宋体" w:hAnsi="宋体"/>
          <w:color w:val="auto"/>
          <w:sz w:val="24"/>
          <w:highlight w:val="none"/>
          <w:lang w:val="en-US" w:eastAsia="zh-CN"/>
        </w:rPr>
        <w:t>。</w:t>
      </w:r>
    </w:p>
    <w:p w14:paraId="33FD7C6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（4）供暖</w:t>
      </w:r>
    </w:p>
    <w:p w14:paraId="06BE2D0A">
      <w:pPr>
        <w:pStyle w:val="2"/>
        <w:keepNext w:val="0"/>
        <w:keepLines w:val="0"/>
        <w:pageBreakBefore w:val="0"/>
        <w:widowControl w:val="0"/>
        <w:kinsoku/>
        <w:wordWrap/>
        <w:overflowPunct/>
        <w:topLinePunct w:val="0"/>
        <w:autoSpaceDE/>
        <w:autoSpaceDN/>
        <w:bidi w:val="0"/>
        <w:adjustRightInd w:val="0"/>
        <w:snapToGrid w:val="0"/>
        <w:spacing w:after="0" w:afterLines="0" w:line="360" w:lineRule="auto"/>
        <w:ind w:left="0" w:leftChars="0" w:right="0" w:rightChars="0" w:firstLine="480" w:firstLineChars="200"/>
        <w:jc w:val="both"/>
        <w:textAlignment w:val="auto"/>
        <w:outlineLvl w:val="9"/>
        <w:rPr>
          <w:rFonts w:hint="eastAsia" w:ascii="宋体" w:hAnsi="宋体" w:eastAsia="宋体" w:cs="Times New Roman"/>
          <w:color w:val="auto"/>
          <w:kern w:val="2"/>
          <w:sz w:val="24"/>
          <w:szCs w:val="21"/>
          <w:highlight w:val="none"/>
          <w:lang w:val="en-US" w:eastAsia="zh-CN" w:bidi="ar-SA"/>
        </w:rPr>
      </w:pPr>
      <w:r>
        <w:rPr>
          <w:rFonts w:hint="eastAsia" w:ascii="宋体" w:hAnsi="宋体" w:eastAsia="宋体" w:cs="Times New Roman"/>
          <w:color w:val="auto"/>
          <w:kern w:val="2"/>
          <w:sz w:val="24"/>
          <w:szCs w:val="21"/>
          <w:highlight w:val="none"/>
          <w:lang w:val="en-US" w:eastAsia="zh-CN" w:bidi="ar-SA"/>
        </w:rPr>
        <w:t>本项目供暖</w:t>
      </w:r>
      <w:r>
        <w:rPr>
          <w:rFonts w:hint="eastAsia" w:ascii="宋体" w:hAnsi="宋体" w:cs="Times New Roman"/>
          <w:color w:val="auto"/>
          <w:kern w:val="2"/>
          <w:sz w:val="24"/>
          <w:szCs w:val="21"/>
          <w:highlight w:val="none"/>
          <w:lang w:val="en-US" w:eastAsia="zh-CN" w:bidi="ar-SA"/>
        </w:rPr>
        <w:t>采用中央空调电取暖</w:t>
      </w:r>
      <w:r>
        <w:rPr>
          <w:rFonts w:hint="eastAsia" w:ascii="宋体" w:hAnsi="宋体" w:eastAsia="宋体" w:cs="Times New Roman"/>
          <w:color w:val="auto"/>
          <w:kern w:val="2"/>
          <w:sz w:val="24"/>
          <w:szCs w:val="21"/>
          <w:highlight w:val="none"/>
          <w:lang w:val="en-US" w:eastAsia="zh-CN" w:bidi="ar-SA"/>
        </w:rPr>
        <w:t>。</w:t>
      </w:r>
    </w:p>
    <w:p w14:paraId="22BA6156">
      <w:pPr>
        <w:pStyle w:val="2"/>
        <w:keepNext w:val="0"/>
        <w:keepLines w:val="0"/>
        <w:pageBreakBefore w:val="0"/>
        <w:widowControl w:val="0"/>
        <w:kinsoku/>
        <w:wordWrap/>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Times New Roman"/>
          <w:b/>
          <w:bCs/>
          <w:color w:val="auto"/>
          <w:kern w:val="2"/>
          <w:sz w:val="24"/>
          <w:szCs w:val="21"/>
          <w:highlight w:val="none"/>
          <w:lang w:val="en-US" w:eastAsia="zh-CN" w:bidi="ar-SA"/>
        </w:rPr>
      </w:pPr>
      <w:r>
        <w:rPr>
          <w:rFonts w:hint="eastAsia" w:ascii="宋体" w:hAnsi="宋体" w:eastAsia="宋体" w:cs="Times New Roman"/>
          <w:b/>
          <w:bCs/>
          <w:color w:val="auto"/>
          <w:kern w:val="2"/>
          <w:sz w:val="24"/>
          <w:szCs w:val="21"/>
          <w:highlight w:val="none"/>
          <w:lang w:val="en-US" w:eastAsia="zh-CN" w:bidi="ar-SA"/>
        </w:rPr>
        <w:t>（5）</w:t>
      </w:r>
      <w:r>
        <w:rPr>
          <w:rFonts w:hint="eastAsia" w:ascii="宋体" w:hAnsi="宋体" w:cs="Times New Roman"/>
          <w:b/>
          <w:bCs/>
          <w:color w:val="auto"/>
          <w:kern w:val="2"/>
          <w:sz w:val="24"/>
          <w:szCs w:val="21"/>
          <w:highlight w:val="none"/>
          <w:lang w:val="en-US" w:eastAsia="zh-CN" w:bidi="ar-SA"/>
        </w:rPr>
        <w:t>通风</w:t>
      </w:r>
      <w:r>
        <w:rPr>
          <w:rFonts w:hint="eastAsia" w:ascii="宋体" w:hAnsi="宋体" w:eastAsia="宋体" w:cs="Times New Roman"/>
          <w:b/>
          <w:bCs/>
          <w:color w:val="auto"/>
          <w:kern w:val="2"/>
          <w:sz w:val="24"/>
          <w:szCs w:val="21"/>
          <w:highlight w:val="none"/>
          <w:lang w:val="en-US" w:eastAsia="zh-CN" w:bidi="ar-SA"/>
        </w:rPr>
        <w:t>系统</w:t>
      </w:r>
    </w:p>
    <w:p w14:paraId="5F2EFDB6">
      <w:pPr>
        <w:pStyle w:val="2"/>
        <w:keepNext w:val="0"/>
        <w:keepLines w:val="0"/>
        <w:pageBreakBefore w:val="0"/>
        <w:widowControl w:val="0"/>
        <w:kinsoku/>
        <w:wordWrap/>
        <w:overflowPunct/>
        <w:topLinePunct w:val="0"/>
        <w:autoSpaceDE/>
        <w:autoSpaceDN/>
        <w:bidi w:val="0"/>
        <w:adjustRightInd w:val="0"/>
        <w:snapToGrid w:val="0"/>
        <w:spacing w:after="0" w:afterLines="0" w:line="360" w:lineRule="auto"/>
        <w:ind w:left="0" w:leftChars="0" w:right="0" w:rightChars="0" w:firstLine="480" w:firstLineChars="200"/>
        <w:jc w:val="both"/>
        <w:textAlignment w:val="auto"/>
        <w:outlineLvl w:val="9"/>
        <w:rPr>
          <w:rFonts w:hint="eastAsia" w:ascii="宋体" w:hAnsi="宋体" w:eastAsia="宋体" w:cs="Times New Roman"/>
          <w:color w:val="auto"/>
          <w:kern w:val="2"/>
          <w:sz w:val="24"/>
          <w:szCs w:val="21"/>
          <w:highlight w:val="none"/>
          <w:lang w:val="en-US" w:eastAsia="zh-CN" w:bidi="ar-SA"/>
        </w:rPr>
      </w:pPr>
      <w:r>
        <w:rPr>
          <w:rFonts w:hint="eastAsia" w:ascii="宋体" w:hAnsi="宋体" w:eastAsia="宋体" w:cs="Times New Roman"/>
          <w:color w:val="auto"/>
          <w:kern w:val="2"/>
          <w:sz w:val="24"/>
          <w:szCs w:val="21"/>
          <w:highlight w:val="none"/>
          <w:lang w:val="zh-CN" w:eastAsia="zh-CN" w:bidi="ar-SA"/>
        </w:rPr>
        <w:t>本工程采用中央空调制冷加新风系统，空调冷却机组设置在本溪大楼屋顶上。</w:t>
      </w:r>
    </w:p>
    <w:p w14:paraId="709F8EB8">
      <w:pPr>
        <w:pStyle w:val="2"/>
        <w:keepNext w:val="0"/>
        <w:keepLines w:val="0"/>
        <w:pageBreakBefore w:val="0"/>
        <w:widowControl w:val="0"/>
        <w:kinsoku/>
        <w:wordWrap/>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Times New Roman"/>
          <w:b/>
          <w:bCs/>
          <w:color w:val="auto"/>
          <w:kern w:val="2"/>
          <w:sz w:val="24"/>
          <w:szCs w:val="21"/>
          <w:highlight w:val="none"/>
          <w:lang w:val="en-US" w:eastAsia="zh-CN" w:bidi="ar-SA"/>
        </w:rPr>
      </w:pPr>
      <w:r>
        <w:rPr>
          <w:rFonts w:hint="eastAsia" w:ascii="宋体" w:hAnsi="宋体" w:eastAsia="宋体" w:cs="Times New Roman"/>
          <w:b/>
          <w:bCs/>
          <w:color w:val="auto"/>
          <w:kern w:val="2"/>
          <w:sz w:val="24"/>
          <w:szCs w:val="21"/>
          <w:highlight w:val="none"/>
          <w:lang w:val="en-US" w:eastAsia="zh-CN" w:bidi="ar-SA"/>
        </w:rPr>
        <w:t>（6）消防系统</w:t>
      </w:r>
    </w:p>
    <w:p w14:paraId="1568092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Times New Roman"/>
          <w:color w:val="auto"/>
          <w:kern w:val="2"/>
          <w:sz w:val="24"/>
          <w:szCs w:val="21"/>
          <w:highlight w:val="none"/>
          <w:lang w:val="en-US" w:eastAsia="zh-CN" w:bidi="ar-SA"/>
        </w:rPr>
      </w:pPr>
      <w:r>
        <w:rPr>
          <w:rFonts w:hint="eastAsia" w:ascii="宋体" w:hAnsi="宋体" w:cs="Times New Roman"/>
          <w:color w:val="auto"/>
          <w:kern w:val="2"/>
          <w:sz w:val="24"/>
          <w:szCs w:val="21"/>
          <w:highlight w:val="none"/>
          <w:lang w:val="en-US" w:eastAsia="zh-CN" w:bidi="ar-SA"/>
        </w:rPr>
        <w:t>本项目地势平坦，工程耐火等级为二级，依托现有欧的消防设施，只需在各楼层增加适量灭火器，无需新增其它消防设施设备，完全满足消防需求。</w:t>
      </w:r>
    </w:p>
    <w:p w14:paraId="4334FEE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color w:val="auto"/>
          <w:kern w:val="2"/>
          <w:sz w:val="24"/>
          <w:szCs w:val="21"/>
          <w:highlight w:val="none"/>
          <w:lang w:val="en-US" w:eastAsia="zh-CN" w:bidi="ar-SA"/>
        </w:rPr>
      </w:pPr>
      <w:r>
        <w:rPr>
          <w:rFonts w:hint="default" w:ascii="Times New Roman" w:hAnsi="Times New Roman" w:cs="Times New Roman"/>
          <w:b/>
          <w:bCs/>
          <w:color w:val="auto"/>
          <w:kern w:val="2"/>
          <w:sz w:val="24"/>
          <w:szCs w:val="21"/>
          <w:highlight w:val="none"/>
          <w:lang w:val="en-US" w:eastAsia="zh-CN" w:bidi="ar-SA"/>
        </w:rPr>
        <w:t>（7）</w:t>
      </w:r>
      <w:r>
        <w:rPr>
          <w:rFonts w:hint="default" w:ascii="Times New Roman" w:hAnsi="Times New Roman" w:eastAsia="宋体" w:cs="Times New Roman"/>
          <w:b/>
          <w:bCs/>
          <w:color w:val="auto"/>
          <w:kern w:val="2"/>
          <w:sz w:val="24"/>
          <w:szCs w:val="21"/>
          <w:highlight w:val="none"/>
          <w:lang w:val="en-US" w:eastAsia="zh-CN" w:bidi="ar-SA"/>
        </w:rPr>
        <w:t>供氧</w:t>
      </w:r>
    </w:p>
    <w:p w14:paraId="26CFFB79">
      <w:pPr>
        <w:pStyle w:val="2"/>
        <w:keepNext w:val="0"/>
        <w:keepLines w:val="0"/>
        <w:pageBreakBefore w:val="0"/>
        <w:widowControl w:val="0"/>
        <w:kinsoku/>
        <w:wordWrap/>
        <w:overflowPunct/>
        <w:topLinePunct w:val="0"/>
        <w:autoSpaceDE/>
        <w:autoSpaceDN/>
        <w:bidi w:val="0"/>
        <w:adjustRightInd w:val="0"/>
        <w:snapToGrid w:val="0"/>
        <w:spacing w:after="0" w:afterLines="0" w:line="360" w:lineRule="auto"/>
        <w:ind w:left="0" w:leftChars="0" w:right="0" w:rightChars="0" w:firstLine="480" w:firstLineChars="200"/>
        <w:jc w:val="both"/>
        <w:textAlignment w:val="auto"/>
        <w:outlineLvl w:val="9"/>
        <w:rPr>
          <w:rFonts w:hint="eastAsia"/>
          <w:color w:val="auto"/>
          <w:sz w:val="24"/>
          <w:szCs w:val="24"/>
          <w:highlight w:val="none"/>
          <w:lang w:eastAsia="zh-CN"/>
        </w:rPr>
      </w:pPr>
      <w:r>
        <w:rPr>
          <w:rFonts w:hint="eastAsia"/>
          <w:color w:val="auto"/>
          <w:sz w:val="24"/>
          <w:szCs w:val="24"/>
          <w:highlight w:val="none"/>
          <w:lang w:eastAsia="zh-CN"/>
        </w:rPr>
        <w:t>本项目不设置制氧站，氧气外购。</w:t>
      </w:r>
    </w:p>
    <w:p w14:paraId="0E1B45B4">
      <w:pPr>
        <w:pStyle w:val="2"/>
        <w:keepNext w:val="0"/>
        <w:keepLines w:val="0"/>
        <w:pageBreakBefore w:val="0"/>
        <w:widowControl w:val="0"/>
        <w:kinsoku/>
        <w:wordWrap/>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eastAsia="宋体"/>
          <w:b/>
          <w:bCs/>
          <w:color w:val="auto"/>
          <w:highlight w:val="none"/>
          <w:lang w:eastAsia="zh-CN"/>
        </w:rPr>
      </w:pP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8</w:t>
      </w:r>
      <w:r>
        <w:rPr>
          <w:rFonts w:hint="eastAsia" w:ascii="宋体" w:hAnsi="宋体"/>
          <w:b/>
          <w:bCs/>
          <w:color w:val="auto"/>
          <w:sz w:val="24"/>
          <w:highlight w:val="none"/>
          <w:lang w:eastAsia="zh-CN"/>
        </w:rPr>
        <w:t>）消毒</w:t>
      </w:r>
    </w:p>
    <w:p w14:paraId="1C987FF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jc w:val="both"/>
        <w:textAlignment w:val="auto"/>
        <w:outlineLvl w:val="9"/>
        <w:rPr>
          <w:rFonts w:hint="eastAsia" w:ascii="宋体" w:hAnsi="宋体" w:cs="Times New Roman"/>
          <w:color w:val="auto"/>
          <w:kern w:val="2"/>
          <w:sz w:val="24"/>
          <w:szCs w:val="21"/>
          <w:highlight w:val="none"/>
          <w:lang w:val="en-US" w:eastAsia="zh-CN" w:bidi="ar-SA"/>
        </w:rPr>
      </w:pPr>
      <w:r>
        <w:rPr>
          <w:rFonts w:hint="eastAsia" w:ascii="宋体" w:hAnsi="宋体" w:eastAsia="宋体" w:cs="Times New Roman"/>
          <w:color w:val="auto"/>
          <w:kern w:val="2"/>
          <w:sz w:val="24"/>
          <w:szCs w:val="21"/>
          <w:highlight w:val="none"/>
          <w:lang w:val="en-US" w:eastAsia="zh-CN" w:bidi="ar-SA"/>
        </w:rPr>
        <w:t>本项目消毒方式为压力蒸汽灭菌消毒及紫外线消毒相结合的方式</w:t>
      </w:r>
      <w:r>
        <w:rPr>
          <w:rFonts w:hint="eastAsia" w:ascii="宋体" w:hAnsi="宋体" w:cs="Times New Roman"/>
          <w:color w:val="auto"/>
          <w:kern w:val="2"/>
          <w:sz w:val="24"/>
          <w:szCs w:val="21"/>
          <w:highlight w:val="none"/>
          <w:lang w:val="en-US" w:eastAsia="zh-CN" w:bidi="ar-SA"/>
        </w:rPr>
        <w:t>。</w:t>
      </w:r>
    </w:p>
    <w:p w14:paraId="4EE38C65">
      <w:pPr>
        <w:pStyle w:val="2"/>
        <w:keepNext w:val="0"/>
        <w:keepLines w:val="0"/>
        <w:pageBreakBefore w:val="0"/>
        <w:widowControl w:val="0"/>
        <w:kinsoku/>
        <w:wordWrap/>
        <w:overflowPunct/>
        <w:topLinePunct w:val="0"/>
        <w:autoSpaceDE/>
        <w:autoSpaceDN/>
        <w:bidi w:val="0"/>
        <w:adjustRightInd w:val="0"/>
        <w:snapToGrid w:val="0"/>
        <w:spacing w:after="0" w:afterLines="0" w:line="360" w:lineRule="auto"/>
        <w:ind w:left="0" w:leftChars="0" w:firstLine="0" w:firstLineChars="0"/>
        <w:textAlignment w:val="auto"/>
        <w:rPr>
          <w:rFonts w:hint="eastAsia" w:ascii="Times New Roman" w:hAnsi="Times New Roman" w:eastAsia="宋体" w:cs="Times New Roman"/>
          <w:b/>
          <w:bCs/>
          <w:color w:val="auto"/>
          <w:kern w:val="2"/>
          <w:sz w:val="28"/>
          <w:szCs w:val="28"/>
          <w:highlight w:val="none"/>
          <w:lang w:val="en-US" w:eastAsia="zh-CN" w:bidi="ar-SA"/>
        </w:rPr>
      </w:pPr>
      <w:r>
        <w:rPr>
          <w:rFonts w:hint="eastAsia" w:ascii="Times New Roman" w:hAnsi="Times New Roman" w:eastAsia="宋体" w:cs="Times New Roman"/>
          <w:b/>
          <w:bCs/>
          <w:color w:val="auto"/>
          <w:kern w:val="2"/>
          <w:sz w:val="28"/>
          <w:szCs w:val="28"/>
          <w:highlight w:val="none"/>
          <w:lang w:val="en-US" w:eastAsia="zh-CN" w:bidi="ar-SA"/>
        </w:rPr>
        <w:t>8.平面布置</w:t>
      </w:r>
    </w:p>
    <w:p w14:paraId="0AFDA8E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项目位置位于</w:t>
      </w:r>
      <w:r>
        <w:rPr>
          <w:rFonts w:hint="eastAsia" w:cs="Times New Roman"/>
          <w:color w:val="auto"/>
          <w:kern w:val="2"/>
          <w:sz w:val="24"/>
          <w:szCs w:val="24"/>
          <w:highlight w:val="none"/>
          <w:lang w:val="en-US" w:eastAsia="zh-CN" w:bidi="ar-SA"/>
        </w:rPr>
        <w:t>本溪市溪湖区溪湖东路1栋1号</w:t>
      </w:r>
      <w:r>
        <w:rPr>
          <w:rFonts w:hint="eastAsia" w:ascii="Times New Roman" w:hAnsi="Times New Roman" w:eastAsia="宋体" w:cs="Times New Roman"/>
          <w:color w:val="auto"/>
          <w:kern w:val="2"/>
          <w:sz w:val="24"/>
          <w:szCs w:val="24"/>
          <w:highlight w:val="none"/>
          <w:lang w:val="en-US" w:eastAsia="zh-CN" w:bidi="ar-SA"/>
        </w:rPr>
        <w:t>，依托现有本溪大楼建设中医医院，共计3层（大楼的3-5层），</w:t>
      </w:r>
      <w:r>
        <w:rPr>
          <w:rFonts w:hint="eastAsia" w:cs="Times New Roman"/>
          <w:color w:val="auto"/>
          <w:kern w:val="2"/>
          <w:sz w:val="24"/>
          <w:szCs w:val="24"/>
          <w:highlight w:val="none"/>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层为药浴室、熏蒸室，</w:t>
      </w:r>
      <w:r>
        <w:rPr>
          <w:rFonts w:hint="eastAsia" w:cs="Times New Roman"/>
          <w:color w:val="auto"/>
          <w:kern w:val="2"/>
          <w:sz w:val="24"/>
          <w:szCs w:val="24"/>
          <w:highlight w:val="none"/>
          <w:lang w:val="en-US" w:eastAsia="zh-CN" w:bidi="ar-SA"/>
        </w:rPr>
        <w:t>4</w:t>
      </w:r>
      <w:r>
        <w:rPr>
          <w:rFonts w:hint="eastAsia" w:ascii="Times New Roman" w:hAnsi="Times New Roman" w:eastAsia="宋体" w:cs="Times New Roman"/>
          <w:color w:val="auto"/>
          <w:kern w:val="2"/>
          <w:sz w:val="24"/>
          <w:szCs w:val="24"/>
          <w:highlight w:val="none"/>
          <w:lang w:val="en-US" w:eastAsia="zh-CN" w:bidi="ar-SA"/>
        </w:rPr>
        <w:t>层为理疗室、处置室、观察室、诊室，</w:t>
      </w:r>
      <w:r>
        <w:rPr>
          <w:rFonts w:hint="eastAsia" w:cs="Times New Roman"/>
          <w:color w:val="auto"/>
          <w:kern w:val="2"/>
          <w:sz w:val="24"/>
          <w:szCs w:val="24"/>
          <w:highlight w:val="none"/>
          <w:lang w:val="en-US" w:eastAsia="zh-CN" w:bidi="ar-SA"/>
        </w:rPr>
        <w:t>5</w:t>
      </w:r>
      <w:r>
        <w:rPr>
          <w:rFonts w:hint="eastAsia" w:ascii="Times New Roman" w:hAnsi="Times New Roman" w:eastAsia="宋体" w:cs="Times New Roman"/>
          <w:color w:val="auto"/>
          <w:kern w:val="2"/>
          <w:sz w:val="24"/>
          <w:szCs w:val="24"/>
          <w:highlight w:val="none"/>
          <w:lang w:val="en-US" w:eastAsia="zh-CN" w:bidi="ar-SA"/>
        </w:rPr>
        <w:t>层为煎药室、病房。科室设置及医疗设备依据诊疗流程排布，平面布置合理，立面设计采用了传统墙与窗的构造方式。室内设计遵循现代医疗的循证设计原理，提供充分的自然采光，将室外的景致引入室内，消除病人及家属的就医焦虑，具体平面布置图、周边关系见附图。</w:t>
      </w:r>
    </w:p>
    <w:p w14:paraId="6A7E3AD9">
      <w:pPr>
        <w:rPr>
          <w:rFonts w:hint="eastAsia"/>
          <w:color w:val="auto"/>
          <w:highlight w:val="none"/>
          <w:lang w:val="en-US" w:eastAsia="zh-CN"/>
        </w:rPr>
      </w:pPr>
    </w:p>
    <w:p w14:paraId="3DC96FB3">
      <w:pPr>
        <w:pStyle w:val="2"/>
        <w:rPr>
          <w:rFonts w:hint="eastAsia"/>
          <w:color w:val="auto"/>
          <w:highlight w:val="none"/>
          <w:lang w:val="en-US" w:eastAsia="zh-CN"/>
        </w:rPr>
      </w:pPr>
    </w:p>
    <w:p w14:paraId="1453FE8C">
      <w:pPr>
        <w:rPr>
          <w:rFonts w:hint="eastAsia"/>
          <w:color w:val="auto"/>
          <w:highlight w:val="none"/>
          <w:lang w:val="en-US" w:eastAsia="zh-CN"/>
        </w:rPr>
      </w:pPr>
    </w:p>
    <w:p w14:paraId="0C937E35">
      <w:pPr>
        <w:pStyle w:val="2"/>
        <w:rPr>
          <w:rFonts w:hint="eastAsia"/>
          <w:color w:val="auto"/>
          <w:highlight w:val="none"/>
          <w:lang w:val="en-US" w:eastAsia="zh-CN"/>
        </w:rPr>
      </w:pPr>
    </w:p>
    <w:p w14:paraId="36AE49F9">
      <w:pPr>
        <w:rPr>
          <w:rFonts w:hint="eastAsia"/>
          <w:color w:val="auto"/>
          <w:highlight w:val="none"/>
          <w:lang w:val="en-US" w:eastAsia="zh-CN"/>
        </w:rPr>
      </w:pPr>
    </w:p>
    <w:p w14:paraId="6A62EFD9">
      <w:pPr>
        <w:pStyle w:val="2"/>
        <w:rPr>
          <w:rFonts w:hint="eastAsia"/>
          <w:color w:val="auto"/>
          <w:highlight w:val="none"/>
          <w:lang w:val="en-US" w:eastAsia="zh-CN"/>
        </w:rPr>
      </w:pPr>
    </w:p>
    <w:p w14:paraId="4E7F6391">
      <w:pPr>
        <w:rPr>
          <w:rFonts w:hint="eastAsia"/>
          <w:color w:val="auto"/>
          <w:highlight w:val="none"/>
          <w:lang w:val="en-US" w:eastAsia="zh-CN"/>
        </w:rPr>
      </w:pPr>
    </w:p>
    <w:p w14:paraId="41A14B11">
      <w:pPr>
        <w:pStyle w:val="2"/>
        <w:rPr>
          <w:rFonts w:hint="eastAsia"/>
          <w:color w:val="auto"/>
          <w:highlight w:val="none"/>
          <w:lang w:val="en-US" w:eastAsia="zh-CN"/>
        </w:rPr>
      </w:pPr>
    </w:p>
    <w:p w14:paraId="24637B30">
      <w:pPr>
        <w:rPr>
          <w:rFonts w:hint="eastAsia"/>
          <w:color w:val="auto"/>
          <w:highlight w:val="none"/>
          <w:lang w:val="en-US" w:eastAsia="zh-CN"/>
        </w:rPr>
      </w:pPr>
    </w:p>
    <w:p w14:paraId="46267151">
      <w:pPr>
        <w:pStyle w:val="2"/>
        <w:rPr>
          <w:rFonts w:hint="eastAsia"/>
          <w:color w:val="auto"/>
          <w:highlight w:val="none"/>
          <w:lang w:val="en-US" w:eastAsia="zh-CN"/>
        </w:rPr>
      </w:pPr>
    </w:p>
    <w:p w14:paraId="12C38AD2">
      <w:pPr>
        <w:rPr>
          <w:rFonts w:hint="eastAsia"/>
          <w:color w:val="auto"/>
          <w:highlight w:val="none"/>
          <w:lang w:val="en-US" w:eastAsia="zh-CN"/>
        </w:rPr>
      </w:pPr>
    </w:p>
    <w:p w14:paraId="70317B85">
      <w:pPr>
        <w:pStyle w:val="2"/>
        <w:rPr>
          <w:rFonts w:hint="eastAsia"/>
          <w:color w:val="auto"/>
          <w:highlight w:val="none"/>
          <w:lang w:val="en-US" w:eastAsia="zh-CN"/>
        </w:rPr>
      </w:pPr>
    </w:p>
    <w:p w14:paraId="0FA2B260">
      <w:pPr>
        <w:rPr>
          <w:rFonts w:hint="eastAsia"/>
          <w:color w:val="auto"/>
          <w:highlight w:val="none"/>
          <w:lang w:val="en-US" w:eastAsia="zh-CN"/>
        </w:rPr>
      </w:pPr>
    </w:p>
    <w:p w14:paraId="6F084745">
      <w:pPr>
        <w:pStyle w:val="2"/>
        <w:rPr>
          <w:rFonts w:hint="eastAsia"/>
          <w:color w:val="auto"/>
          <w:highlight w:val="none"/>
          <w:lang w:val="en-US" w:eastAsia="zh-CN"/>
        </w:rPr>
      </w:pPr>
    </w:p>
    <w:p w14:paraId="1942869B">
      <w:pPr>
        <w:rPr>
          <w:rFonts w:hint="eastAsia"/>
          <w:color w:val="auto"/>
          <w:highlight w:val="none"/>
          <w:lang w:val="en-US" w:eastAsia="zh-CN"/>
        </w:rPr>
      </w:pPr>
    </w:p>
    <w:p w14:paraId="34C4BCD9">
      <w:pPr>
        <w:pStyle w:val="2"/>
        <w:rPr>
          <w:rFonts w:hint="eastAsia"/>
          <w:color w:val="auto"/>
          <w:highlight w:val="none"/>
          <w:lang w:val="en-US" w:eastAsia="zh-CN"/>
        </w:rPr>
      </w:pPr>
    </w:p>
    <w:p w14:paraId="732F21B0">
      <w:pPr>
        <w:rPr>
          <w:rFonts w:hint="eastAsia"/>
          <w:color w:val="auto"/>
          <w:highlight w:val="none"/>
          <w:lang w:val="en-US" w:eastAsia="zh-CN"/>
        </w:rPr>
      </w:pPr>
    </w:p>
    <w:p w14:paraId="059F5476">
      <w:pPr>
        <w:pStyle w:val="2"/>
        <w:rPr>
          <w:rFonts w:hint="eastAsia"/>
          <w:color w:val="auto"/>
          <w:highlight w:val="none"/>
          <w:lang w:val="en-US" w:eastAsia="zh-CN"/>
        </w:rPr>
      </w:pPr>
    </w:p>
    <w:p w14:paraId="28E6AE84">
      <w:pPr>
        <w:rPr>
          <w:rFonts w:hint="eastAsia"/>
          <w:color w:val="auto"/>
          <w:highlight w:val="none"/>
          <w:lang w:val="en-US" w:eastAsia="zh-CN"/>
        </w:rPr>
      </w:pPr>
    </w:p>
    <w:p w14:paraId="0F12E337">
      <w:pPr>
        <w:pStyle w:val="2"/>
        <w:rPr>
          <w:rFonts w:hint="eastAsia"/>
          <w:color w:val="auto"/>
          <w:highlight w:val="none"/>
          <w:lang w:val="en-US" w:eastAsia="zh-CN"/>
        </w:rPr>
      </w:pPr>
    </w:p>
    <w:p w14:paraId="49ED7161">
      <w:pPr>
        <w:rPr>
          <w:rFonts w:hint="eastAsia"/>
          <w:color w:val="auto"/>
          <w:highlight w:val="none"/>
          <w:lang w:val="en-US" w:eastAsia="zh-CN"/>
        </w:rPr>
      </w:pPr>
    </w:p>
    <w:p w14:paraId="6759D2D6">
      <w:pPr>
        <w:pStyle w:val="2"/>
        <w:rPr>
          <w:rFonts w:hint="eastAsia"/>
          <w:color w:val="auto"/>
          <w:highlight w:val="none"/>
          <w:lang w:val="en-US" w:eastAsia="zh-CN"/>
        </w:rPr>
      </w:pPr>
    </w:p>
    <w:p w14:paraId="11C44EDA">
      <w:pPr>
        <w:rPr>
          <w:rFonts w:hint="eastAsia"/>
          <w:color w:val="auto"/>
          <w:highlight w:val="none"/>
          <w:lang w:val="en-US" w:eastAsia="zh-CN"/>
        </w:rPr>
      </w:pPr>
    </w:p>
    <w:p w14:paraId="7E65FAC2">
      <w:pPr>
        <w:pStyle w:val="2"/>
        <w:rPr>
          <w:rFonts w:hint="eastAsia"/>
          <w:lang w:val="en-US" w:eastAsia="zh-CN"/>
        </w:rPr>
      </w:pPr>
    </w:p>
    <w:p w14:paraId="70056748">
      <w:pPr>
        <w:keepNext w:val="0"/>
        <w:keepLines w:val="0"/>
        <w:pageBreakBefore w:val="0"/>
        <w:widowControl w:val="0"/>
        <w:kinsoku/>
        <w:wordWrap/>
        <w:overflowPunct/>
        <w:topLinePunct w:val="0"/>
        <w:autoSpaceDE/>
        <w:autoSpaceDN/>
        <w:bidi w:val="0"/>
        <w:adjustRightInd w:val="0"/>
        <w:snapToGrid w:val="0"/>
        <w:spacing w:line="360" w:lineRule="auto"/>
        <w:ind w:left="0" w:hanging="470" w:hangingChars="195"/>
        <w:jc w:val="left"/>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 xml:space="preserve">与本项目有关的原有污染情况及主要环境问题                                  </w:t>
      </w:r>
    </w:p>
    <w:p w14:paraId="6560060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baseline"/>
        <w:outlineLvl w:val="9"/>
        <w:rPr>
          <w:rFonts w:hint="eastAsia"/>
          <w:color w:val="auto"/>
          <w:sz w:val="24"/>
          <w:szCs w:val="24"/>
          <w:highlight w:val="none"/>
          <w:lang w:val="en-US"/>
        </w:rPr>
      </w:pPr>
      <w:r>
        <w:rPr>
          <w:rFonts w:hint="eastAsia"/>
          <w:color w:val="auto"/>
          <w:sz w:val="24"/>
          <w:szCs w:val="24"/>
          <w:highlight w:val="none"/>
        </w:rPr>
        <w:t>本项目拟选址</w:t>
      </w:r>
      <w:r>
        <w:rPr>
          <w:rFonts w:hint="eastAsia" w:cs="Times New Roman"/>
          <w:color w:val="auto"/>
          <w:kern w:val="2"/>
          <w:sz w:val="24"/>
          <w:szCs w:val="24"/>
          <w:highlight w:val="none"/>
          <w:lang w:val="en-US" w:eastAsia="zh-CN" w:bidi="ar-SA"/>
        </w:rPr>
        <w:t>本溪市溪湖区溪湖东路1栋1号，依托现有本溪大楼3-5进行建设，本溪大楼建成后一直处于闲置状态，</w:t>
      </w:r>
      <w:r>
        <w:rPr>
          <w:rFonts w:hint="default" w:ascii="Times New Roman" w:hAnsi="Times New Roman" w:cs="Times New Roman"/>
          <w:color w:val="auto"/>
          <w:sz w:val="24"/>
          <w:szCs w:val="24"/>
          <w:highlight w:val="none"/>
        </w:rPr>
        <w:t>因此无原有污染问题。</w:t>
      </w:r>
    </w:p>
    <w:p w14:paraId="3655A0CF">
      <w:pPr>
        <w:jc w:val="center"/>
        <w:rPr>
          <w:rFonts w:hint="eastAsia"/>
          <w:color w:val="auto"/>
          <w:highlight w:val="none"/>
        </w:rPr>
      </w:pPr>
      <w:r>
        <w:rPr>
          <w:color w:val="auto"/>
          <w:highlight w:val="none"/>
        </w:rPr>
        <w:drawing>
          <wp:inline distT="0" distB="0" distL="114300" distR="114300">
            <wp:extent cx="3615055" cy="4272280"/>
            <wp:effectExtent l="0" t="0" r="4445" b="13970"/>
            <wp:docPr id="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
                    <pic:cNvPicPr>
                      <a:picLocks noChangeAspect="1"/>
                    </pic:cNvPicPr>
                  </pic:nvPicPr>
                  <pic:blipFill>
                    <a:blip r:embed="rId11"/>
                    <a:stretch>
                      <a:fillRect/>
                    </a:stretch>
                  </pic:blipFill>
                  <pic:spPr>
                    <a:xfrm>
                      <a:off x="0" y="0"/>
                      <a:ext cx="3615055" cy="4272280"/>
                    </a:xfrm>
                    <a:prstGeom prst="rect">
                      <a:avLst/>
                    </a:prstGeom>
                    <a:noFill/>
                    <a:ln w="9525">
                      <a:noFill/>
                    </a:ln>
                  </pic:spPr>
                </pic:pic>
              </a:graphicData>
            </a:graphic>
          </wp:inline>
        </w:drawing>
      </w:r>
    </w:p>
    <w:p w14:paraId="3D968380">
      <w:pPr>
        <w:pStyle w:val="2"/>
        <w:jc w:val="center"/>
        <w:rPr>
          <w:rFonts w:hint="eastAsia" w:eastAsia="宋体"/>
          <w:b/>
          <w:bCs/>
          <w:color w:val="auto"/>
          <w:sz w:val="21"/>
          <w:szCs w:val="21"/>
          <w:highlight w:val="none"/>
          <w:lang w:val="en-US" w:eastAsia="zh-CN"/>
        </w:rPr>
        <w:sectPr>
          <w:footerReference r:id="rId4" w:type="default"/>
          <w:pgSz w:w="11906" w:h="16838"/>
          <w:pgMar w:top="1418" w:right="1418" w:bottom="1559" w:left="1418" w:header="907" w:footer="907" w:gutter="0"/>
          <w:pgBorders w:display="notFirstPage">
            <w:top w:val="single" w:color="auto" w:sz="4" w:space="4"/>
            <w:left w:val="single" w:color="auto" w:sz="4" w:space="10"/>
            <w:bottom w:val="single" w:color="auto" w:sz="4" w:space="4"/>
            <w:right w:val="single" w:color="auto" w:sz="4" w:space="10"/>
          </w:pgBorders>
          <w:pgNumType w:fmt="decimal" w:start="1"/>
          <w:cols w:space="720" w:num="1"/>
          <w:docGrid w:type="lines" w:linePitch="312" w:charSpace="0"/>
        </w:sectPr>
      </w:pPr>
      <w:r>
        <w:rPr>
          <w:rFonts w:hint="eastAsia"/>
          <w:b/>
          <w:bCs/>
          <w:color w:val="auto"/>
          <w:sz w:val="21"/>
          <w:szCs w:val="21"/>
          <w:highlight w:val="none"/>
          <w:lang w:eastAsia="zh-CN"/>
        </w:rPr>
        <w:t>图</w:t>
      </w:r>
      <w:r>
        <w:rPr>
          <w:rFonts w:hint="eastAsia"/>
          <w:b/>
          <w:bCs/>
          <w:color w:val="auto"/>
          <w:sz w:val="21"/>
          <w:szCs w:val="21"/>
          <w:highlight w:val="none"/>
          <w:lang w:val="en-US" w:eastAsia="zh-CN"/>
        </w:rPr>
        <w:t>1场址现状图</w:t>
      </w:r>
    </w:p>
    <w:p w14:paraId="1BF481CB">
      <w:pPr>
        <w:pStyle w:val="3"/>
        <w:numPr>
          <w:ilvl w:val="0"/>
          <w:numId w:val="0"/>
        </w:numPr>
        <w:spacing w:beforeLines="50" w:after="0" w:line="480" w:lineRule="exact"/>
        <w:rPr>
          <w:rFonts w:hint="default" w:ascii="Times New Roman" w:hAnsi="Times New Roman" w:eastAsia="黑体" w:cs="Times New Roman"/>
          <w:color w:val="auto"/>
          <w:sz w:val="30"/>
          <w:szCs w:val="30"/>
          <w:highlight w:val="none"/>
        </w:rPr>
      </w:pPr>
      <w:bookmarkStart w:id="3" w:name="_Toc119763442"/>
      <w:r>
        <w:rPr>
          <w:rFonts w:hint="default" w:ascii="Times New Roman" w:hAnsi="Times New Roman" w:cs="Times New Roman"/>
          <w:color w:val="auto"/>
          <w:sz w:val="30"/>
          <w:szCs w:val="30"/>
          <w:highlight w:val="none"/>
        </w:rPr>
        <mc:AlternateContent>
          <mc:Choice Requires="wps">
            <w:drawing>
              <wp:anchor distT="0" distB="0" distL="114300" distR="114300" simplePos="0" relativeHeight="251684864" behindDoc="1" locked="0" layoutInCell="1" allowOverlap="1">
                <wp:simplePos x="0" y="0"/>
                <wp:positionH relativeFrom="column">
                  <wp:posOffset>-134620</wp:posOffset>
                </wp:positionH>
                <wp:positionV relativeFrom="paragraph">
                  <wp:posOffset>313055</wp:posOffset>
                </wp:positionV>
                <wp:extent cx="6042660" cy="8542655"/>
                <wp:effectExtent l="4445" t="4445" r="10795" b="6350"/>
                <wp:wrapNone/>
                <wp:docPr id="6" name="矩形 6"/>
                <wp:cNvGraphicFramePr/>
                <a:graphic xmlns:a="http://schemas.openxmlformats.org/drawingml/2006/main">
                  <a:graphicData uri="http://schemas.microsoft.com/office/word/2010/wordprocessingShape">
                    <wps:wsp>
                      <wps:cNvSpPr/>
                      <wps:spPr>
                        <a:xfrm>
                          <a:off x="0" y="0"/>
                          <a:ext cx="6042660" cy="8542655"/>
                        </a:xfrm>
                        <a:prstGeom prst="rect">
                          <a:avLst/>
                        </a:prstGeom>
                        <a:noFill/>
                        <a:ln w="9525" cap="flat" cmpd="sng">
                          <a:solidFill>
                            <a:srgbClr val="000000"/>
                          </a:solidFill>
                          <a:prstDash val="solid"/>
                          <a:miter/>
                          <a:headEnd type="none" w="med" len="med"/>
                          <a:tailEnd type="none" w="med" len="med"/>
                        </a:ln>
                      </wps:spPr>
                      <wps:txbx>
                        <w:txbxContent>
                          <w:p w14:paraId="045C5ED5">
                            <w:pPr>
                              <w:jc w:val="center"/>
                            </w:pPr>
                          </w:p>
                        </w:txbxContent>
                      </wps:txbx>
                      <wps:bodyPr upright="1"/>
                    </wps:wsp>
                  </a:graphicData>
                </a:graphic>
              </wp:anchor>
            </w:drawing>
          </mc:Choice>
          <mc:Fallback>
            <w:pict>
              <v:rect id="_x0000_s1026" o:spid="_x0000_s1026" o:spt="1" style="position:absolute;left:0pt;margin-left:-10.6pt;margin-top:24.65pt;height:672.65pt;width:475.8pt;z-index:-251631616;mso-width-relative:page;mso-height-relative:page;" filled="f" stroked="t" coordsize="21600,21600" o:gfxdata="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NBbnQ2QAAAAsBAAAPAAAAAAAAAAEAIAAAACIAAABkcnMvZG93bnJl&#10;di54bWxQSwECFAAUAAAACACHTuJALz+0KfwBAAABBAAADgAAAAAAAAABACAAAAAoAQAAZHJzL2Uy&#10;b0RvYy54bWxQSwUGAAAAAAYABgBZAQAAlgUAAAAA&#10;">
                <v:fill on="f" focussize="0,0"/>
                <v:stroke color="#000000" joinstyle="miter"/>
                <v:imagedata o:title=""/>
                <o:lock v:ext="edit" aspectratio="f"/>
                <v:textbox>
                  <w:txbxContent>
                    <w:p w14:paraId="045C5ED5">
                      <w:pPr>
                        <w:jc w:val="center"/>
                      </w:pPr>
                    </w:p>
                  </w:txbxContent>
                </v:textbox>
              </v:rect>
            </w:pict>
          </mc:Fallback>
        </mc:AlternateContent>
      </w:r>
      <w:bookmarkEnd w:id="3"/>
      <w:r>
        <w:rPr>
          <w:rFonts w:hint="default" w:ascii="Times New Roman" w:hAnsi="Times New Roman" w:eastAsia="黑体" w:cs="Times New Roman"/>
          <w:color w:val="auto"/>
          <w:sz w:val="30"/>
          <w:szCs w:val="30"/>
          <w:highlight w:val="none"/>
        </w:rPr>
        <w:t>建设项目所在地自然环境社会环境简况</w:t>
      </w:r>
    </w:p>
    <w:p w14:paraId="3B9DFCD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both"/>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自然环境简况（地形、地貌、地质、气候、气象、水文、植被、生物多样性等）</w:t>
      </w:r>
    </w:p>
    <w:p w14:paraId="684E5C7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both"/>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1地理位置</w:t>
      </w:r>
    </w:p>
    <w:p w14:paraId="6253DE9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hAnsi="宋体"/>
          <w:color w:val="auto"/>
          <w:sz w:val="24"/>
          <w:highlight w:val="none"/>
        </w:rPr>
      </w:pPr>
      <w:r>
        <w:rPr>
          <w:rFonts w:hint="eastAsia" w:hAnsi="宋体"/>
          <w:color w:val="auto"/>
          <w:sz w:val="24"/>
          <w:highlight w:val="none"/>
        </w:rPr>
        <w:t>本溪位于辽宁省东南部（东经123°34’～125°46’，北纬40°49’～41°35’），全境总面积8411.3平方公里。北与</w:t>
      </w:r>
      <w:r>
        <w:rPr>
          <w:rFonts w:hint="eastAsia" w:hAnsi="宋体"/>
          <w:color w:val="auto"/>
          <w:sz w:val="24"/>
          <w:highlight w:val="none"/>
        </w:rPr>
        <w:fldChar w:fldCharType="begin"/>
      </w:r>
      <w:r>
        <w:rPr>
          <w:rFonts w:hint="eastAsia" w:hAnsi="宋体"/>
          <w:color w:val="auto"/>
          <w:sz w:val="24"/>
          <w:highlight w:val="none"/>
        </w:rPr>
        <w:instrText xml:space="preserve"> HYPERLINK "http://baike.baidu.com/view/2354.htm" \t "http://baike.baidu.com/item/%E6%9C%AC%E6%BA%AA/_blank" </w:instrText>
      </w:r>
      <w:r>
        <w:rPr>
          <w:rFonts w:hint="eastAsia" w:hAnsi="宋体"/>
          <w:color w:val="auto"/>
          <w:sz w:val="24"/>
          <w:highlight w:val="none"/>
        </w:rPr>
        <w:fldChar w:fldCharType="separate"/>
      </w:r>
      <w:r>
        <w:rPr>
          <w:rFonts w:hint="eastAsia" w:hAnsi="宋体"/>
          <w:color w:val="auto"/>
          <w:sz w:val="24"/>
          <w:highlight w:val="none"/>
        </w:rPr>
        <w:t>沈阳市</w:t>
      </w:r>
      <w:r>
        <w:rPr>
          <w:rFonts w:hint="eastAsia" w:hAnsi="宋体"/>
          <w:color w:val="auto"/>
          <w:sz w:val="24"/>
          <w:highlight w:val="none"/>
        </w:rPr>
        <w:fldChar w:fldCharType="end"/>
      </w:r>
      <w:r>
        <w:rPr>
          <w:rFonts w:hint="eastAsia" w:hAnsi="宋体"/>
          <w:color w:val="auto"/>
          <w:sz w:val="24"/>
          <w:highlight w:val="none"/>
        </w:rPr>
        <w:t>、</w:t>
      </w:r>
      <w:r>
        <w:rPr>
          <w:rFonts w:hint="eastAsia" w:hAnsi="宋体"/>
          <w:color w:val="auto"/>
          <w:sz w:val="24"/>
          <w:highlight w:val="none"/>
        </w:rPr>
        <w:fldChar w:fldCharType="begin"/>
      </w:r>
      <w:r>
        <w:rPr>
          <w:rFonts w:hint="eastAsia" w:hAnsi="宋体"/>
          <w:color w:val="auto"/>
          <w:sz w:val="24"/>
          <w:highlight w:val="none"/>
        </w:rPr>
        <w:instrText xml:space="preserve"> HYPERLINK "http://baike.baidu.com/view/12117270.htm" \t "http://baike.baidu.com/item/%E6%9C%AC%E6%BA%AA/_blank" </w:instrText>
      </w:r>
      <w:r>
        <w:rPr>
          <w:rFonts w:hint="eastAsia" w:hAnsi="宋体"/>
          <w:color w:val="auto"/>
          <w:sz w:val="24"/>
          <w:highlight w:val="none"/>
        </w:rPr>
        <w:fldChar w:fldCharType="separate"/>
      </w:r>
      <w:r>
        <w:rPr>
          <w:rFonts w:hint="eastAsia" w:hAnsi="宋体"/>
          <w:color w:val="auto"/>
          <w:sz w:val="24"/>
          <w:highlight w:val="none"/>
        </w:rPr>
        <w:t>抚顺市</w:t>
      </w:r>
      <w:r>
        <w:rPr>
          <w:rFonts w:hint="eastAsia" w:hAnsi="宋体"/>
          <w:color w:val="auto"/>
          <w:sz w:val="24"/>
          <w:highlight w:val="none"/>
        </w:rPr>
        <w:fldChar w:fldCharType="end"/>
      </w:r>
      <w:r>
        <w:rPr>
          <w:rFonts w:hint="eastAsia" w:hAnsi="宋体"/>
          <w:color w:val="auto"/>
          <w:sz w:val="24"/>
          <w:highlight w:val="none"/>
        </w:rPr>
        <w:t>相连，西与</w:t>
      </w:r>
      <w:r>
        <w:rPr>
          <w:rFonts w:hint="eastAsia" w:hAnsi="宋体"/>
          <w:color w:val="auto"/>
          <w:sz w:val="24"/>
          <w:highlight w:val="none"/>
        </w:rPr>
        <w:fldChar w:fldCharType="begin"/>
      </w:r>
      <w:r>
        <w:rPr>
          <w:rFonts w:hint="eastAsia" w:hAnsi="宋体"/>
          <w:color w:val="auto"/>
          <w:sz w:val="24"/>
          <w:highlight w:val="none"/>
        </w:rPr>
        <w:instrText xml:space="preserve"> HYPERLINK "http://baike.baidu.com/view/12242535.htm" \t "http://baike.baidu.com/item/%E6%9C%AC%E6%BA%AA/_blank" </w:instrText>
      </w:r>
      <w:r>
        <w:rPr>
          <w:rFonts w:hint="eastAsia" w:hAnsi="宋体"/>
          <w:color w:val="auto"/>
          <w:sz w:val="24"/>
          <w:highlight w:val="none"/>
        </w:rPr>
        <w:fldChar w:fldCharType="separate"/>
      </w:r>
      <w:r>
        <w:rPr>
          <w:rFonts w:hint="eastAsia" w:hAnsi="宋体"/>
          <w:color w:val="auto"/>
          <w:sz w:val="24"/>
          <w:highlight w:val="none"/>
        </w:rPr>
        <w:t>辽阳市</w:t>
      </w:r>
      <w:r>
        <w:rPr>
          <w:rFonts w:hint="eastAsia" w:hAnsi="宋体"/>
          <w:color w:val="auto"/>
          <w:sz w:val="24"/>
          <w:highlight w:val="none"/>
        </w:rPr>
        <w:fldChar w:fldCharType="end"/>
      </w:r>
      <w:r>
        <w:rPr>
          <w:rFonts w:hint="eastAsia" w:hAnsi="宋体"/>
          <w:color w:val="auto"/>
          <w:sz w:val="24"/>
          <w:highlight w:val="none"/>
        </w:rPr>
        <w:t>、</w:t>
      </w:r>
      <w:r>
        <w:rPr>
          <w:rFonts w:hint="eastAsia" w:hAnsi="宋体"/>
          <w:color w:val="auto"/>
          <w:sz w:val="24"/>
          <w:highlight w:val="none"/>
        </w:rPr>
        <w:fldChar w:fldCharType="begin"/>
      </w:r>
      <w:r>
        <w:rPr>
          <w:rFonts w:hint="eastAsia" w:hAnsi="宋体"/>
          <w:color w:val="auto"/>
          <w:sz w:val="24"/>
          <w:highlight w:val="none"/>
        </w:rPr>
        <w:instrText xml:space="preserve"> HYPERLINK "http://baike.baidu.com/view/11417531.htm" \t "http://baike.baidu.com/item/%E6%9C%AC%E6%BA%AA/_blank" </w:instrText>
      </w:r>
      <w:r>
        <w:rPr>
          <w:rFonts w:hint="eastAsia" w:hAnsi="宋体"/>
          <w:color w:val="auto"/>
          <w:sz w:val="24"/>
          <w:highlight w:val="none"/>
        </w:rPr>
        <w:fldChar w:fldCharType="separate"/>
      </w:r>
      <w:r>
        <w:rPr>
          <w:rFonts w:hint="eastAsia" w:hAnsi="宋体"/>
          <w:color w:val="auto"/>
          <w:sz w:val="24"/>
          <w:highlight w:val="none"/>
        </w:rPr>
        <w:t>鞍山市</w:t>
      </w:r>
      <w:r>
        <w:rPr>
          <w:rFonts w:hint="eastAsia" w:hAnsi="宋体"/>
          <w:color w:val="auto"/>
          <w:sz w:val="24"/>
          <w:highlight w:val="none"/>
        </w:rPr>
        <w:fldChar w:fldCharType="end"/>
      </w:r>
      <w:r>
        <w:rPr>
          <w:rFonts w:hint="eastAsia" w:hAnsi="宋体"/>
          <w:color w:val="auto"/>
          <w:sz w:val="24"/>
          <w:highlight w:val="none"/>
        </w:rPr>
        <w:t>相接，南邻</w:t>
      </w:r>
      <w:r>
        <w:rPr>
          <w:rFonts w:hint="eastAsia" w:hAnsi="宋体"/>
          <w:color w:val="auto"/>
          <w:sz w:val="24"/>
          <w:highlight w:val="none"/>
        </w:rPr>
        <w:fldChar w:fldCharType="begin"/>
      </w:r>
      <w:r>
        <w:rPr>
          <w:rFonts w:hint="eastAsia" w:hAnsi="宋体"/>
          <w:color w:val="auto"/>
          <w:sz w:val="24"/>
          <w:highlight w:val="none"/>
        </w:rPr>
        <w:instrText xml:space="preserve"> HYPERLINK "http://baike.baidu.com/view/649907.htm" \t "http://baike.baidu.com/item/%E6%9C%AC%E6%BA%AA/_blank" </w:instrText>
      </w:r>
      <w:r>
        <w:rPr>
          <w:rFonts w:hint="eastAsia" w:hAnsi="宋体"/>
          <w:color w:val="auto"/>
          <w:sz w:val="24"/>
          <w:highlight w:val="none"/>
        </w:rPr>
        <w:fldChar w:fldCharType="separate"/>
      </w:r>
      <w:r>
        <w:rPr>
          <w:rFonts w:hint="eastAsia" w:hAnsi="宋体"/>
          <w:color w:val="auto"/>
          <w:sz w:val="24"/>
          <w:highlight w:val="none"/>
        </w:rPr>
        <w:t>丹东市</w:t>
      </w:r>
      <w:r>
        <w:rPr>
          <w:rFonts w:hint="eastAsia" w:hAnsi="宋体"/>
          <w:color w:val="auto"/>
          <w:sz w:val="24"/>
          <w:highlight w:val="none"/>
        </w:rPr>
        <w:fldChar w:fldCharType="end"/>
      </w:r>
      <w:r>
        <w:rPr>
          <w:rFonts w:hint="eastAsia" w:hAnsi="宋体"/>
          <w:color w:val="auto"/>
          <w:sz w:val="24"/>
          <w:highlight w:val="none"/>
        </w:rPr>
        <w:t>，东邻吉林省</w:t>
      </w:r>
      <w:r>
        <w:rPr>
          <w:rFonts w:hint="eastAsia" w:hAnsi="宋体"/>
          <w:color w:val="auto"/>
          <w:sz w:val="24"/>
          <w:highlight w:val="none"/>
        </w:rPr>
        <w:fldChar w:fldCharType="begin"/>
      </w:r>
      <w:r>
        <w:rPr>
          <w:rFonts w:hint="eastAsia" w:hAnsi="宋体"/>
          <w:color w:val="auto"/>
          <w:sz w:val="24"/>
          <w:highlight w:val="none"/>
        </w:rPr>
        <w:instrText xml:space="preserve"> HYPERLINK "http://baike.baidu.com/view/82198.htm" \t "http://baike.baidu.com/item/%E6%9C%AC%E6%BA%AA/_blank" </w:instrText>
      </w:r>
      <w:r>
        <w:rPr>
          <w:rFonts w:hint="eastAsia" w:hAnsi="宋体"/>
          <w:color w:val="auto"/>
          <w:sz w:val="24"/>
          <w:highlight w:val="none"/>
        </w:rPr>
        <w:fldChar w:fldCharType="separate"/>
      </w:r>
      <w:r>
        <w:rPr>
          <w:rFonts w:hint="eastAsia" w:hAnsi="宋体"/>
          <w:color w:val="auto"/>
          <w:sz w:val="24"/>
          <w:highlight w:val="none"/>
        </w:rPr>
        <w:t>通化市</w:t>
      </w:r>
      <w:r>
        <w:rPr>
          <w:rFonts w:hint="eastAsia" w:hAnsi="宋体"/>
          <w:color w:val="auto"/>
          <w:sz w:val="24"/>
          <w:highlight w:val="none"/>
        </w:rPr>
        <w:fldChar w:fldCharType="end"/>
      </w:r>
      <w:r>
        <w:rPr>
          <w:rFonts w:hint="eastAsia" w:hAnsi="宋体"/>
          <w:color w:val="auto"/>
          <w:sz w:val="24"/>
          <w:highlight w:val="none"/>
        </w:rPr>
        <w:t>，交通便利，地理位置优越，全市森林覆盖率75%，位列全国前列。</w:t>
      </w:r>
    </w:p>
    <w:p w14:paraId="3F2DE77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hAnsi="宋体"/>
          <w:color w:val="auto"/>
          <w:sz w:val="24"/>
          <w:highlight w:val="none"/>
        </w:rPr>
      </w:pPr>
      <w:r>
        <w:rPr>
          <w:rFonts w:hint="eastAsia" w:hAnsi="宋体"/>
          <w:color w:val="auto"/>
          <w:sz w:val="24"/>
          <w:highlight w:val="none"/>
        </w:rPr>
        <w:t>溪湖区隶属于</w:t>
      </w:r>
      <w:r>
        <w:rPr>
          <w:rFonts w:hint="eastAsia" w:hAnsi="宋体"/>
          <w:color w:val="auto"/>
          <w:sz w:val="24"/>
          <w:highlight w:val="none"/>
        </w:rPr>
        <w:fldChar w:fldCharType="begin"/>
      </w:r>
      <w:r>
        <w:rPr>
          <w:rFonts w:hint="eastAsia" w:hAnsi="宋体"/>
          <w:color w:val="auto"/>
          <w:sz w:val="24"/>
          <w:highlight w:val="none"/>
        </w:rPr>
        <w:instrText xml:space="preserve"> HYPERLINK "http://baike.baidu.com/view/40162.htm" \t "http://baike.baidu.com/_blank" </w:instrText>
      </w:r>
      <w:r>
        <w:rPr>
          <w:rFonts w:hint="eastAsia" w:hAnsi="宋体"/>
          <w:color w:val="auto"/>
          <w:sz w:val="24"/>
          <w:highlight w:val="none"/>
        </w:rPr>
        <w:fldChar w:fldCharType="separate"/>
      </w:r>
      <w:r>
        <w:rPr>
          <w:rFonts w:hint="eastAsia" w:hAnsi="宋体"/>
          <w:color w:val="auto"/>
          <w:sz w:val="24"/>
          <w:highlight w:val="none"/>
        </w:rPr>
        <w:t>辽宁省</w:t>
      </w:r>
      <w:r>
        <w:rPr>
          <w:rFonts w:hint="eastAsia" w:hAnsi="宋体"/>
          <w:color w:val="auto"/>
          <w:sz w:val="24"/>
          <w:highlight w:val="none"/>
        </w:rPr>
        <w:fldChar w:fldCharType="end"/>
      </w:r>
      <w:r>
        <w:rPr>
          <w:rFonts w:hint="eastAsia" w:hAnsi="宋体"/>
          <w:color w:val="auto"/>
          <w:sz w:val="24"/>
          <w:highlight w:val="none"/>
        </w:rPr>
        <w:fldChar w:fldCharType="begin"/>
      </w:r>
      <w:r>
        <w:rPr>
          <w:rFonts w:hint="eastAsia" w:hAnsi="宋体"/>
          <w:color w:val="auto"/>
          <w:sz w:val="24"/>
          <w:highlight w:val="none"/>
        </w:rPr>
        <w:instrText xml:space="preserve"> HYPERLINK "http://baike.baidu.com/view/10909605.htm" \t "http://baike.baidu.com/_blank" </w:instrText>
      </w:r>
      <w:r>
        <w:rPr>
          <w:rFonts w:hint="eastAsia" w:hAnsi="宋体"/>
          <w:color w:val="auto"/>
          <w:sz w:val="24"/>
          <w:highlight w:val="none"/>
        </w:rPr>
        <w:fldChar w:fldCharType="separate"/>
      </w:r>
      <w:r>
        <w:rPr>
          <w:rFonts w:hint="eastAsia" w:hAnsi="宋体"/>
          <w:color w:val="auto"/>
          <w:sz w:val="24"/>
          <w:highlight w:val="none"/>
        </w:rPr>
        <w:t>本溪市</w:t>
      </w:r>
      <w:r>
        <w:rPr>
          <w:rFonts w:hint="eastAsia" w:hAnsi="宋体"/>
          <w:color w:val="auto"/>
          <w:sz w:val="24"/>
          <w:highlight w:val="none"/>
        </w:rPr>
        <w:fldChar w:fldCharType="end"/>
      </w:r>
      <w:r>
        <w:rPr>
          <w:rFonts w:hint="eastAsia" w:hAnsi="宋体"/>
          <w:color w:val="auto"/>
          <w:sz w:val="24"/>
          <w:highlight w:val="none"/>
        </w:rPr>
        <w:t>，位于本溪市西北部、</w:t>
      </w:r>
      <w:r>
        <w:rPr>
          <w:rFonts w:hint="eastAsia" w:hAnsi="宋体"/>
          <w:color w:val="auto"/>
          <w:sz w:val="24"/>
          <w:highlight w:val="none"/>
        </w:rPr>
        <w:fldChar w:fldCharType="begin"/>
      </w:r>
      <w:r>
        <w:rPr>
          <w:rFonts w:hint="eastAsia" w:hAnsi="宋体"/>
          <w:color w:val="auto"/>
          <w:sz w:val="24"/>
          <w:highlight w:val="none"/>
        </w:rPr>
        <w:instrText xml:space="preserve"> HYPERLINK "http://baike.baidu.com/view/109176.htm" \t "http://baike.baidu.com/_blank" </w:instrText>
      </w:r>
      <w:r>
        <w:rPr>
          <w:rFonts w:hint="eastAsia" w:hAnsi="宋体"/>
          <w:color w:val="auto"/>
          <w:sz w:val="24"/>
          <w:highlight w:val="none"/>
        </w:rPr>
        <w:fldChar w:fldCharType="separate"/>
      </w:r>
      <w:r>
        <w:rPr>
          <w:rFonts w:hint="eastAsia" w:hAnsi="宋体"/>
          <w:color w:val="auto"/>
          <w:sz w:val="24"/>
          <w:highlight w:val="none"/>
        </w:rPr>
        <w:t>辽东半岛</w:t>
      </w:r>
      <w:r>
        <w:rPr>
          <w:rFonts w:hint="eastAsia" w:hAnsi="宋体"/>
          <w:color w:val="auto"/>
          <w:sz w:val="24"/>
          <w:highlight w:val="none"/>
        </w:rPr>
        <w:fldChar w:fldCharType="end"/>
      </w:r>
      <w:r>
        <w:rPr>
          <w:rFonts w:hint="eastAsia" w:hAnsi="宋体"/>
          <w:color w:val="auto"/>
          <w:sz w:val="24"/>
          <w:highlight w:val="none"/>
        </w:rPr>
        <w:t>腹地，东临</w:t>
      </w:r>
      <w:r>
        <w:rPr>
          <w:rFonts w:hint="eastAsia" w:hAnsi="宋体"/>
          <w:color w:val="auto"/>
          <w:sz w:val="24"/>
          <w:highlight w:val="none"/>
        </w:rPr>
        <w:fldChar w:fldCharType="begin"/>
      </w:r>
      <w:r>
        <w:rPr>
          <w:rFonts w:hint="eastAsia" w:hAnsi="宋体"/>
          <w:color w:val="auto"/>
          <w:sz w:val="24"/>
          <w:highlight w:val="none"/>
        </w:rPr>
        <w:instrText xml:space="preserve"> HYPERLINK "http://baike.baidu.com/view/721869.htm" \t "http://baike.baidu.com/_blank" </w:instrText>
      </w:r>
      <w:r>
        <w:rPr>
          <w:rFonts w:hint="eastAsia" w:hAnsi="宋体"/>
          <w:color w:val="auto"/>
          <w:sz w:val="24"/>
          <w:highlight w:val="none"/>
        </w:rPr>
        <w:fldChar w:fldCharType="separate"/>
      </w:r>
      <w:r>
        <w:rPr>
          <w:rFonts w:hint="eastAsia" w:hAnsi="宋体"/>
          <w:color w:val="auto"/>
          <w:sz w:val="24"/>
          <w:highlight w:val="none"/>
        </w:rPr>
        <w:t>明山区</w:t>
      </w:r>
      <w:r>
        <w:rPr>
          <w:rFonts w:hint="eastAsia" w:hAnsi="宋体"/>
          <w:color w:val="auto"/>
          <w:sz w:val="24"/>
          <w:highlight w:val="none"/>
        </w:rPr>
        <w:fldChar w:fldCharType="end"/>
      </w:r>
      <w:r>
        <w:rPr>
          <w:rFonts w:hint="eastAsia" w:hAnsi="宋体"/>
          <w:color w:val="auto"/>
          <w:sz w:val="24"/>
          <w:highlight w:val="none"/>
        </w:rPr>
        <w:t>，西毗</w:t>
      </w:r>
      <w:r>
        <w:rPr>
          <w:rFonts w:hint="eastAsia" w:hAnsi="宋体"/>
          <w:color w:val="auto"/>
          <w:sz w:val="24"/>
          <w:highlight w:val="none"/>
        </w:rPr>
        <w:fldChar w:fldCharType="begin"/>
      </w:r>
      <w:r>
        <w:rPr>
          <w:rFonts w:hint="eastAsia" w:hAnsi="宋体"/>
          <w:color w:val="auto"/>
          <w:sz w:val="24"/>
          <w:highlight w:val="none"/>
        </w:rPr>
        <w:instrText xml:space="preserve"> HYPERLINK "http://baike.baidu.com/view/12242535.htm" \t "http://baike.baidu.com/_blank" </w:instrText>
      </w:r>
      <w:r>
        <w:rPr>
          <w:rFonts w:hint="eastAsia" w:hAnsi="宋体"/>
          <w:color w:val="auto"/>
          <w:sz w:val="24"/>
          <w:highlight w:val="none"/>
        </w:rPr>
        <w:fldChar w:fldCharType="separate"/>
      </w:r>
      <w:r>
        <w:rPr>
          <w:rFonts w:hint="eastAsia" w:hAnsi="宋体"/>
          <w:color w:val="auto"/>
          <w:sz w:val="24"/>
          <w:highlight w:val="none"/>
        </w:rPr>
        <w:t>辽阳市</w:t>
      </w:r>
      <w:r>
        <w:rPr>
          <w:rFonts w:hint="eastAsia" w:hAnsi="宋体"/>
          <w:color w:val="auto"/>
          <w:sz w:val="24"/>
          <w:highlight w:val="none"/>
        </w:rPr>
        <w:fldChar w:fldCharType="end"/>
      </w:r>
      <w:r>
        <w:rPr>
          <w:rFonts w:hint="eastAsia" w:hAnsi="宋体"/>
          <w:color w:val="auto"/>
          <w:sz w:val="24"/>
          <w:highlight w:val="none"/>
        </w:rPr>
        <w:t>，南接</w:t>
      </w:r>
      <w:r>
        <w:rPr>
          <w:rFonts w:hint="eastAsia" w:hAnsi="宋体"/>
          <w:color w:val="auto"/>
          <w:sz w:val="24"/>
          <w:highlight w:val="none"/>
        </w:rPr>
        <w:fldChar w:fldCharType="begin"/>
      </w:r>
      <w:r>
        <w:rPr>
          <w:rFonts w:hint="eastAsia" w:hAnsi="宋体"/>
          <w:color w:val="auto"/>
          <w:sz w:val="24"/>
          <w:highlight w:val="none"/>
        </w:rPr>
        <w:instrText xml:space="preserve"> HYPERLINK "http://baike.baidu.com/view/399370.htm" \t "http://baike.baidu.com/_blank" </w:instrText>
      </w:r>
      <w:r>
        <w:rPr>
          <w:rFonts w:hint="eastAsia" w:hAnsi="宋体"/>
          <w:color w:val="auto"/>
          <w:sz w:val="24"/>
          <w:highlight w:val="none"/>
        </w:rPr>
        <w:fldChar w:fldCharType="separate"/>
      </w:r>
      <w:r>
        <w:rPr>
          <w:rFonts w:hint="eastAsia" w:hAnsi="宋体"/>
          <w:color w:val="auto"/>
          <w:sz w:val="24"/>
          <w:highlight w:val="none"/>
        </w:rPr>
        <w:t>平山区</w:t>
      </w:r>
      <w:r>
        <w:rPr>
          <w:rFonts w:hint="eastAsia" w:hAnsi="宋体"/>
          <w:color w:val="auto"/>
          <w:sz w:val="24"/>
          <w:highlight w:val="none"/>
        </w:rPr>
        <w:fldChar w:fldCharType="end"/>
      </w:r>
      <w:r>
        <w:rPr>
          <w:rFonts w:hint="eastAsia" w:hAnsi="宋体"/>
          <w:color w:val="auto"/>
          <w:sz w:val="24"/>
          <w:highlight w:val="none"/>
        </w:rPr>
        <w:t>，北靠</w:t>
      </w:r>
      <w:r>
        <w:rPr>
          <w:rFonts w:hint="eastAsia" w:hAnsi="宋体"/>
          <w:color w:val="auto"/>
          <w:sz w:val="24"/>
          <w:highlight w:val="none"/>
        </w:rPr>
        <w:fldChar w:fldCharType="begin"/>
      </w:r>
      <w:r>
        <w:rPr>
          <w:rFonts w:hint="eastAsia" w:hAnsi="宋体"/>
          <w:color w:val="auto"/>
          <w:sz w:val="24"/>
          <w:highlight w:val="none"/>
        </w:rPr>
        <w:instrText xml:space="preserve"> HYPERLINK "http://baike.baidu.com/view/2354.htm" \t "http://baike.baidu.com/_blank" </w:instrText>
      </w:r>
      <w:r>
        <w:rPr>
          <w:rFonts w:hint="eastAsia" w:hAnsi="宋体"/>
          <w:color w:val="auto"/>
          <w:sz w:val="24"/>
          <w:highlight w:val="none"/>
        </w:rPr>
        <w:fldChar w:fldCharType="separate"/>
      </w:r>
      <w:r>
        <w:rPr>
          <w:rFonts w:hint="eastAsia" w:hAnsi="宋体"/>
          <w:color w:val="auto"/>
          <w:sz w:val="24"/>
          <w:highlight w:val="none"/>
        </w:rPr>
        <w:t>沈阳市</w:t>
      </w:r>
      <w:r>
        <w:rPr>
          <w:rFonts w:hint="eastAsia" w:hAnsi="宋体"/>
          <w:color w:val="auto"/>
          <w:sz w:val="24"/>
          <w:highlight w:val="none"/>
        </w:rPr>
        <w:fldChar w:fldCharType="end"/>
      </w:r>
      <w:r>
        <w:rPr>
          <w:rFonts w:hint="eastAsia" w:hAnsi="宋体"/>
          <w:color w:val="auto"/>
          <w:sz w:val="24"/>
          <w:highlight w:val="none"/>
        </w:rPr>
        <w:t>、</w:t>
      </w:r>
      <w:r>
        <w:rPr>
          <w:rFonts w:hint="eastAsia" w:hAnsi="宋体"/>
          <w:color w:val="auto"/>
          <w:sz w:val="24"/>
          <w:highlight w:val="none"/>
        </w:rPr>
        <w:fldChar w:fldCharType="begin"/>
      </w:r>
      <w:r>
        <w:rPr>
          <w:rFonts w:hint="eastAsia" w:hAnsi="宋体"/>
          <w:color w:val="auto"/>
          <w:sz w:val="24"/>
          <w:highlight w:val="none"/>
        </w:rPr>
        <w:instrText xml:space="preserve"> HYPERLINK "http://baike.baidu.com/view/12117270.htm" \t "http://baike.baidu.com/_blank" </w:instrText>
      </w:r>
      <w:r>
        <w:rPr>
          <w:rFonts w:hint="eastAsia" w:hAnsi="宋体"/>
          <w:color w:val="auto"/>
          <w:sz w:val="24"/>
          <w:highlight w:val="none"/>
        </w:rPr>
        <w:fldChar w:fldCharType="separate"/>
      </w:r>
      <w:r>
        <w:rPr>
          <w:rFonts w:hint="eastAsia" w:hAnsi="宋体"/>
          <w:color w:val="auto"/>
          <w:sz w:val="24"/>
          <w:highlight w:val="none"/>
        </w:rPr>
        <w:t>抚顺市</w:t>
      </w:r>
      <w:r>
        <w:rPr>
          <w:rFonts w:hint="eastAsia" w:hAnsi="宋体"/>
          <w:color w:val="auto"/>
          <w:sz w:val="24"/>
          <w:highlight w:val="none"/>
        </w:rPr>
        <w:fldChar w:fldCharType="end"/>
      </w:r>
      <w:r>
        <w:rPr>
          <w:rFonts w:hint="eastAsia" w:hAnsi="宋体"/>
          <w:color w:val="auto"/>
          <w:sz w:val="24"/>
          <w:highlight w:val="none"/>
        </w:rPr>
        <w:t>，中心位置位于北纬41°19′37.38″，东经123°45′42.45″；总面积138平方公里；辖6个街道、1个镇；总人口18万人（2016年）。2015年，溪湖区全年实现地区生产总值82.6亿元。溪湖区有景点</w:t>
      </w:r>
      <w:r>
        <w:rPr>
          <w:rFonts w:hint="eastAsia" w:hAnsi="宋体"/>
          <w:color w:val="auto"/>
          <w:sz w:val="24"/>
          <w:highlight w:val="none"/>
        </w:rPr>
        <w:fldChar w:fldCharType="begin"/>
      </w:r>
      <w:r>
        <w:rPr>
          <w:rFonts w:hint="eastAsia" w:hAnsi="宋体"/>
          <w:color w:val="auto"/>
          <w:sz w:val="24"/>
          <w:highlight w:val="none"/>
        </w:rPr>
        <w:instrText xml:space="preserve"> HYPERLINK "http://baike.baidu.com/view/41512.htm" \t "http://baike.baidu.com/_blank" </w:instrText>
      </w:r>
      <w:r>
        <w:rPr>
          <w:rFonts w:hint="eastAsia" w:hAnsi="宋体"/>
          <w:color w:val="auto"/>
          <w:sz w:val="24"/>
          <w:highlight w:val="none"/>
        </w:rPr>
        <w:fldChar w:fldCharType="separate"/>
      </w:r>
      <w:r>
        <w:rPr>
          <w:rFonts w:hint="eastAsia" w:hAnsi="宋体"/>
          <w:color w:val="auto"/>
          <w:sz w:val="24"/>
          <w:highlight w:val="none"/>
        </w:rPr>
        <w:t>本溪湖</w:t>
      </w:r>
      <w:r>
        <w:rPr>
          <w:rFonts w:hint="eastAsia" w:hAnsi="宋体"/>
          <w:color w:val="auto"/>
          <w:sz w:val="24"/>
          <w:highlight w:val="none"/>
        </w:rPr>
        <w:fldChar w:fldCharType="end"/>
      </w:r>
      <w:r>
        <w:rPr>
          <w:rFonts w:hint="eastAsia" w:hAnsi="宋体"/>
          <w:color w:val="auto"/>
          <w:sz w:val="24"/>
          <w:highlight w:val="none"/>
        </w:rPr>
        <w:t>。</w:t>
      </w:r>
    </w:p>
    <w:p w14:paraId="4A3D91E1">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80" w:firstLineChars="200"/>
        <w:jc w:val="both"/>
        <w:textAlignment w:val="auto"/>
        <w:outlineLvl w:val="9"/>
        <w:rPr>
          <w:rFonts w:hint="default" w:ascii="Times New Roman" w:hAnsi="Times New Roman" w:cs="Times New Roman"/>
          <w:color w:val="auto"/>
          <w:sz w:val="24"/>
          <w:highlight w:val="none"/>
        </w:rPr>
      </w:pPr>
      <w:r>
        <w:rPr>
          <w:rFonts w:hint="eastAsia" w:cs="Times New Roman"/>
          <w:color w:val="auto"/>
          <w:sz w:val="24"/>
          <w:szCs w:val="24"/>
          <w:highlight w:val="none"/>
          <w:lang w:eastAsia="zh-CN"/>
        </w:rPr>
        <w:t>本项目位于</w:t>
      </w:r>
      <w:r>
        <w:rPr>
          <w:rFonts w:hint="eastAsia" w:cs="Times New Roman"/>
          <w:color w:val="auto"/>
          <w:kern w:val="2"/>
          <w:sz w:val="24"/>
          <w:szCs w:val="24"/>
          <w:highlight w:val="none"/>
          <w:lang w:val="en-US" w:eastAsia="zh-CN" w:bidi="ar-SA"/>
        </w:rPr>
        <w:t>本溪市溪湖区溪湖东路1栋1号</w:t>
      </w:r>
      <w:r>
        <w:rPr>
          <w:rFonts w:hint="default" w:ascii="Times New Roman" w:hAnsi="Times New Roman" w:cs="Times New Roman"/>
          <w:color w:val="auto"/>
          <w:sz w:val="24"/>
          <w:highlight w:val="none"/>
        </w:rPr>
        <w:t>，周围为商住混杂区。地理坐标为</w:t>
      </w:r>
      <w:r>
        <w:rPr>
          <w:rFonts w:hint="eastAsia" w:cs="Times New Roman"/>
          <w:color w:val="auto"/>
          <w:sz w:val="24"/>
          <w:highlight w:val="none"/>
          <w:lang w:eastAsia="zh-CN"/>
        </w:rPr>
        <w:t>经度</w:t>
      </w:r>
      <w:r>
        <w:rPr>
          <w:rFonts w:hint="eastAsia" w:cs="Times New Roman"/>
          <w:color w:val="auto"/>
          <w:sz w:val="24"/>
          <w:highlight w:val="none"/>
          <w:lang w:val="en-US" w:eastAsia="zh-CN"/>
        </w:rPr>
        <w:t>123.7618</w:t>
      </w:r>
      <w:r>
        <w:rPr>
          <w:rFonts w:hint="default" w:ascii="Times New Roman" w:hAnsi="Times New Roman" w:cs="Times New Roman"/>
          <w:color w:val="auto"/>
          <w:sz w:val="24"/>
          <w:highlight w:val="none"/>
        </w:rPr>
        <w:t>，</w:t>
      </w:r>
      <w:r>
        <w:rPr>
          <w:rFonts w:hint="eastAsia" w:cs="Times New Roman"/>
          <w:color w:val="auto"/>
          <w:sz w:val="24"/>
          <w:highlight w:val="none"/>
          <w:lang w:eastAsia="zh-CN"/>
        </w:rPr>
        <w:t>纬度</w:t>
      </w:r>
      <w:r>
        <w:rPr>
          <w:rFonts w:hint="eastAsia" w:cs="Times New Roman"/>
          <w:color w:val="auto"/>
          <w:sz w:val="24"/>
          <w:highlight w:val="none"/>
          <w:lang w:val="en-US" w:eastAsia="zh-CN"/>
        </w:rPr>
        <w:t>41.3261</w:t>
      </w:r>
      <w:r>
        <w:rPr>
          <w:rFonts w:hint="default" w:ascii="Times New Roman" w:hAnsi="Times New Roman" w:cs="Times New Roman"/>
          <w:color w:val="auto"/>
          <w:sz w:val="24"/>
          <w:highlight w:val="none"/>
        </w:rPr>
        <w:t>。</w:t>
      </w:r>
    </w:p>
    <w:p w14:paraId="530A57B4">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color w:val="auto"/>
          <w:highlight w:val="none"/>
        </w:rPr>
      </w:pPr>
      <w:r>
        <w:rPr>
          <w:rFonts w:hint="eastAsia"/>
          <w:color w:val="auto"/>
          <w:highlight w:val="none"/>
          <w:lang w:val="en-US" w:eastAsia="zh-CN"/>
        </w:rPr>
        <w:t xml:space="preserve">  </w:t>
      </w:r>
      <w:r>
        <w:rPr>
          <w:color w:val="auto"/>
          <w:highlight w:val="none"/>
        </w:rPr>
        <w:drawing>
          <wp:inline distT="0" distB="0" distL="114300" distR="114300">
            <wp:extent cx="2063115" cy="1851660"/>
            <wp:effectExtent l="0" t="0" r="13335" b="15240"/>
            <wp:docPr id="6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
                    <pic:cNvPicPr>
                      <a:picLocks noChangeAspect="1"/>
                    </pic:cNvPicPr>
                  </pic:nvPicPr>
                  <pic:blipFill>
                    <a:blip r:embed="rId12"/>
                    <a:stretch>
                      <a:fillRect/>
                    </a:stretch>
                  </pic:blipFill>
                  <pic:spPr>
                    <a:xfrm>
                      <a:off x="0" y="0"/>
                      <a:ext cx="2063115" cy="1851660"/>
                    </a:xfrm>
                    <a:prstGeom prst="rect">
                      <a:avLst/>
                    </a:prstGeom>
                    <a:noFill/>
                    <a:ln w="9525">
                      <a:noFill/>
                    </a:ln>
                  </pic:spPr>
                </pic:pic>
              </a:graphicData>
            </a:graphic>
          </wp:inline>
        </w:drawing>
      </w:r>
      <w:r>
        <w:rPr>
          <w:rFonts w:hint="eastAsia"/>
          <w:color w:val="auto"/>
          <w:highlight w:val="none"/>
          <w:lang w:val="en-US" w:eastAsia="zh-CN"/>
        </w:rPr>
        <w:t xml:space="preserve">             </w:t>
      </w:r>
      <w:r>
        <w:rPr>
          <w:color w:val="auto"/>
          <w:highlight w:val="none"/>
        </w:rPr>
        <w:drawing>
          <wp:inline distT="0" distB="0" distL="114300" distR="114300">
            <wp:extent cx="2459990" cy="1861820"/>
            <wp:effectExtent l="0" t="0" r="16510" b="5080"/>
            <wp:docPr id="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
                    <pic:cNvPicPr>
                      <a:picLocks noChangeAspect="1"/>
                    </pic:cNvPicPr>
                  </pic:nvPicPr>
                  <pic:blipFill>
                    <a:blip r:embed="rId13"/>
                    <a:stretch>
                      <a:fillRect/>
                    </a:stretch>
                  </pic:blipFill>
                  <pic:spPr>
                    <a:xfrm>
                      <a:off x="0" y="0"/>
                      <a:ext cx="2459990" cy="1861820"/>
                    </a:xfrm>
                    <a:prstGeom prst="rect">
                      <a:avLst/>
                    </a:prstGeom>
                    <a:noFill/>
                    <a:ln w="9525">
                      <a:noFill/>
                    </a:ln>
                  </pic:spPr>
                </pic:pic>
              </a:graphicData>
            </a:graphic>
          </wp:inline>
        </w:drawing>
      </w:r>
    </w:p>
    <w:p w14:paraId="10D94510">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1680" w:firstLineChars="800"/>
        <w:textAlignment w:val="auto"/>
        <w:outlineLvl w:val="9"/>
        <w:rPr>
          <w:rFonts w:hint="eastAsia"/>
          <w:color w:val="auto"/>
          <w:highlight w:val="none"/>
          <w:lang w:val="en-US" w:eastAsia="zh-CN"/>
        </w:rPr>
      </w:pPr>
      <w:r>
        <w:rPr>
          <w:rFonts w:hint="eastAsia"/>
          <w:color w:val="auto"/>
          <w:sz w:val="21"/>
          <w:szCs w:val="21"/>
          <w:highlight w:val="none"/>
          <w:lang w:eastAsia="zh-CN"/>
        </w:rPr>
        <w:t>西侧</w:t>
      </w:r>
      <w:r>
        <w:rPr>
          <w:rFonts w:hint="eastAsia"/>
          <w:color w:val="auto"/>
          <w:highlight w:val="none"/>
          <w:lang w:val="en-US" w:eastAsia="zh-CN"/>
        </w:rPr>
        <w:t xml:space="preserve">                                          </w:t>
      </w:r>
      <w:r>
        <w:rPr>
          <w:rFonts w:hint="eastAsia"/>
          <w:color w:val="auto"/>
          <w:sz w:val="21"/>
          <w:szCs w:val="21"/>
          <w:highlight w:val="none"/>
          <w:lang w:val="en-US" w:eastAsia="zh-CN"/>
        </w:rPr>
        <w:t>南侧</w:t>
      </w:r>
    </w:p>
    <w:p w14:paraId="73D87201">
      <w:pPr>
        <w:pStyle w:val="2"/>
        <w:ind w:left="0" w:leftChars="0" w:firstLine="0" w:firstLineChars="0"/>
        <w:rPr>
          <w:rFonts w:hint="eastAsia"/>
          <w:color w:val="auto"/>
          <w:highlight w:val="none"/>
          <w:lang w:val="en-US" w:eastAsia="zh-CN"/>
        </w:rPr>
      </w:pPr>
      <w:r>
        <w:rPr>
          <w:rFonts w:hint="eastAsia"/>
          <w:color w:val="auto"/>
          <w:highlight w:val="none"/>
          <w:lang w:val="en-US" w:eastAsia="zh-CN"/>
        </w:rPr>
        <w:t xml:space="preserve">    </w:t>
      </w:r>
      <w:r>
        <w:rPr>
          <w:color w:val="auto"/>
          <w:highlight w:val="none"/>
        </w:rPr>
        <w:drawing>
          <wp:inline distT="0" distB="0" distL="114300" distR="114300">
            <wp:extent cx="1850390" cy="1918335"/>
            <wp:effectExtent l="0" t="0" r="16510" b="5715"/>
            <wp:docPr id="9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5"/>
                    <pic:cNvPicPr>
                      <a:picLocks noChangeAspect="1"/>
                    </pic:cNvPicPr>
                  </pic:nvPicPr>
                  <pic:blipFill>
                    <a:blip r:embed="rId14"/>
                    <a:stretch>
                      <a:fillRect/>
                    </a:stretch>
                  </pic:blipFill>
                  <pic:spPr>
                    <a:xfrm>
                      <a:off x="0" y="0"/>
                      <a:ext cx="1850390" cy="1918335"/>
                    </a:xfrm>
                    <a:prstGeom prst="rect">
                      <a:avLst/>
                    </a:prstGeom>
                    <a:noFill/>
                    <a:ln w="9525">
                      <a:noFill/>
                    </a:ln>
                  </pic:spPr>
                </pic:pic>
              </a:graphicData>
            </a:graphic>
          </wp:inline>
        </w:drawing>
      </w:r>
      <w:r>
        <w:rPr>
          <w:rFonts w:hint="eastAsia"/>
          <w:color w:val="auto"/>
          <w:highlight w:val="none"/>
          <w:lang w:val="en-US" w:eastAsia="zh-CN"/>
        </w:rPr>
        <w:t xml:space="preserve">                   </w:t>
      </w:r>
      <w:r>
        <w:rPr>
          <w:color w:val="auto"/>
          <w:highlight w:val="none"/>
        </w:rPr>
        <w:drawing>
          <wp:inline distT="0" distB="0" distL="114300" distR="114300">
            <wp:extent cx="1889125" cy="1906270"/>
            <wp:effectExtent l="0" t="0" r="15875" b="17780"/>
            <wp:docPr id="7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4"/>
                    <pic:cNvPicPr>
                      <a:picLocks noChangeAspect="1"/>
                    </pic:cNvPicPr>
                  </pic:nvPicPr>
                  <pic:blipFill>
                    <a:blip r:embed="rId15"/>
                    <a:stretch>
                      <a:fillRect/>
                    </a:stretch>
                  </pic:blipFill>
                  <pic:spPr>
                    <a:xfrm>
                      <a:off x="0" y="0"/>
                      <a:ext cx="1889125" cy="1906270"/>
                    </a:xfrm>
                    <a:prstGeom prst="rect">
                      <a:avLst/>
                    </a:prstGeom>
                    <a:noFill/>
                    <a:ln w="9525">
                      <a:noFill/>
                    </a:ln>
                  </pic:spPr>
                </pic:pic>
              </a:graphicData>
            </a:graphic>
          </wp:inline>
        </w:drawing>
      </w:r>
    </w:p>
    <w:p w14:paraId="65486E90">
      <w:pPr>
        <w:ind w:firstLine="1680" w:firstLineChars="800"/>
        <w:jc w:val="both"/>
        <w:rPr>
          <w:rFonts w:hint="eastAsia"/>
          <w:color w:val="auto"/>
          <w:highlight w:val="none"/>
          <w:lang w:val="en-US" w:eastAsia="zh-CN"/>
        </w:rPr>
      </w:pPr>
      <w:r>
        <w:rPr>
          <w:rFonts w:hint="eastAsia"/>
          <w:color w:val="auto"/>
          <w:highlight w:val="none"/>
          <w:lang w:eastAsia="zh-CN"/>
        </w:rPr>
        <w:t>北侧</w:t>
      </w:r>
      <w:r>
        <w:rPr>
          <w:rFonts w:hint="eastAsia"/>
          <w:color w:val="auto"/>
          <w:highlight w:val="none"/>
          <w:lang w:val="en-US" w:eastAsia="zh-CN"/>
        </w:rPr>
        <w:t xml:space="preserve">                                            东侧</w:t>
      </w:r>
    </w:p>
    <w:p w14:paraId="434C32F5">
      <w:pPr>
        <w:jc w:val="center"/>
        <w:rPr>
          <w:rFonts w:hint="default" w:ascii="Times New Roman" w:hAnsi="Times New Roman" w:cs="Times New Roman"/>
          <w:color w:val="auto"/>
          <w:sz w:val="24"/>
          <w:highlight w:val="none"/>
        </w:rPr>
      </w:pPr>
      <w:r>
        <w:rPr>
          <w:rFonts w:hint="eastAsia"/>
          <w:b/>
          <w:bCs/>
          <w:color w:val="auto"/>
          <w:highlight w:val="none"/>
          <w:lang w:eastAsia="zh-CN"/>
        </w:rPr>
        <w:t>图</w:t>
      </w:r>
      <w:r>
        <w:rPr>
          <w:rFonts w:hint="eastAsia"/>
          <w:b/>
          <w:bCs/>
          <w:color w:val="auto"/>
          <w:highlight w:val="none"/>
          <w:lang w:val="en-US" w:eastAsia="zh-CN"/>
        </w:rPr>
        <w:t>2周边情况图</w:t>
      </w:r>
    </w:p>
    <w:p w14:paraId="32C6DF8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both"/>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2地质、地形、地貌</w:t>
      </w:r>
    </w:p>
    <w:p w14:paraId="728B182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hAnsi="宋体"/>
          <w:color w:val="auto"/>
          <w:sz w:val="24"/>
          <w:highlight w:val="none"/>
        </w:rPr>
      </w:pPr>
      <w:r>
        <w:rPr>
          <w:rFonts w:hint="eastAsia" w:hAnsi="宋体"/>
          <w:color w:val="auto"/>
          <w:sz w:val="24"/>
          <w:highlight w:val="none"/>
        </w:rPr>
        <w:t>本溪市城区位于太子河上游，北处辽东半岛腹地，市区群山环绕，太子河横贯城区，形成一条狭长不规则的河谷盆地，地形起伏不平，全市最高点（平顶山）海拔623m，可进行房屋建设的地形标高在155m左右。本溪市城区地势由东北向西南倾斜，中心区楼群鳞次栉比，企业林立，是一座“城依山建，山在城中”的美丽城市。受采煤沉陷区影响，城区范围内太子河以北大部分区域在采煤沉陷区内。</w:t>
      </w:r>
    </w:p>
    <w:p w14:paraId="593C77C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hAnsi="宋体"/>
          <w:color w:val="auto"/>
          <w:sz w:val="24"/>
          <w:highlight w:val="none"/>
          <w:lang w:eastAsia="zh-CN"/>
        </w:rPr>
      </w:pPr>
      <w:r>
        <w:rPr>
          <w:rFonts w:hint="eastAsia" w:hAnsi="宋体"/>
          <w:color w:val="auto"/>
          <w:sz w:val="24"/>
          <w:highlight w:val="none"/>
        </w:rPr>
        <w:t>本溪市地质构造较为复杂，处于华北地区本溪向斜上，即太子河复向斜的中部，主要向斜构造有“程沟向斜构造”，“小市向斜构造”，“同江峪背斜构造”和“中寨子背斜构造”等，基岩断裂发育，偏岭一带主要为近南北向斜裂及北北东向断裂，断裂结构为逆断层与逆掩断层，以压性断裂为主，中部地区以南北向逐渐变为北向断裂，同样以压性断裂为主。东部小市镇一带则以北东向或近东西向断裂为主。区间土壤系由花岗岩，寒武系云母砂质页岩等组成的暗棕壤和棕壤，随着地形由高到低，分为残积坡积、洪积土等，其中棕壤土是河区内的基本土壤</w:t>
      </w:r>
      <w:r>
        <w:rPr>
          <w:rFonts w:hint="eastAsia" w:hAnsi="宋体"/>
          <w:color w:val="auto"/>
          <w:sz w:val="24"/>
          <w:highlight w:val="none"/>
          <w:lang w:eastAsia="zh-CN"/>
        </w:rPr>
        <w:t>。</w:t>
      </w:r>
    </w:p>
    <w:p w14:paraId="1F1B6590">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ind w:left="0" w:leftChars="0" w:right="0" w:rightChars="0"/>
        <w:jc w:val="both"/>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3气候、气象特征</w:t>
      </w:r>
    </w:p>
    <w:p w14:paraId="55BCDE6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hAnsi="宋体"/>
          <w:color w:val="auto"/>
          <w:sz w:val="24"/>
          <w:highlight w:val="none"/>
        </w:rPr>
      </w:pPr>
      <w:r>
        <w:rPr>
          <w:rFonts w:hint="eastAsia" w:hAnsi="宋体"/>
          <w:color w:val="auto"/>
          <w:sz w:val="24"/>
          <w:highlight w:val="none"/>
        </w:rPr>
        <w:t>本溪属于中温带温润气候区，全地区平均气温6.1~7.8摄氏度，最热七月月平均气温为24.3℃；最冷的一月，平均气温为</w:t>
      </w:r>
      <w:r>
        <w:rPr>
          <w:rFonts w:hint="eastAsia" w:hAnsi="宋体"/>
          <w:color w:val="auto"/>
          <w:sz w:val="24"/>
          <w:highlight w:val="none"/>
        </w:rPr>
        <w:fldChar w:fldCharType="begin"/>
      </w:r>
      <w:r>
        <w:rPr>
          <w:rFonts w:hint="eastAsia" w:hAnsi="宋体"/>
          <w:color w:val="auto"/>
          <w:sz w:val="24"/>
          <w:highlight w:val="none"/>
        </w:rPr>
        <w:instrText xml:space="preserve"> HYPERLINK "http://baike.baidu.com/view/3334515.htm" \t "http://baike.baidu.com/item/%E6%9C%AC%E6%BA%AA/_blank" </w:instrText>
      </w:r>
      <w:r>
        <w:rPr>
          <w:rFonts w:hint="eastAsia" w:hAnsi="宋体"/>
          <w:color w:val="auto"/>
          <w:sz w:val="24"/>
          <w:highlight w:val="none"/>
        </w:rPr>
        <w:fldChar w:fldCharType="separate"/>
      </w:r>
      <w:r>
        <w:rPr>
          <w:rFonts w:hint="eastAsia" w:hAnsi="宋体"/>
          <w:color w:val="auto"/>
          <w:sz w:val="24"/>
          <w:highlight w:val="none"/>
        </w:rPr>
        <w:t>零下</w:t>
      </w:r>
      <w:r>
        <w:rPr>
          <w:rFonts w:hint="eastAsia" w:hAnsi="宋体"/>
          <w:color w:val="auto"/>
          <w:sz w:val="24"/>
          <w:highlight w:val="none"/>
        </w:rPr>
        <w:fldChar w:fldCharType="end"/>
      </w:r>
      <w:r>
        <w:rPr>
          <w:rFonts w:hint="eastAsia" w:hAnsi="宋体"/>
          <w:color w:val="auto"/>
          <w:sz w:val="24"/>
          <w:highlight w:val="none"/>
        </w:rPr>
        <w:t>14.3℃。雨量比较充足，年平均降水量为800-1000毫米，其中一半集中在夏季的七、八月份。综观全年，春天风和日丽，夏季稍热多雨，秋季天高气爽，冬天冰封雪飘。</w:t>
      </w:r>
    </w:p>
    <w:p w14:paraId="04C9E62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hAnsi="宋体"/>
          <w:color w:val="auto"/>
          <w:sz w:val="24"/>
          <w:highlight w:val="none"/>
        </w:rPr>
      </w:pPr>
      <w:r>
        <w:rPr>
          <w:rFonts w:hint="eastAsia" w:hAnsi="宋体"/>
          <w:color w:val="auto"/>
          <w:sz w:val="24"/>
          <w:highlight w:val="none"/>
        </w:rPr>
        <w:t>溪湖区属大陆性气候，受西伯利亚和蒙古冷空气的影响，寒暑变化剧烈，四季分明。一月份平均气温为零下12℃，七月份平均气温为24.3℃，冬季最低温度零下32.3℃，</w:t>
      </w:r>
      <w:r>
        <w:rPr>
          <w:rFonts w:hint="eastAsia" w:hAnsi="宋体"/>
          <w:color w:val="auto"/>
          <w:sz w:val="24"/>
          <w:highlight w:val="none"/>
          <w:lang w:eastAsia="zh-CN"/>
        </w:rPr>
        <w:t>夏季最高气温</w:t>
      </w:r>
      <w:r>
        <w:rPr>
          <w:rFonts w:hint="eastAsia" w:hAnsi="宋体"/>
          <w:color w:val="auto"/>
          <w:sz w:val="24"/>
          <w:highlight w:val="none"/>
        </w:rPr>
        <w:t>37.2℃</w:t>
      </w:r>
      <w:r>
        <w:rPr>
          <w:rFonts w:hint="eastAsia" w:hAnsi="宋体"/>
          <w:color w:val="auto"/>
          <w:sz w:val="24"/>
          <w:highlight w:val="none"/>
          <w:lang w:eastAsia="zh-CN"/>
        </w:rPr>
        <w:t>，</w:t>
      </w:r>
      <w:r>
        <w:rPr>
          <w:rFonts w:hint="eastAsia" w:hAnsi="宋体"/>
          <w:color w:val="auto"/>
          <w:sz w:val="24"/>
          <w:highlight w:val="none"/>
        </w:rPr>
        <w:t>全年平均气温为7.8℃。全年无霜期平均为156天，冰冻期5个月左右，年平均降雨量为793.7毫米，降雨最多集中的七、八两个月。全年日照时数平均2400小时，日照时间占可照时间的50-55%。平均活动积温为3200℃，月平均温度9℃，积雪最深25厘米左右，年平均蒸发量1600毫米，全年以东风、南风、西南风为多，主导风向为西南风，平均风速为2.8米/秒，最大风速为21米/秒，四月份最大平均风速为3.7米/秒，八月份为少风季节。</w:t>
      </w:r>
    </w:p>
    <w:p w14:paraId="0461E27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both"/>
        <w:textAlignment w:val="auto"/>
        <w:outlineLvl w:val="9"/>
        <w:rPr>
          <w:rFonts w:hint="eastAsia" w:ascii="Times New Roman" w:hAnsi="Times New Roman" w:eastAsia="宋体" w:cs="Times New Roman"/>
          <w:b/>
          <w:bCs/>
          <w:color w:val="auto"/>
          <w:sz w:val="24"/>
          <w:szCs w:val="24"/>
          <w:highlight w:val="none"/>
          <w:lang w:eastAsia="zh-CN"/>
        </w:rPr>
      </w:pPr>
      <w:r>
        <w:rPr>
          <w:rFonts w:hint="default" w:ascii="Times New Roman" w:hAnsi="Times New Roman" w:cs="Times New Roman"/>
          <w:b/>
          <w:bCs/>
          <w:color w:val="auto"/>
          <w:sz w:val="24"/>
          <w:szCs w:val="24"/>
          <w:highlight w:val="none"/>
        </w:rPr>
        <w:t>4水文</w:t>
      </w:r>
      <w:r>
        <w:rPr>
          <w:rFonts w:hint="eastAsia" w:cs="Times New Roman"/>
          <w:b/>
          <w:bCs/>
          <w:color w:val="auto"/>
          <w:sz w:val="24"/>
          <w:szCs w:val="24"/>
          <w:highlight w:val="none"/>
          <w:lang w:eastAsia="zh-CN"/>
        </w:rPr>
        <w:t>状况</w:t>
      </w:r>
    </w:p>
    <w:p w14:paraId="47E491C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hAnsi="宋体"/>
          <w:color w:val="auto"/>
          <w:sz w:val="24"/>
          <w:highlight w:val="none"/>
        </w:rPr>
      </w:pPr>
      <w:r>
        <w:rPr>
          <w:rFonts w:hint="eastAsia" w:hAnsi="宋体"/>
          <w:color w:val="auto"/>
          <w:sz w:val="24"/>
          <w:highlight w:val="none"/>
        </w:rPr>
        <w:t>本溪市水资源丰富，有大小河流200余条，这些河流分属于太子河水系、浑河水系和草河水系。太子河是本溪境内最大河流，源头分南、北两支，北支发源于本溪市新宾县红石砬子山，地理位置为东经122°26′～124°53′，北纬40°29′～41°39′。南支发源于本溪县草帽顶子山，南、北两支在本溪县马城子汇合，自东北向东西南贯穿城区，城区两岸分布着全市90%以上的主要污染源，工业废水、生活污水全部都被太子河所接纳。太子河出本溪市后流入葠窝水库，流经本溪、本溪、鞍山至三岔河与浑河汇合后，经辽河入渤海。太子河全长464km，流域面积13883km</w:t>
      </w:r>
      <w:r>
        <w:rPr>
          <w:rFonts w:hint="eastAsia" w:hAnsi="宋体"/>
          <w:color w:val="auto"/>
          <w:sz w:val="24"/>
          <w:highlight w:val="none"/>
          <w:vertAlign w:val="superscript"/>
        </w:rPr>
        <w:t>2</w:t>
      </w:r>
      <w:r>
        <w:rPr>
          <w:rFonts w:hint="eastAsia" w:hAnsi="宋体"/>
          <w:color w:val="auto"/>
          <w:sz w:val="24"/>
          <w:highlight w:val="none"/>
        </w:rPr>
        <w:t>，流经本溪市的河段长27.6km。据本溪市水文站近年观测资料，太子河最大流量为3250m</w:t>
      </w:r>
      <w:r>
        <w:rPr>
          <w:rFonts w:hint="eastAsia" w:hAnsi="宋体"/>
          <w:color w:val="auto"/>
          <w:sz w:val="24"/>
          <w:highlight w:val="none"/>
          <w:vertAlign w:val="superscript"/>
        </w:rPr>
        <w:t>3</w:t>
      </w:r>
      <w:r>
        <w:rPr>
          <w:rFonts w:hint="eastAsia" w:hAnsi="宋体"/>
          <w:color w:val="auto"/>
          <w:sz w:val="24"/>
          <w:highlight w:val="none"/>
        </w:rPr>
        <w:t>/s，最小流量为1.25m</w:t>
      </w:r>
      <w:r>
        <w:rPr>
          <w:rFonts w:hint="eastAsia" w:hAnsi="宋体"/>
          <w:color w:val="auto"/>
          <w:sz w:val="24"/>
          <w:highlight w:val="none"/>
          <w:vertAlign w:val="superscript"/>
        </w:rPr>
        <w:t>3</w:t>
      </w:r>
      <w:r>
        <w:rPr>
          <w:rFonts w:hint="eastAsia" w:hAnsi="宋体"/>
          <w:color w:val="auto"/>
          <w:sz w:val="24"/>
          <w:highlight w:val="none"/>
        </w:rPr>
        <w:t>/s，年平均流量58.98m</w:t>
      </w:r>
      <w:r>
        <w:rPr>
          <w:rFonts w:hint="eastAsia" w:hAnsi="宋体"/>
          <w:color w:val="auto"/>
          <w:sz w:val="24"/>
          <w:highlight w:val="none"/>
          <w:vertAlign w:val="superscript"/>
        </w:rPr>
        <w:t>3</w:t>
      </w:r>
      <w:r>
        <w:rPr>
          <w:rFonts w:hint="eastAsia" w:hAnsi="宋体"/>
          <w:color w:val="auto"/>
          <w:sz w:val="24"/>
          <w:highlight w:val="none"/>
        </w:rPr>
        <w:t>/s。</w:t>
      </w:r>
    </w:p>
    <w:p w14:paraId="65E2C08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hAnsi="宋体"/>
          <w:color w:val="auto"/>
          <w:sz w:val="24"/>
          <w:highlight w:val="none"/>
        </w:rPr>
      </w:pPr>
      <w:r>
        <w:rPr>
          <w:rFonts w:hint="eastAsia" w:hAnsi="宋体"/>
          <w:color w:val="auto"/>
          <w:sz w:val="24"/>
          <w:highlight w:val="none"/>
        </w:rPr>
        <w:t>溪湖地区有3个较大河流，均属太子河水洗，其中北沙河全长16.6公里，系太子河右岸最大支河，发源于抚顺市海浪乡，流经张其寨、歪头山进入沈阳市境内。新兴河10公里，火连寨河14.6公里。辖区内有3座水库，总库容163.98万立方米，地表水储蓄量为0.39亿立方米，地下水储蓄量0.07亿立方米。</w:t>
      </w:r>
    </w:p>
    <w:p w14:paraId="0E4338C6">
      <w:pPr>
        <w:pStyle w:val="31"/>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both"/>
        <w:textAlignment w:val="auto"/>
        <w:outlineLvl w:val="9"/>
        <w:rPr>
          <w:rFonts w:hint="eastAsia" w:eastAsia="仿宋_GB2312"/>
          <w:color w:val="auto"/>
          <w:highlight w:val="none"/>
          <w:lang w:val="en-US" w:eastAsia="zh-CN"/>
        </w:rPr>
      </w:pPr>
      <w:r>
        <w:rPr>
          <w:rFonts w:hint="eastAsia" w:hAnsi="宋体"/>
          <w:color w:val="auto"/>
          <w:sz w:val="24"/>
          <w:highlight w:val="none"/>
          <w:lang w:val="en-US" w:eastAsia="zh-CN"/>
        </w:rPr>
        <w:t xml:space="preserve">    </w:t>
      </w:r>
      <w:r>
        <w:rPr>
          <w:rFonts w:hint="eastAsia" w:hAnsi="宋体" w:eastAsia="宋体"/>
          <w:color w:val="auto"/>
          <w:kern w:val="2"/>
          <w:sz w:val="24"/>
          <w:szCs w:val="24"/>
          <w:highlight w:val="none"/>
          <w:lang w:val="en-US" w:eastAsia="zh-CN" w:bidi="ar-SA"/>
        </w:rPr>
        <w:t>距本项目最近地表水体为火连寨河，位于本项目南侧160m，水环境敏感程度为不敏感。</w:t>
      </w:r>
    </w:p>
    <w:p w14:paraId="178C7651">
      <w:pPr>
        <w:keepNext w:val="0"/>
        <w:keepLines w:val="0"/>
        <w:pageBreakBefore w:val="0"/>
        <w:widowControl w:val="0"/>
        <w:tabs>
          <w:tab w:val="left" w:pos="4425"/>
        </w:tabs>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Times New Roman" w:hAnsi="Times New Roman" w:cs="Times New Roman"/>
          <w:b/>
          <w:color w:val="auto"/>
          <w:sz w:val="24"/>
          <w:szCs w:val="24"/>
          <w:highlight w:val="none"/>
          <w:lang w:val="en-US" w:eastAsia="zh-CN"/>
        </w:rPr>
      </w:pPr>
      <w:r>
        <w:rPr>
          <w:rFonts w:hint="eastAsia" w:ascii="Times New Roman" w:hAnsi="Times New Roman" w:cs="Times New Roman"/>
          <w:b/>
          <w:color w:val="auto"/>
          <w:sz w:val="24"/>
          <w:szCs w:val="24"/>
          <w:highlight w:val="none"/>
          <w:lang w:val="en-US" w:eastAsia="zh-CN"/>
        </w:rPr>
        <w:t>5、植被状况</w:t>
      </w:r>
    </w:p>
    <w:p w14:paraId="527006C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hAnsi="宋体"/>
          <w:color w:val="auto"/>
          <w:sz w:val="24"/>
          <w:highlight w:val="none"/>
        </w:rPr>
      </w:pPr>
      <w:r>
        <w:rPr>
          <w:rFonts w:hint="eastAsia" w:hAnsi="宋体"/>
          <w:color w:val="auto"/>
          <w:sz w:val="24"/>
          <w:highlight w:val="none"/>
        </w:rPr>
        <w:t>本溪市林业用地1000万亩（其中有林地面积925万亩），人均6.4亩，是辽宁中部城市群重要的水源涵养林区和辽东天然次生林区。共有乔灌木48科93属349种。用材树种主要有红松、落叶松（其中有日本树种）、蒙古栎、裂叶榆、云杉、冷杉、枫桦、白桦、青杨、赤杨、红柳等高大乔木，并有暴马丁香、</w:t>
      </w:r>
      <w:r>
        <w:rPr>
          <w:rFonts w:hint="eastAsia" w:hAnsi="宋体"/>
          <w:color w:val="auto"/>
          <w:sz w:val="24"/>
          <w:highlight w:val="none"/>
          <w:lang w:eastAsia="zh-CN"/>
        </w:rPr>
        <w:t>刺五加</w:t>
      </w:r>
      <w:r>
        <w:rPr>
          <w:rFonts w:hint="eastAsia" w:hAnsi="宋体"/>
          <w:color w:val="auto"/>
          <w:sz w:val="24"/>
          <w:highlight w:val="none"/>
        </w:rPr>
        <w:t>、野玫瑰、胡榛子等亚乔木和灌木。树种和数量之多均居本溪地区之首。在这些森林植物中，最多的树种是柞树；最古老稀有的树种是被称为活化石的东北红杉（亦称紫杉）；稀有珍贵的树种</w:t>
      </w:r>
      <w:r>
        <w:rPr>
          <w:rFonts w:hint="eastAsia" w:hAnsi="宋体"/>
          <w:color w:val="auto"/>
          <w:sz w:val="24"/>
          <w:highlight w:val="none"/>
          <w:lang w:eastAsia="zh-CN"/>
        </w:rPr>
        <w:t>有刺</w:t>
      </w:r>
      <w:r>
        <w:rPr>
          <w:rFonts w:hint="eastAsia" w:hAnsi="宋体"/>
          <w:color w:val="auto"/>
          <w:sz w:val="24"/>
          <w:highlight w:val="none"/>
        </w:rPr>
        <w:t>揪、紫椴、水曲柳、黄菠萝、核桃楸、黄榆、东北剌人参、红丁香、牛皮杜鹃、宽叶杜香等等。形成了树种繁多的林海，丰富的森林资源库。</w:t>
      </w:r>
    </w:p>
    <w:p w14:paraId="446E575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hAnsi="宋体"/>
          <w:color w:val="auto"/>
          <w:sz w:val="24"/>
          <w:highlight w:val="none"/>
          <w:lang w:eastAsia="zh-CN"/>
        </w:rPr>
      </w:pPr>
      <w:r>
        <w:rPr>
          <w:rFonts w:hint="eastAsia" w:hAnsi="宋体"/>
          <w:color w:val="auto"/>
          <w:sz w:val="24"/>
          <w:highlight w:val="none"/>
          <w:lang w:eastAsia="zh-CN"/>
        </w:rPr>
        <w:t>本项目位于</w:t>
      </w:r>
      <w:r>
        <w:rPr>
          <w:rFonts w:hint="eastAsia"/>
          <w:color w:val="auto"/>
          <w:sz w:val="24"/>
          <w:szCs w:val="24"/>
          <w:highlight w:val="none"/>
          <w:lang w:eastAsia="zh-CN"/>
        </w:rPr>
        <w:t>本溪市溪湖区溪湖东路1栋1号</w:t>
      </w:r>
      <w:r>
        <w:rPr>
          <w:rFonts w:hint="eastAsia" w:hAnsi="宋体"/>
          <w:color w:val="auto"/>
          <w:sz w:val="24"/>
          <w:highlight w:val="none"/>
          <w:lang w:eastAsia="zh-CN"/>
        </w:rPr>
        <w:t>，周边无受保护的野生动植物。</w:t>
      </w:r>
    </w:p>
    <w:p w14:paraId="1394A7B9">
      <w:pPr>
        <w:pStyle w:val="31"/>
        <w:rPr>
          <w:rFonts w:hint="eastAsia" w:cs="Times New Roman"/>
          <w:color w:val="auto"/>
          <w:sz w:val="24"/>
          <w:szCs w:val="24"/>
          <w:highlight w:val="none"/>
          <w:lang w:val="en-US" w:eastAsia="zh-CN"/>
        </w:rPr>
      </w:pPr>
    </w:p>
    <w:p w14:paraId="1FCB40BF">
      <w:pPr>
        <w:pStyle w:val="31"/>
        <w:rPr>
          <w:rFonts w:hint="eastAsia" w:cs="Times New Roman"/>
          <w:color w:val="auto"/>
          <w:sz w:val="24"/>
          <w:szCs w:val="24"/>
          <w:highlight w:val="none"/>
          <w:lang w:val="en-US" w:eastAsia="zh-CN"/>
        </w:rPr>
      </w:pPr>
    </w:p>
    <w:p w14:paraId="27CC728C">
      <w:pPr>
        <w:pStyle w:val="31"/>
        <w:rPr>
          <w:rFonts w:hint="eastAsia" w:cs="Times New Roman"/>
          <w:color w:val="auto"/>
          <w:sz w:val="24"/>
          <w:szCs w:val="24"/>
          <w:highlight w:val="none"/>
          <w:lang w:val="en-US" w:eastAsia="zh-CN"/>
        </w:rPr>
      </w:pPr>
    </w:p>
    <w:p w14:paraId="34F60843">
      <w:pPr>
        <w:pStyle w:val="31"/>
        <w:rPr>
          <w:rFonts w:hint="eastAsia" w:cs="Times New Roman"/>
          <w:color w:val="auto"/>
          <w:sz w:val="24"/>
          <w:szCs w:val="24"/>
          <w:highlight w:val="none"/>
          <w:lang w:val="en-US" w:eastAsia="zh-CN"/>
        </w:rPr>
      </w:pPr>
    </w:p>
    <w:p w14:paraId="631AAEF1">
      <w:pPr>
        <w:pStyle w:val="31"/>
        <w:rPr>
          <w:rFonts w:hint="eastAsia" w:cs="Times New Roman"/>
          <w:color w:val="auto"/>
          <w:sz w:val="24"/>
          <w:szCs w:val="24"/>
          <w:highlight w:val="none"/>
          <w:lang w:val="en-US" w:eastAsia="zh-CN"/>
        </w:rPr>
        <w:sectPr>
          <w:pgSz w:w="11906" w:h="16838"/>
          <w:pgMar w:top="1418" w:right="1418" w:bottom="1559" w:left="1418" w:header="907" w:footer="907" w:gutter="0"/>
          <w:pgBorders w:display="notFirstPage">
            <w:top w:val="single" w:color="auto" w:sz="4" w:space="4"/>
            <w:left w:val="single" w:color="auto" w:sz="4" w:space="10"/>
            <w:bottom w:val="single" w:color="auto" w:sz="4" w:space="4"/>
            <w:right w:val="single" w:color="auto" w:sz="4" w:space="10"/>
          </w:pgBorders>
          <w:pgNumType w:fmt="decimal"/>
          <w:cols w:space="720" w:num="1"/>
          <w:docGrid w:type="lines" w:linePitch="312" w:charSpace="0"/>
        </w:sectPr>
      </w:pPr>
    </w:p>
    <w:p w14:paraId="29EA60F8">
      <w:pPr>
        <w:pStyle w:val="3"/>
        <w:numPr>
          <w:ilvl w:val="0"/>
          <w:numId w:val="0"/>
        </w:numPr>
        <w:adjustRightInd w:val="0"/>
        <w:snapToGrid w:val="0"/>
        <w:spacing w:before="0" w:after="0" w:line="240" w:lineRule="auto"/>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环境质量状况</w:t>
      </w:r>
    </w:p>
    <w:p w14:paraId="014165C2">
      <w:pPr>
        <w:pStyle w:val="14"/>
        <w:spacing w:line="360" w:lineRule="auto"/>
        <w:ind w:right="102"/>
        <w:jc w:val="left"/>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highlight w:val="none"/>
        </w:rPr>
        <mc:AlternateContent>
          <mc:Choice Requires="wps">
            <w:drawing>
              <wp:anchor distT="0" distB="0" distL="114300" distR="114300" simplePos="0" relativeHeight="251684864" behindDoc="1" locked="0" layoutInCell="1" allowOverlap="1">
                <wp:simplePos x="0" y="0"/>
                <wp:positionH relativeFrom="column">
                  <wp:posOffset>-134620</wp:posOffset>
                </wp:positionH>
                <wp:positionV relativeFrom="paragraph">
                  <wp:posOffset>21590</wp:posOffset>
                </wp:positionV>
                <wp:extent cx="6042660" cy="8623935"/>
                <wp:effectExtent l="5080" t="5080" r="10160" b="19685"/>
                <wp:wrapNone/>
                <wp:docPr id="7" name="矩形 7"/>
                <wp:cNvGraphicFramePr/>
                <a:graphic xmlns:a="http://schemas.openxmlformats.org/drawingml/2006/main">
                  <a:graphicData uri="http://schemas.microsoft.com/office/word/2010/wordprocessingShape">
                    <wps:wsp>
                      <wps:cNvSpPr/>
                      <wps:spPr>
                        <a:xfrm>
                          <a:off x="0" y="0"/>
                          <a:ext cx="6042660" cy="8623935"/>
                        </a:xfrm>
                        <a:prstGeom prst="rect">
                          <a:avLst/>
                        </a:prstGeom>
                        <a:noFill/>
                        <a:ln w="9525" cap="flat" cmpd="sng">
                          <a:solidFill>
                            <a:srgbClr val="000000"/>
                          </a:solidFill>
                          <a:prstDash val="solid"/>
                          <a:miter/>
                          <a:headEnd type="none" w="med" len="med"/>
                          <a:tailEnd type="none" w="med" len="med"/>
                        </a:ln>
                      </wps:spPr>
                      <wps:txbx>
                        <w:txbxContent>
                          <w:p w14:paraId="3DE2C133">
                            <w:pPr>
                              <w:jc w:val="center"/>
                            </w:pPr>
                          </w:p>
                        </w:txbxContent>
                      </wps:txbx>
                      <wps:bodyPr upright="1"/>
                    </wps:wsp>
                  </a:graphicData>
                </a:graphic>
              </wp:anchor>
            </w:drawing>
          </mc:Choice>
          <mc:Fallback>
            <w:pict>
              <v:rect id="_x0000_s1026" o:spid="_x0000_s1026" o:spt="1" style="position:absolute;left:0pt;margin-left:-10.6pt;margin-top:1.7pt;height:679.05pt;width:475.8pt;z-index:-251631616;mso-width-relative:page;mso-height-relative:page;" filled="f" stroked="t" coordsize="21600,21600" o:gfxdata="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oo9bNgAAAAKAQAADwAAAAAAAAABACAAAAAiAAAAZHJzL2Rvd25y&#10;ZXYueG1sUEsBAhQAFAAAAAgAh07iQAp6H9L+AQAAAQQAAA4AAAAAAAAAAQAgAAAAJwEAAGRycy9l&#10;Mm9Eb2MueG1sUEsFBgAAAAAGAAYAWQEAAJcFAAAAAA==&#10;">
                <v:fill on="f" focussize="0,0"/>
                <v:stroke color="#000000" joinstyle="miter"/>
                <v:imagedata o:title=""/>
                <o:lock v:ext="edit" aspectratio="f"/>
                <v:textbox>
                  <w:txbxContent>
                    <w:p w14:paraId="3DE2C133">
                      <w:pPr>
                        <w:jc w:val="center"/>
                      </w:pPr>
                    </w:p>
                  </w:txbxContent>
                </v:textbox>
              </v:rect>
            </w:pict>
          </mc:Fallback>
        </mc:AlternateContent>
      </w:r>
      <w:r>
        <w:rPr>
          <w:rFonts w:hint="default" w:ascii="Times New Roman" w:hAnsi="Times New Roman" w:cs="Times New Roman"/>
          <w:color w:val="auto"/>
          <w:sz w:val="24"/>
          <w:szCs w:val="24"/>
          <w:highlight w:val="none"/>
        </w:rPr>
        <w:t>建设项目所在地区域环境质量现状及主要环境问题（环境空气、地面水、地下水、声环境、生态环境等）</w:t>
      </w:r>
    </w:p>
    <w:p w14:paraId="7728D21B">
      <w:pPr>
        <w:pStyle w:val="14"/>
        <w:spacing w:line="360" w:lineRule="auto"/>
        <w:ind w:left="551" w:right="102" w:hanging="551"/>
        <w:jc w:val="left"/>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1项目区域环境空气质量现状</w:t>
      </w:r>
    </w:p>
    <w:p w14:paraId="50A6E6D2">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1.1区域达标判断</w:t>
      </w:r>
    </w:p>
    <w:p w14:paraId="1E06FB6B">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80" w:firstLineChars="200"/>
        <w:textAlignment w:val="auto"/>
        <w:outlineLvl w:val="9"/>
        <w:rPr>
          <w:rFonts w:hint="eastAsia" w:ascii="Times New Roman"/>
          <w:color w:val="FF0000"/>
          <w:sz w:val="24"/>
          <w:szCs w:val="24"/>
          <w:highlight w:val="none"/>
          <w:lang w:val="en-US" w:eastAsia="zh-CN"/>
        </w:rPr>
      </w:pPr>
      <w:r>
        <w:rPr>
          <w:rFonts w:hint="eastAsia"/>
          <w:color w:val="FF0000"/>
          <w:sz w:val="24"/>
          <w:highlight w:val="none"/>
          <w:lang w:eastAsia="zh-CN"/>
        </w:rPr>
        <w:t>根据本溪市环境质量监测中心站编制的《本溪市环境质量简报（</w:t>
      </w:r>
      <w:r>
        <w:rPr>
          <w:rFonts w:hint="eastAsia"/>
          <w:color w:val="FF0000"/>
          <w:sz w:val="24"/>
          <w:highlight w:val="none"/>
          <w:lang w:val="en-US" w:eastAsia="zh-CN"/>
        </w:rPr>
        <w:t>2020年度</w:t>
      </w:r>
      <w:r>
        <w:rPr>
          <w:rFonts w:hint="eastAsia"/>
          <w:color w:val="FF0000"/>
          <w:sz w:val="24"/>
          <w:highlight w:val="none"/>
          <w:lang w:eastAsia="zh-CN"/>
        </w:rPr>
        <w:t>）》，</w:t>
      </w:r>
      <w:r>
        <w:rPr>
          <w:rFonts w:hint="eastAsia" w:ascii="Times New Roman"/>
          <w:color w:val="FF0000"/>
          <w:sz w:val="24"/>
          <w:szCs w:val="24"/>
          <w:highlight w:val="none"/>
          <w:lang w:val="en-US" w:eastAsia="zh-CN"/>
        </w:rPr>
        <w:t>20</w:t>
      </w:r>
      <w:r>
        <w:rPr>
          <w:rFonts w:hint="eastAsia"/>
          <w:color w:val="FF0000"/>
          <w:sz w:val="24"/>
          <w:szCs w:val="24"/>
          <w:highlight w:val="none"/>
          <w:lang w:val="en-US" w:eastAsia="zh-CN"/>
        </w:rPr>
        <w:t>20</w:t>
      </w:r>
      <w:r>
        <w:rPr>
          <w:rFonts w:hint="eastAsia" w:ascii="Times New Roman"/>
          <w:color w:val="FF0000"/>
          <w:sz w:val="24"/>
          <w:szCs w:val="24"/>
          <w:highlight w:val="none"/>
          <w:lang w:val="en-US" w:eastAsia="zh-CN"/>
        </w:rPr>
        <w:t>年度本溪市环境空气基本污染物年均值浓度如下所示：</w:t>
      </w:r>
    </w:p>
    <w:p w14:paraId="681F9BA2">
      <w:pPr>
        <w:pStyle w:val="31"/>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Times New Roman" w:hAnsi="Times New Roman" w:eastAsia="宋体" w:cs="Times New Roman"/>
          <w:color w:val="FF0000"/>
          <w:kern w:val="2"/>
          <w:sz w:val="24"/>
          <w:szCs w:val="21"/>
          <w:highlight w:val="none"/>
          <w:lang w:val="en-US" w:eastAsia="zh-CN" w:bidi="ar-SA"/>
        </w:rPr>
      </w:pPr>
      <w:r>
        <w:rPr>
          <w:rFonts w:hint="eastAsia" w:ascii="Times New Roman" w:hAnsi="Times New Roman" w:eastAsia="宋体" w:cs="Times New Roman"/>
          <w:color w:val="FF0000"/>
          <w:kern w:val="2"/>
          <w:sz w:val="24"/>
          <w:szCs w:val="21"/>
          <w:highlight w:val="none"/>
          <w:lang w:val="en-US" w:eastAsia="zh-CN" w:bidi="ar-SA"/>
        </w:rPr>
        <w:t xml:space="preserve">PM </w:t>
      </w:r>
      <w:r>
        <w:rPr>
          <w:rFonts w:hint="eastAsia" w:ascii="Times New Roman" w:hAnsi="Times New Roman" w:eastAsia="宋体" w:cs="Times New Roman"/>
          <w:color w:val="FF0000"/>
          <w:kern w:val="2"/>
          <w:sz w:val="24"/>
          <w:szCs w:val="21"/>
          <w:highlight w:val="none"/>
          <w:vertAlign w:val="subscript"/>
          <w:lang w:val="en-US" w:eastAsia="zh-CN" w:bidi="ar-SA"/>
        </w:rPr>
        <w:t>2.5</w:t>
      </w:r>
      <w:r>
        <w:rPr>
          <w:rFonts w:hint="eastAsia" w:ascii="Times New Roman" w:hAnsi="Times New Roman" w:eastAsia="宋体" w:cs="Times New Roman"/>
          <w:color w:val="FF0000"/>
          <w:kern w:val="2"/>
          <w:sz w:val="24"/>
          <w:szCs w:val="21"/>
          <w:highlight w:val="none"/>
          <w:lang w:val="en-US" w:eastAsia="zh-CN" w:bidi="ar-SA"/>
        </w:rPr>
        <w:t>年均浓度为3</w:t>
      </w:r>
      <w:r>
        <w:rPr>
          <w:rFonts w:hint="eastAsia" w:eastAsia="宋体" w:cs="Times New Roman"/>
          <w:color w:val="FF0000"/>
          <w:kern w:val="2"/>
          <w:sz w:val="24"/>
          <w:szCs w:val="21"/>
          <w:highlight w:val="none"/>
          <w:lang w:val="en-US" w:eastAsia="zh-CN" w:bidi="ar-SA"/>
        </w:rPr>
        <w:t>5</w:t>
      </w:r>
      <w:r>
        <w:rPr>
          <w:rFonts w:hint="eastAsia" w:ascii="Times New Roman" w:hAnsi="Times New Roman" w:eastAsia="宋体" w:cs="Times New Roman"/>
          <w:color w:val="FF0000"/>
          <w:kern w:val="2"/>
          <w:sz w:val="24"/>
          <w:szCs w:val="21"/>
          <w:highlight w:val="none"/>
          <w:lang w:val="en-US" w:eastAsia="zh-CN" w:bidi="ar-SA"/>
        </w:rPr>
        <w:t>微克/立方米，同比</w:t>
      </w:r>
      <w:r>
        <w:rPr>
          <w:rFonts w:hint="eastAsia" w:eastAsia="宋体" w:cs="Times New Roman"/>
          <w:color w:val="FF0000"/>
          <w:kern w:val="2"/>
          <w:sz w:val="24"/>
          <w:szCs w:val="21"/>
          <w:highlight w:val="none"/>
          <w:lang w:val="en-US" w:eastAsia="zh-CN" w:bidi="ar-SA"/>
        </w:rPr>
        <w:t>下降5.4</w:t>
      </w:r>
      <w:r>
        <w:rPr>
          <w:rFonts w:hint="eastAsia" w:ascii="Times New Roman" w:hAnsi="Times New Roman" w:eastAsia="宋体" w:cs="Times New Roman"/>
          <w:color w:val="FF0000"/>
          <w:kern w:val="2"/>
          <w:sz w:val="24"/>
          <w:szCs w:val="21"/>
          <w:highlight w:val="none"/>
          <w:lang w:val="en-US" w:eastAsia="zh-CN" w:bidi="ar-SA"/>
        </w:rPr>
        <w:t>%；PM</w:t>
      </w:r>
      <w:r>
        <w:rPr>
          <w:rFonts w:hint="eastAsia" w:ascii="Times New Roman" w:hAnsi="Times New Roman" w:eastAsia="宋体" w:cs="Times New Roman"/>
          <w:color w:val="FF0000"/>
          <w:kern w:val="2"/>
          <w:sz w:val="24"/>
          <w:szCs w:val="21"/>
          <w:highlight w:val="none"/>
          <w:vertAlign w:val="subscript"/>
          <w:lang w:val="en-US" w:eastAsia="zh-CN" w:bidi="ar-SA"/>
        </w:rPr>
        <w:t>10</w:t>
      </w:r>
      <w:r>
        <w:rPr>
          <w:rFonts w:hint="eastAsia" w:ascii="Times New Roman" w:hAnsi="Times New Roman" w:eastAsia="宋体" w:cs="Times New Roman"/>
          <w:color w:val="FF0000"/>
          <w:kern w:val="2"/>
          <w:sz w:val="24"/>
          <w:szCs w:val="21"/>
          <w:highlight w:val="none"/>
          <w:lang w:val="en-US" w:eastAsia="zh-CN" w:bidi="ar-SA"/>
        </w:rPr>
        <w:t>年均浓度为6</w:t>
      </w:r>
      <w:r>
        <w:rPr>
          <w:rFonts w:hint="eastAsia" w:eastAsia="宋体" w:cs="Times New Roman"/>
          <w:color w:val="FF0000"/>
          <w:kern w:val="2"/>
          <w:sz w:val="24"/>
          <w:szCs w:val="21"/>
          <w:highlight w:val="none"/>
          <w:lang w:val="en-US" w:eastAsia="zh-CN" w:bidi="ar-SA"/>
        </w:rPr>
        <w:t>4</w:t>
      </w:r>
      <w:r>
        <w:rPr>
          <w:rFonts w:hint="eastAsia" w:ascii="Times New Roman" w:hAnsi="Times New Roman" w:eastAsia="宋体" w:cs="Times New Roman"/>
          <w:color w:val="FF0000"/>
          <w:kern w:val="2"/>
          <w:sz w:val="24"/>
          <w:szCs w:val="21"/>
          <w:highlight w:val="none"/>
          <w:lang w:val="en-US" w:eastAsia="zh-CN" w:bidi="ar-SA"/>
        </w:rPr>
        <w:t>微克/立方米，同比</w:t>
      </w:r>
      <w:r>
        <w:rPr>
          <w:rFonts w:hint="eastAsia" w:eastAsia="宋体" w:cs="Times New Roman"/>
          <w:color w:val="FF0000"/>
          <w:kern w:val="2"/>
          <w:sz w:val="24"/>
          <w:szCs w:val="21"/>
          <w:highlight w:val="none"/>
          <w:lang w:val="en-US" w:eastAsia="zh-CN" w:bidi="ar-SA"/>
        </w:rPr>
        <w:t>下降3.0</w:t>
      </w:r>
      <w:r>
        <w:rPr>
          <w:rFonts w:hint="eastAsia" w:ascii="Times New Roman" w:hAnsi="Times New Roman" w:eastAsia="宋体" w:cs="Times New Roman"/>
          <w:color w:val="FF0000"/>
          <w:kern w:val="2"/>
          <w:sz w:val="24"/>
          <w:szCs w:val="21"/>
          <w:highlight w:val="none"/>
          <w:lang w:val="en-US" w:eastAsia="zh-CN" w:bidi="ar-SA"/>
        </w:rPr>
        <w:t>%；SO</w:t>
      </w:r>
      <w:r>
        <w:rPr>
          <w:rFonts w:hint="eastAsia" w:ascii="Times New Roman" w:hAnsi="Times New Roman" w:eastAsia="宋体" w:cs="Times New Roman"/>
          <w:color w:val="FF0000"/>
          <w:kern w:val="2"/>
          <w:sz w:val="24"/>
          <w:szCs w:val="21"/>
          <w:highlight w:val="none"/>
          <w:vertAlign w:val="subscript"/>
          <w:lang w:val="en-US" w:eastAsia="zh-CN" w:bidi="ar-SA"/>
        </w:rPr>
        <w:t>2</w:t>
      </w:r>
      <w:r>
        <w:rPr>
          <w:rFonts w:hint="eastAsia" w:ascii="Times New Roman" w:hAnsi="Times New Roman" w:eastAsia="宋体" w:cs="Times New Roman"/>
          <w:color w:val="FF0000"/>
          <w:kern w:val="2"/>
          <w:sz w:val="24"/>
          <w:szCs w:val="21"/>
          <w:highlight w:val="none"/>
          <w:lang w:val="en-US" w:eastAsia="zh-CN" w:bidi="ar-SA"/>
        </w:rPr>
        <w:t>年均浓度为17微克/立方米，同比</w:t>
      </w:r>
      <w:r>
        <w:rPr>
          <w:rFonts w:hint="eastAsia" w:eastAsia="宋体" w:cs="Times New Roman"/>
          <w:color w:val="FF0000"/>
          <w:kern w:val="2"/>
          <w:sz w:val="24"/>
          <w:szCs w:val="21"/>
          <w:highlight w:val="none"/>
          <w:lang w:val="en-US" w:eastAsia="zh-CN" w:bidi="ar-SA"/>
        </w:rPr>
        <w:t>持平</w:t>
      </w:r>
      <w:r>
        <w:rPr>
          <w:rFonts w:hint="eastAsia" w:ascii="Times New Roman" w:hAnsi="Times New Roman" w:eastAsia="宋体" w:cs="Times New Roman"/>
          <w:color w:val="FF0000"/>
          <w:kern w:val="2"/>
          <w:sz w:val="24"/>
          <w:szCs w:val="21"/>
          <w:highlight w:val="none"/>
          <w:lang w:val="en-US" w:eastAsia="zh-CN" w:bidi="ar-SA"/>
        </w:rPr>
        <w:t>；NO</w:t>
      </w:r>
      <w:r>
        <w:rPr>
          <w:rFonts w:hint="eastAsia" w:ascii="Times New Roman" w:hAnsi="Times New Roman" w:eastAsia="宋体" w:cs="Times New Roman"/>
          <w:color w:val="FF0000"/>
          <w:kern w:val="2"/>
          <w:sz w:val="24"/>
          <w:szCs w:val="21"/>
          <w:highlight w:val="none"/>
          <w:vertAlign w:val="subscript"/>
          <w:lang w:val="en-US" w:eastAsia="zh-CN" w:bidi="ar-SA"/>
        </w:rPr>
        <w:t>2</w:t>
      </w:r>
      <w:r>
        <w:rPr>
          <w:rFonts w:hint="eastAsia" w:ascii="Times New Roman" w:hAnsi="Times New Roman" w:eastAsia="宋体" w:cs="Times New Roman"/>
          <w:color w:val="FF0000"/>
          <w:kern w:val="2"/>
          <w:sz w:val="24"/>
          <w:szCs w:val="21"/>
          <w:highlight w:val="none"/>
          <w:lang w:val="en-US" w:eastAsia="zh-CN" w:bidi="ar-SA"/>
        </w:rPr>
        <w:t>年均浓度为</w:t>
      </w:r>
      <w:r>
        <w:rPr>
          <w:rFonts w:hint="eastAsia" w:eastAsia="宋体" w:cs="Times New Roman"/>
          <w:color w:val="FF0000"/>
          <w:kern w:val="2"/>
          <w:sz w:val="24"/>
          <w:szCs w:val="21"/>
          <w:highlight w:val="none"/>
          <w:lang w:val="en-US" w:eastAsia="zh-CN" w:bidi="ar-SA"/>
        </w:rPr>
        <w:t>29</w:t>
      </w:r>
      <w:r>
        <w:rPr>
          <w:rFonts w:hint="eastAsia" w:ascii="Times New Roman" w:hAnsi="Times New Roman" w:eastAsia="宋体" w:cs="Times New Roman"/>
          <w:color w:val="FF0000"/>
          <w:kern w:val="2"/>
          <w:sz w:val="24"/>
          <w:szCs w:val="21"/>
          <w:highlight w:val="none"/>
          <w:lang w:val="en-US" w:eastAsia="zh-CN" w:bidi="ar-SA"/>
        </w:rPr>
        <w:t>微克/立方米，同比</w:t>
      </w:r>
      <w:r>
        <w:rPr>
          <w:rFonts w:hint="eastAsia" w:eastAsia="宋体" w:cs="Times New Roman"/>
          <w:color w:val="FF0000"/>
          <w:kern w:val="2"/>
          <w:sz w:val="24"/>
          <w:szCs w:val="21"/>
          <w:highlight w:val="none"/>
          <w:lang w:val="en-US" w:eastAsia="zh-CN" w:bidi="ar-SA"/>
        </w:rPr>
        <w:t>下降3.3</w:t>
      </w:r>
      <w:r>
        <w:rPr>
          <w:rFonts w:hint="eastAsia" w:ascii="Times New Roman" w:hAnsi="Times New Roman" w:eastAsia="宋体" w:cs="Times New Roman"/>
          <w:color w:val="FF0000"/>
          <w:kern w:val="2"/>
          <w:sz w:val="24"/>
          <w:szCs w:val="21"/>
          <w:highlight w:val="none"/>
          <w:lang w:val="en-US" w:eastAsia="zh-CN" w:bidi="ar-SA"/>
        </w:rPr>
        <w:t>%；CO-95%（日均浓度的第95百分位数）为2.</w:t>
      </w:r>
      <w:r>
        <w:rPr>
          <w:rFonts w:hint="eastAsia" w:eastAsia="宋体" w:cs="Times New Roman"/>
          <w:color w:val="FF0000"/>
          <w:kern w:val="2"/>
          <w:sz w:val="24"/>
          <w:szCs w:val="21"/>
          <w:highlight w:val="none"/>
          <w:lang w:val="en-US" w:eastAsia="zh-CN" w:bidi="ar-SA"/>
        </w:rPr>
        <w:t>0</w:t>
      </w:r>
      <w:r>
        <w:rPr>
          <w:rFonts w:hint="eastAsia" w:ascii="Times New Roman" w:hAnsi="Times New Roman" w:eastAsia="宋体" w:cs="Times New Roman"/>
          <w:color w:val="FF0000"/>
          <w:kern w:val="2"/>
          <w:sz w:val="24"/>
          <w:szCs w:val="21"/>
          <w:highlight w:val="none"/>
          <w:lang w:val="en-US" w:eastAsia="zh-CN" w:bidi="ar-SA"/>
        </w:rPr>
        <w:t>毫克/立方米，同比</w:t>
      </w:r>
      <w:r>
        <w:rPr>
          <w:rFonts w:hint="eastAsia" w:eastAsia="宋体" w:cs="Times New Roman"/>
          <w:color w:val="FF0000"/>
          <w:kern w:val="2"/>
          <w:sz w:val="24"/>
          <w:szCs w:val="21"/>
          <w:highlight w:val="none"/>
          <w:lang w:val="en-US" w:eastAsia="zh-CN" w:bidi="ar-SA"/>
        </w:rPr>
        <w:t>下降4.8</w:t>
      </w:r>
      <w:r>
        <w:rPr>
          <w:rFonts w:hint="eastAsia" w:ascii="Times New Roman" w:hAnsi="Times New Roman" w:eastAsia="宋体" w:cs="Times New Roman"/>
          <w:color w:val="FF0000"/>
          <w:kern w:val="2"/>
          <w:sz w:val="24"/>
          <w:szCs w:val="21"/>
          <w:highlight w:val="none"/>
          <w:lang w:val="en-US" w:eastAsia="zh-CN" w:bidi="ar-SA"/>
        </w:rPr>
        <w:t>%；O</w:t>
      </w:r>
      <w:r>
        <w:rPr>
          <w:rFonts w:hint="eastAsia" w:ascii="Times New Roman" w:hAnsi="Times New Roman" w:eastAsia="宋体" w:cs="Times New Roman"/>
          <w:color w:val="FF0000"/>
          <w:kern w:val="2"/>
          <w:sz w:val="24"/>
          <w:szCs w:val="21"/>
          <w:highlight w:val="none"/>
          <w:vertAlign w:val="subscript"/>
          <w:lang w:val="en-US" w:eastAsia="zh-CN" w:bidi="ar-SA"/>
        </w:rPr>
        <w:t>3</w:t>
      </w:r>
      <w:r>
        <w:rPr>
          <w:rFonts w:hint="eastAsia" w:ascii="Times New Roman" w:hAnsi="Times New Roman" w:eastAsia="宋体" w:cs="Times New Roman"/>
          <w:color w:val="FF0000"/>
          <w:kern w:val="2"/>
          <w:sz w:val="24"/>
          <w:szCs w:val="21"/>
          <w:highlight w:val="none"/>
          <w:lang w:val="en-US" w:eastAsia="zh-CN" w:bidi="ar-SA"/>
        </w:rPr>
        <w:t>-8h-90%（日最大8小时滑动平均浓度的第90百分位数）为13</w:t>
      </w:r>
      <w:r>
        <w:rPr>
          <w:rFonts w:hint="eastAsia" w:eastAsia="宋体" w:cs="Times New Roman"/>
          <w:color w:val="FF0000"/>
          <w:kern w:val="2"/>
          <w:sz w:val="24"/>
          <w:szCs w:val="21"/>
          <w:highlight w:val="none"/>
          <w:lang w:val="en-US" w:eastAsia="zh-CN" w:bidi="ar-SA"/>
        </w:rPr>
        <w:t>1</w:t>
      </w:r>
      <w:r>
        <w:rPr>
          <w:rFonts w:hint="eastAsia" w:ascii="Times New Roman" w:hAnsi="Times New Roman" w:eastAsia="宋体" w:cs="Times New Roman"/>
          <w:color w:val="FF0000"/>
          <w:kern w:val="2"/>
          <w:sz w:val="24"/>
          <w:szCs w:val="21"/>
          <w:highlight w:val="none"/>
          <w:lang w:val="en-US" w:eastAsia="zh-CN" w:bidi="ar-SA"/>
        </w:rPr>
        <w:t>微克/立方米，同比</w:t>
      </w:r>
      <w:r>
        <w:rPr>
          <w:rFonts w:hint="eastAsia" w:eastAsia="宋体" w:cs="Times New Roman"/>
          <w:color w:val="FF0000"/>
          <w:kern w:val="2"/>
          <w:sz w:val="24"/>
          <w:szCs w:val="21"/>
          <w:highlight w:val="none"/>
          <w:lang w:val="en-US" w:eastAsia="zh-CN" w:bidi="ar-SA"/>
        </w:rPr>
        <w:t>下降3.0</w:t>
      </w:r>
      <w:r>
        <w:rPr>
          <w:rFonts w:hint="eastAsia" w:ascii="Times New Roman" w:hAnsi="Times New Roman" w:eastAsia="宋体" w:cs="Times New Roman"/>
          <w:color w:val="FF0000"/>
          <w:kern w:val="2"/>
          <w:sz w:val="24"/>
          <w:szCs w:val="21"/>
          <w:highlight w:val="none"/>
          <w:lang w:val="en-US" w:eastAsia="zh-CN" w:bidi="ar-SA"/>
        </w:rPr>
        <w:t>%。</w:t>
      </w:r>
    </w:p>
    <w:p w14:paraId="19EA1345">
      <w:pPr>
        <w:pStyle w:val="31"/>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color w:val="FF0000"/>
          <w:sz w:val="24"/>
          <w:szCs w:val="24"/>
          <w:highlight w:val="none"/>
        </w:rPr>
      </w:pPr>
      <w:r>
        <w:rPr>
          <w:rFonts w:hint="eastAsia" w:ascii="Times New Roman" w:eastAsia="宋体"/>
          <w:color w:val="FF0000"/>
          <w:kern w:val="2"/>
          <w:sz w:val="24"/>
          <w:szCs w:val="24"/>
          <w:highlight w:val="none"/>
          <w:lang w:val="en-US" w:eastAsia="zh-CN" w:bidi="ar-SA"/>
        </w:rPr>
        <w:t>由此可见</w:t>
      </w:r>
      <w:r>
        <w:rPr>
          <w:rFonts w:hint="eastAsia" w:ascii="Times New Roman" w:hAnsi="Times New Roman" w:eastAsia="宋体" w:cs="Times New Roman"/>
          <w:color w:val="FF0000"/>
          <w:kern w:val="2"/>
          <w:sz w:val="24"/>
          <w:szCs w:val="21"/>
          <w:highlight w:val="none"/>
          <w:lang w:val="en-US" w:eastAsia="zh-CN" w:bidi="ar-SA"/>
        </w:rPr>
        <w:t>6项</w:t>
      </w:r>
      <w:r>
        <w:rPr>
          <w:rFonts w:hint="eastAsia" w:eastAsia="宋体" w:cs="Times New Roman"/>
          <w:color w:val="FF0000"/>
          <w:kern w:val="2"/>
          <w:sz w:val="24"/>
          <w:szCs w:val="21"/>
          <w:highlight w:val="none"/>
          <w:lang w:val="en-US" w:eastAsia="zh-CN" w:bidi="ar-SA"/>
        </w:rPr>
        <w:t>基本</w:t>
      </w:r>
      <w:r>
        <w:rPr>
          <w:rFonts w:hint="eastAsia" w:ascii="Times New Roman" w:hAnsi="Times New Roman" w:eastAsia="宋体" w:cs="Times New Roman"/>
          <w:color w:val="FF0000"/>
          <w:kern w:val="2"/>
          <w:sz w:val="24"/>
          <w:szCs w:val="21"/>
          <w:highlight w:val="none"/>
          <w:lang w:val="en-US" w:eastAsia="zh-CN" w:bidi="ar-SA"/>
        </w:rPr>
        <w:t>污染物年均</w:t>
      </w:r>
      <w:r>
        <w:rPr>
          <w:rFonts w:hint="eastAsia" w:eastAsia="宋体" w:cs="Times New Roman"/>
          <w:color w:val="FF0000"/>
          <w:kern w:val="2"/>
          <w:sz w:val="24"/>
          <w:szCs w:val="21"/>
          <w:highlight w:val="none"/>
          <w:lang w:val="en-US" w:eastAsia="zh-CN" w:bidi="ar-SA"/>
        </w:rPr>
        <w:t>浓度均</w:t>
      </w:r>
      <w:r>
        <w:rPr>
          <w:rFonts w:hint="eastAsia" w:ascii="Times New Roman" w:hAnsi="Times New Roman" w:eastAsia="宋体" w:cs="Times New Roman"/>
          <w:color w:val="FF0000"/>
          <w:kern w:val="2"/>
          <w:sz w:val="24"/>
          <w:szCs w:val="21"/>
          <w:highlight w:val="none"/>
          <w:lang w:val="en-US" w:eastAsia="zh-CN" w:bidi="ar-SA"/>
        </w:rPr>
        <w:t>达标</w:t>
      </w:r>
      <w:r>
        <w:rPr>
          <w:rFonts w:hint="eastAsia" w:ascii="Times New Roman" w:eastAsia="宋体"/>
          <w:color w:val="FF0000"/>
          <w:kern w:val="2"/>
          <w:sz w:val="24"/>
          <w:szCs w:val="24"/>
          <w:highlight w:val="none"/>
          <w:lang w:val="en-US" w:eastAsia="zh-CN" w:bidi="ar-SA"/>
        </w:rPr>
        <w:t>，项目所在评价区域为达标区。</w:t>
      </w:r>
    </w:p>
    <w:p w14:paraId="67AA7075">
      <w:pPr>
        <w:pStyle w:val="31"/>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color w:val="auto"/>
          <w:sz w:val="24"/>
          <w:szCs w:val="24"/>
          <w:highlight w:val="none"/>
          <w:lang w:val="en-US" w:eastAsia="zh-CN"/>
        </w:rPr>
      </w:pPr>
      <w:r>
        <w:rPr>
          <w:rFonts w:hint="eastAsia" w:ascii="Times New Roman"/>
          <w:color w:val="auto"/>
          <w:sz w:val="24"/>
          <w:szCs w:val="24"/>
          <w:highlight w:val="none"/>
          <w:lang w:val="en-US" w:eastAsia="zh-CN"/>
        </w:rPr>
        <w:t>1.2</w:t>
      </w:r>
      <w:r>
        <w:rPr>
          <w:rFonts w:hint="eastAsia" w:ascii="宋体" w:hAnsi="宋体" w:eastAsia="宋体" w:cs="宋体"/>
          <w:color w:val="auto"/>
          <w:kern w:val="2"/>
          <w:sz w:val="24"/>
          <w:szCs w:val="24"/>
          <w:highlight w:val="none"/>
          <w:lang w:val="en-US" w:eastAsia="zh-CN" w:bidi="ar-SA"/>
        </w:rPr>
        <w:t>补充监测</w:t>
      </w:r>
    </w:p>
    <w:p w14:paraId="28AB65A4">
      <w:pPr>
        <w:pStyle w:val="31"/>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本项目对NH</w:t>
      </w:r>
      <w:r>
        <w:rPr>
          <w:rFonts w:hint="default" w:ascii="Times New Roman" w:hAnsi="Times New Roman" w:eastAsia="宋体" w:cs="Times New Roman"/>
          <w:color w:val="auto"/>
          <w:sz w:val="24"/>
          <w:szCs w:val="24"/>
          <w:highlight w:val="none"/>
          <w:vertAlign w:val="subscript"/>
          <w:lang w:val="en-US" w:eastAsia="zh-CN"/>
        </w:rPr>
        <w:t>3</w:t>
      </w:r>
      <w:r>
        <w:rPr>
          <w:rFonts w:hint="default" w:ascii="Times New Roman" w:hAnsi="Times New Roman" w:eastAsia="宋体" w:cs="Times New Roman"/>
          <w:color w:val="auto"/>
          <w:sz w:val="24"/>
          <w:szCs w:val="24"/>
          <w:highlight w:val="none"/>
          <w:lang w:val="en-US" w:eastAsia="zh-CN"/>
        </w:rPr>
        <w:t>、H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S进行了现状监测，监测单位为</w:t>
      </w:r>
      <w:r>
        <w:rPr>
          <w:rFonts w:hint="default" w:ascii="Times New Roman" w:hAnsi="Times New Roman" w:eastAsia="宋体" w:cs="Times New Roman"/>
          <w:color w:val="auto"/>
          <w:sz w:val="24"/>
          <w:szCs w:val="24"/>
          <w:highlight w:val="none"/>
          <w:lang w:eastAsia="zh-CN"/>
        </w:rPr>
        <w:t>沈阳市中正检测技术有限公司</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沈阳市中正检测技术有限公司</w:t>
      </w:r>
      <w:r>
        <w:rPr>
          <w:rFonts w:hint="default" w:ascii="Times New Roman" w:hAnsi="Times New Roman" w:eastAsia="宋体" w:cs="Times New Roman"/>
          <w:color w:val="auto"/>
          <w:sz w:val="24"/>
          <w:highlight w:val="none"/>
        </w:rPr>
        <w:t>于20</w:t>
      </w:r>
      <w:r>
        <w:rPr>
          <w:rFonts w:hint="default" w:ascii="Times New Roman" w:hAnsi="Times New Roman" w:eastAsia="宋体" w:cs="Times New Roman"/>
          <w:color w:val="auto"/>
          <w:sz w:val="24"/>
          <w:highlight w:val="none"/>
          <w:lang w:val="en-US" w:eastAsia="zh-CN"/>
        </w:rPr>
        <w:t>20</w:t>
      </w:r>
      <w:r>
        <w:rPr>
          <w:rFonts w:hint="default" w:ascii="Times New Roman" w:hAnsi="Times New Roman" w:eastAsia="宋体" w:cs="Times New Roman"/>
          <w:color w:val="auto"/>
          <w:sz w:val="24"/>
          <w:highlight w:val="none"/>
        </w:rPr>
        <w:t>年</w:t>
      </w:r>
      <w:r>
        <w:rPr>
          <w:rFonts w:hint="default" w:ascii="Times New Roman" w:hAnsi="Times New Roman" w:eastAsia="宋体" w:cs="Times New Roman"/>
          <w:color w:val="auto"/>
          <w:sz w:val="24"/>
          <w:highlight w:val="none"/>
          <w:lang w:val="en-US" w:eastAsia="zh-CN"/>
        </w:rPr>
        <w:t>11</w:t>
      </w:r>
      <w:r>
        <w:rPr>
          <w:rFonts w:hint="default" w:ascii="Times New Roman" w:hAnsi="Times New Roman" w:eastAsia="宋体" w:cs="Times New Roman"/>
          <w:color w:val="auto"/>
          <w:sz w:val="24"/>
          <w:highlight w:val="none"/>
        </w:rPr>
        <w:t>月</w:t>
      </w:r>
      <w:r>
        <w:rPr>
          <w:rFonts w:hint="default" w:ascii="Times New Roman" w:hAnsi="Times New Roman" w:eastAsia="宋体" w:cs="Times New Roman"/>
          <w:color w:val="auto"/>
          <w:sz w:val="24"/>
          <w:highlight w:val="none"/>
          <w:lang w:val="en-US" w:eastAsia="zh-CN"/>
        </w:rPr>
        <w:t>22</w:t>
      </w:r>
      <w:r>
        <w:rPr>
          <w:rFonts w:hint="default" w:ascii="Times New Roman" w:hAnsi="Times New Roman" w:eastAsia="宋体" w:cs="Times New Roman"/>
          <w:color w:val="auto"/>
          <w:sz w:val="24"/>
          <w:highlight w:val="none"/>
        </w:rPr>
        <w:t>日-</w:t>
      </w:r>
      <w:r>
        <w:rPr>
          <w:rFonts w:hint="default" w:ascii="Times New Roman" w:hAnsi="Times New Roman" w:eastAsia="宋体" w:cs="Times New Roman"/>
          <w:color w:val="auto"/>
          <w:sz w:val="24"/>
          <w:highlight w:val="none"/>
          <w:lang w:val="en-US" w:eastAsia="zh-CN"/>
        </w:rPr>
        <w:t>11</w:t>
      </w:r>
      <w:r>
        <w:rPr>
          <w:rFonts w:hint="default" w:ascii="Times New Roman" w:hAnsi="Times New Roman" w:eastAsia="宋体" w:cs="Times New Roman"/>
          <w:color w:val="auto"/>
          <w:sz w:val="24"/>
          <w:highlight w:val="none"/>
        </w:rPr>
        <w:t>月</w:t>
      </w:r>
      <w:r>
        <w:rPr>
          <w:rFonts w:hint="default" w:ascii="Times New Roman" w:hAnsi="Times New Roman" w:eastAsia="宋体" w:cs="Times New Roman"/>
          <w:color w:val="auto"/>
          <w:sz w:val="24"/>
          <w:highlight w:val="none"/>
          <w:lang w:val="en-US" w:eastAsia="zh-CN"/>
        </w:rPr>
        <w:t>28</w:t>
      </w:r>
      <w:r>
        <w:rPr>
          <w:rFonts w:hint="default" w:ascii="Times New Roman" w:hAnsi="Times New Roman" w:eastAsia="宋体" w:cs="Times New Roman"/>
          <w:color w:val="auto"/>
          <w:sz w:val="24"/>
          <w:highlight w:val="none"/>
        </w:rPr>
        <w:t>日对</w:t>
      </w:r>
      <w:r>
        <w:rPr>
          <w:rFonts w:hint="default" w:ascii="Times New Roman" w:hAnsi="Times New Roman" w:eastAsia="宋体" w:cs="Times New Roman"/>
          <w:color w:val="auto"/>
          <w:sz w:val="24"/>
          <w:highlight w:val="none"/>
          <w:lang w:eastAsia="zh-CN"/>
        </w:rPr>
        <w:t>项目所在区域</w:t>
      </w:r>
      <w:r>
        <w:rPr>
          <w:rFonts w:hint="default" w:ascii="Times New Roman" w:hAnsi="Times New Roman" w:eastAsia="宋体" w:cs="Times New Roman"/>
          <w:color w:val="auto"/>
          <w:sz w:val="24"/>
          <w:highlight w:val="none"/>
        </w:rPr>
        <w:t>进行了连续7天监测</w:t>
      </w:r>
      <w:r>
        <w:rPr>
          <w:rFonts w:hint="default" w:ascii="Times New Roman" w:hAnsi="Times New Roman" w:eastAsia="宋体" w:cs="Times New Roman"/>
          <w:color w:val="auto"/>
          <w:sz w:val="24"/>
          <w:highlight w:val="none"/>
          <w:lang w:eastAsia="zh-CN"/>
        </w:rPr>
        <w:t>的现状监测</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eastAsia="zh-CN"/>
        </w:rPr>
        <w:t>每天监测</w:t>
      </w:r>
      <w:r>
        <w:rPr>
          <w:rFonts w:hint="default" w:ascii="Times New Roman" w:hAnsi="Times New Roman" w:eastAsia="宋体" w:cs="Times New Roman"/>
          <w:color w:val="auto"/>
          <w:sz w:val="24"/>
          <w:highlight w:val="none"/>
          <w:lang w:val="en-US" w:eastAsia="zh-CN"/>
        </w:rPr>
        <w:t>4次，</w:t>
      </w:r>
      <w:r>
        <w:rPr>
          <w:rFonts w:hint="default" w:ascii="Times New Roman" w:hAnsi="Times New Roman" w:eastAsia="宋体" w:cs="Times New Roman"/>
          <w:color w:val="auto"/>
          <w:sz w:val="24"/>
          <w:highlight w:val="none"/>
        </w:rPr>
        <w:t>监测点位位于</w:t>
      </w:r>
      <w:r>
        <w:rPr>
          <w:rFonts w:hint="default" w:ascii="Times New Roman" w:hAnsi="Times New Roman" w:eastAsia="宋体" w:cs="Times New Roman"/>
          <w:color w:val="auto"/>
          <w:sz w:val="24"/>
          <w:highlight w:val="none"/>
          <w:lang w:eastAsia="zh-CN"/>
        </w:rPr>
        <w:t>本项目下风向站前社区</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szCs w:val="24"/>
          <w:highlight w:val="none"/>
        </w:rPr>
        <w:t>监测结果见</w:t>
      </w:r>
      <w:r>
        <w:rPr>
          <w:rFonts w:hint="default" w:ascii="Times New Roman" w:hAnsi="Times New Roman" w:eastAsia="宋体" w:cs="Times New Roman"/>
          <w:color w:val="auto"/>
          <w:sz w:val="24"/>
          <w:szCs w:val="24"/>
          <w:highlight w:val="none"/>
          <w:lang w:eastAsia="zh-CN"/>
        </w:rPr>
        <w:t>下表</w:t>
      </w:r>
      <w:r>
        <w:rPr>
          <w:rFonts w:hint="default" w:ascii="Times New Roman" w:hAnsi="Times New Roman" w:eastAsia="宋体" w:cs="Times New Roman"/>
          <w:color w:val="auto"/>
          <w:sz w:val="24"/>
          <w:szCs w:val="24"/>
          <w:highlight w:val="none"/>
        </w:rPr>
        <w:t>，监测点位见</w:t>
      </w:r>
      <w:r>
        <w:rPr>
          <w:rFonts w:hint="default" w:ascii="Times New Roman" w:hAnsi="Times New Roman" w:eastAsia="宋体" w:cs="Times New Roman"/>
          <w:color w:val="auto"/>
          <w:sz w:val="24"/>
          <w:szCs w:val="24"/>
          <w:highlight w:val="none"/>
          <w:lang w:eastAsia="zh-CN"/>
        </w:rPr>
        <w:t>附图</w:t>
      </w:r>
      <w:r>
        <w:rPr>
          <w:rFonts w:hint="default" w:ascii="Times New Roman" w:hAnsi="Times New Roman" w:eastAsia="宋体" w:cs="Times New Roman"/>
          <w:color w:val="auto"/>
          <w:sz w:val="24"/>
          <w:szCs w:val="24"/>
          <w:highlight w:val="none"/>
        </w:rPr>
        <w:t>。</w:t>
      </w:r>
    </w:p>
    <w:p w14:paraId="46EDEF0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both"/>
        <w:textAlignment w:val="auto"/>
        <w:outlineLvl w:val="9"/>
        <w:rPr>
          <w:b/>
          <w:bCs/>
          <w:color w:val="auto"/>
          <w:sz w:val="21"/>
          <w:szCs w:val="21"/>
          <w:highlight w:val="none"/>
        </w:rPr>
      </w:pPr>
      <w:r>
        <w:rPr>
          <w:b/>
          <w:bCs/>
          <w:color w:val="auto"/>
          <w:sz w:val="21"/>
          <w:szCs w:val="21"/>
          <w:highlight w:val="none"/>
        </w:rPr>
        <w:t>表</w:t>
      </w:r>
      <w:r>
        <w:rPr>
          <w:rFonts w:hint="eastAsia"/>
          <w:b/>
          <w:bCs/>
          <w:color w:val="auto"/>
          <w:sz w:val="21"/>
          <w:szCs w:val="21"/>
          <w:highlight w:val="none"/>
          <w:lang w:val="en-US" w:eastAsia="zh-CN"/>
        </w:rPr>
        <w:t>8</w:t>
      </w:r>
      <w:r>
        <w:rPr>
          <w:b/>
          <w:bCs/>
          <w:color w:val="auto"/>
          <w:sz w:val="21"/>
          <w:szCs w:val="21"/>
          <w:highlight w:val="none"/>
        </w:rPr>
        <w:t xml:space="preserve">  </w:t>
      </w:r>
      <w:r>
        <w:rPr>
          <w:rFonts w:hint="eastAsia"/>
          <w:b/>
          <w:bCs/>
          <w:color w:val="auto"/>
          <w:sz w:val="21"/>
          <w:szCs w:val="21"/>
          <w:highlight w:val="none"/>
        </w:rPr>
        <w:t xml:space="preserve">    </w:t>
      </w:r>
      <w:r>
        <w:rPr>
          <w:rFonts w:hint="eastAsia"/>
          <w:b/>
          <w:bCs/>
          <w:color w:val="auto"/>
          <w:sz w:val="21"/>
          <w:szCs w:val="21"/>
          <w:highlight w:val="none"/>
          <w:lang w:val="en-US" w:eastAsia="zh-CN"/>
        </w:rPr>
        <w:t xml:space="preserve">                         </w:t>
      </w:r>
      <w:r>
        <w:rPr>
          <w:rFonts w:hint="eastAsia"/>
          <w:b/>
          <w:bCs/>
          <w:color w:val="auto"/>
          <w:sz w:val="21"/>
          <w:szCs w:val="21"/>
          <w:highlight w:val="none"/>
          <w:lang w:eastAsia="zh-CN"/>
        </w:rPr>
        <w:t>环境空气质量监测结果</w:t>
      </w:r>
      <w:r>
        <w:rPr>
          <w:b/>
          <w:bCs/>
          <w:color w:val="auto"/>
          <w:sz w:val="21"/>
          <w:szCs w:val="21"/>
          <w:highlight w:val="none"/>
        </w:rPr>
        <w:t xml:space="preserve">    </w:t>
      </w:r>
      <w:r>
        <w:rPr>
          <w:rFonts w:hint="eastAsia"/>
          <w:b/>
          <w:bCs/>
          <w:color w:val="auto"/>
          <w:sz w:val="21"/>
          <w:szCs w:val="21"/>
          <w:highlight w:val="none"/>
        </w:rPr>
        <w:t xml:space="preserve">  </w:t>
      </w:r>
      <w:r>
        <w:rPr>
          <w:rFonts w:hint="eastAsia"/>
          <w:b/>
          <w:bCs/>
          <w:color w:val="auto"/>
          <w:sz w:val="21"/>
          <w:szCs w:val="21"/>
          <w:highlight w:val="none"/>
          <w:lang w:val="en-US" w:eastAsia="zh-CN"/>
        </w:rPr>
        <w:t xml:space="preserve">               </w:t>
      </w:r>
      <w:r>
        <w:rPr>
          <w:b/>
          <w:bCs/>
          <w:color w:val="auto"/>
          <w:sz w:val="21"/>
          <w:szCs w:val="21"/>
          <w:highlight w:val="none"/>
        </w:rPr>
        <w:t>单位：</w:t>
      </w:r>
      <w:r>
        <w:rPr>
          <w:rFonts w:hint="eastAsia"/>
          <w:b/>
          <w:bCs/>
          <w:color w:val="auto"/>
          <w:sz w:val="21"/>
          <w:szCs w:val="21"/>
          <w:highlight w:val="none"/>
          <w:lang w:val="en-US" w:eastAsia="zh-CN"/>
        </w:rPr>
        <w:t>m</w:t>
      </w:r>
      <w:r>
        <w:rPr>
          <w:b/>
          <w:bCs/>
          <w:color w:val="auto"/>
          <w:sz w:val="21"/>
          <w:szCs w:val="21"/>
          <w:highlight w:val="none"/>
        </w:rPr>
        <w:t>g/m</w:t>
      </w:r>
      <w:r>
        <w:rPr>
          <w:b/>
          <w:bCs/>
          <w:color w:val="auto"/>
          <w:sz w:val="21"/>
          <w:szCs w:val="21"/>
          <w:highlight w:val="none"/>
          <w:vertAlign w:val="superscript"/>
        </w:rPr>
        <w:t>3</w:t>
      </w:r>
    </w:p>
    <w:tbl>
      <w:tblPr>
        <w:tblStyle w:val="24"/>
        <w:tblW w:w="92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173"/>
        <w:gridCol w:w="3250"/>
        <w:gridCol w:w="2863"/>
      </w:tblGrid>
      <w:tr w14:paraId="744EAD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exact"/>
        </w:trPr>
        <w:tc>
          <w:tcPr>
            <w:tcW w:w="3173" w:type="dxa"/>
            <w:vMerge w:val="restart"/>
            <w:noWrap w:val="0"/>
            <w:vAlign w:val="center"/>
          </w:tcPr>
          <w:p w14:paraId="6E36CF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color w:val="auto"/>
                <w:sz w:val="21"/>
                <w:szCs w:val="21"/>
                <w:highlight w:val="none"/>
              </w:rPr>
            </w:pPr>
            <w:r>
              <w:rPr>
                <w:color w:val="auto"/>
                <w:sz w:val="21"/>
                <w:szCs w:val="21"/>
                <w:highlight w:val="none"/>
              </w:rPr>
              <mc:AlternateContent>
                <mc:Choice Requires="wps">
                  <w:drawing>
                    <wp:anchor distT="0" distB="0" distL="114300" distR="114300" simplePos="0" relativeHeight="251716608" behindDoc="0" locked="0" layoutInCell="1" allowOverlap="1">
                      <wp:simplePos x="0" y="0"/>
                      <wp:positionH relativeFrom="column">
                        <wp:posOffset>-71120</wp:posOffset>
                      </wp:positionH>
                      <wp:positionV relativeFrom="paragraph">
                        <wp:posOffset>-10160</wp:posOffset>
                      </wp:positionV>
                      <wp:extent cx="2007235" cy="368935"/>
                      <wp:effectExtent l="635" t="4445" r="11430" b="7620"/>
                      <wp:wrapNone/>
                      <wp:docPr id="8" name="直接连接符 8"/>
                      <wp:cNvGraphicFramePr/>
                      <a:graphic xmlns:a="http://schemas.openxmlformats.org/drawingml/2006/main">
                        <a:graphicData uri="http://schemas.microsoft.com/office/word/2010/wordprocessingShape">
                          <wps:wsp>
                            <wps:cNvCnPr/>
                            <wps:spPr>
                              <a:xfrm>
                                <a:off x="0" y="0"/>
                                <a:ext cx="2007235" cy="3689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6pt;margin-top:-0.8pt;height:29.05pt;width:158.05pt;z-index:251716608;mso-width-relative:page;mso-height-relative:page;" filled="f" stroked="t" coordsize="21600,21600" o:gfxdata="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76epN2AAAAAkBAAAPAAAAAAAAAAEAIAAAACIAAABkcnMvZG93bnJldi54bWxQ&#10;SwECFAAUAAAACACHTuJASdZPdvcBAADpAwAADgAAAAAAAAABACAAAAAnAQAAZHJzL2Uyb0RvYy54&#10;bWxQSwUGAAAAAAYABgBZAQAAkAUAAAAA&#10;">
                      <v:fill on="f" focussize="0,0"/>
                      <v:stroke color="#000000" joinstyle="round"/>
                      <v:imagedata o:title=""/>
                      <o:lock v:ext="edit" aspectratio="f"/>
                    </v:line>
                  </w:pict>
                </mc:Fallback>
              </mc:AlternateContent>
            </w:r>
            <w:r>
              <w:rPr>
                <w:color w:val="auto"/>
                <w:sz w:val="21"/>
                <w:szCs w:val="21"/>
                <w:highlight w:val="none"/>
              </w:rPr>
              <w:t xml:space="preserve">          </w:t>
            </w:r>
            <w:r>
              <w:rPr>
                <w:rFonts w:hint="eastAsia"/>
                <w:color w:val="auto"/>
                <w:sz w:val="21"/>
                <w:szCs w:val="21"/>
                <w:highlight w:val="none"/>
                <w:lang w:val="en-US" w:eastAsia="zh-CN"/>
              </w:rPr>
              <w:t xml:space="preserve">  </w:t>
            </w:r>
            <w:r>
              <w:rPr>
                <w:color w:val="auto"/>
                <w:sz w:val="21"/>
                <w:szCs w:val="21"/>
                <w:highlight w:val="none"/>
              </w:rPr>
              <w:t>项目</w:t>
            </w:r>
          </w:p>
          <w:p w14:paraId="60A88A6E">
            <w:pPr>
              <w:keepNext w:val="0"/>
              <w:keepLines w:val="0"/>
              <w:pageBreakBefore w:val="0"/>
              <w:widowControl w:val="0"/>
              <w:kinsoku/>
              <w:wordWrap/>
              <w:overflowPunct/>
              <w:topLinePunct w:val="0"/>
              <w:autoSpaceDE/>
              <w:autoSpaceDN/>
              <w:bidi w:val="0"/>
              <w:adjustRightInd w:val="0"/>
              <w:snapToGrid w:val="0"/>
              <w:spacing w:line="240" w:lineRule="auto"/>
              <w:ind w:firstLine="630" w:firstLineChars="300"/>
              <w:jc w:val="both"/>
              <w:textAlignment w:val="auto"/>
              <w:rPr>
                <w:color w:val="auto"/>
                <w:sz w:val="21"/>
                <w:szCs w:val="21"/>
                <w:highlight w:val="none"/>
              </w:rPr>
            </w:pPr>
            <w:r>
              <w:rPr>
                <w:color w:val="auto"/>
                <w:sz w:val="21"/>
                <w:szCs w:val="21"/>
                <w:highlight w:val="none"/>
              </w:rPr>
              <w:t>日期</w:t>
            </w:r>
          </w:p>
        </w:tc>
        <w:tc>
          <w:tcPr>
            <w:tcW w:w="6113" w:type="dxa"/>
            <w:gridSpan w:val="2"/>
            <w:noWrap w:val="0"/>
            <w:vAlign w:val="center"/>
          </w:tcPr>
          <w:p w14:paraId="2CF6BFED">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eastAsia="宋体"/>
                <w:color w:val="auto"/>
                <w:sz w:val="21"/>
                <w:szCs w:val="21"/>
                <w:highlight w:val="none"/>
                <w:lang w:val="en-US" w:eastAsia="zh-CN"/>
              </w:rPr>
            </w:pPr>
            <w:r>
              <w:rPr>
                <w:rFonts w:hint="eastAsia" w:ascii="Times New Roman" w:hAnsi="Times New Roman" w:eastAsia="宋体" w:cs="Times New Roman"/>
                <w:color w:val="auto"/>
                <w:szCs w:val="22"/>
                <w:highlight w:val="none"/>
                <w:lang w:val="en-US" w:eastAsia="zh-CN"/>
              </w:rPr>
              <w:t>下风向</w:t>
            </w:r>
            <w:r>
              <w:rPr>
                <w:rFonts w:hint="eastAsia" w:cs="Times New Roman"/>
                <w:color w:val="auto"/>
                <w:szCs w:val="22"/>
                <w:highlight w:val="none"/>
                <w:lang w:val="en-US" w:eastAsia="zh-CN"/>
              </w:rPr>
              <w:t>站前社区</w:t>
            </w:r>
          </w:p>
        </w:tc>
      </w:tr>
      <w:tr w14:paraId="026693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0" w:hRule="exact"/>
        </w:trPr>
        <w:tc>
          <w:tcPr>
            <w:tcW w:w="3173" w:type="dxa"/>
            <w:vMerge w:val="continue"/>
            <w:noWrap w:val="0"/>
            <w:vAlign w:val="center"/>
          </w:tcPr>
          <w:p w14:paraId="226A4DBB">
            <w:pPr>
              <w:keepNext w:val="0"/>
              <w:keepLines w:val="0"/>
              <w:pageBreakBefore w:val="0"/>
              <w:widowControl w:val="0"/>
              <w:kinsoku/>
              <w:wordWrap/>
              <w:overflowPunct/>
              <w:topLinePunct w:val="0"/>
              <w:autoSpaceDE/>
              <w:autoSpaceDN/>
              <w:bidi w:val="0"/>
              <w:adjustRightInd w:val="0"/>
              <w:snapToGrid w:val="0"/>
              <w:spacing w:line="240" w:lineRule="auto"/>
              <w:ind w:firstLine="630" w:firstLineChars="300"/>
              <w:textAlignment w:val="auto"/>
              <w:rPr>
                <w:color w:val="auto"/>
                <w:sz w:val="21"/>
                <w:szCs w:val="21"/>
                <w:highlight w:val="none"/>
              </w:rPr>
            </w:pPr>
          </w:p>
        </w:tc>
        <w:tc>
          <w:tcPr>
            <w:tcW w:w="3250" w:type="dxa"/>
            <w:noWrap w:val="0"/>
            <w:vAlign w:val="center"/>
          </w:tcPr>
          <w:p w14:paraId="42BA83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NH</w:t>
            </w:r>
            <w:r>
              <w:rPr>
                <w:rFonts w:hint="eastAsia"/>
                <w:color w:val="auto"/>
                <w:sz w:val="21"/>
                <w:szCs w:val="21"/>
                <w:highlight w:val="none"/>
                <w:vertAlign w:val="subscript"/>
                <w:lang w:val="en-US" w:eastAsia="zh-CN"/>
              </w:rPr>
              <w:t>3</w:t>
            </w:r>
          </w:p>
        </w:tc>
        <w:tc>
          <w:tcPr>
            <w:tcW w:w="2863" w:type="dxa"/>
            <w:noWrap w:val="0"/>
            <w:vAlign w:val="center"/>
          </w:tcPr>
          <w:p w14:paraId="526CD8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H</w:t>
            </w:r>
            <w:r>
              <w:rPr>
                <w:rFonts w:hint="eastAsia"/>
                <w:color w:val="auto"/>
                <w:sz w:val="21"/>
                <w:szCs w:val="21"/>
                <w:highlight w:val="none"/>
                <w:vertAlign w:val="subscript"/>
                <w:lang w:val="en-US" w:eastAsia="zh-CN"/>
              </w:rPr>
              <w:t>2</w:t>
            </w:r>
            <w:r>
              <w:rPr>
                <w:rFonts w:hint="eastAsia"/>
                <w:color w:val="auto"/>
                <w:sz w:val="21"/>
                <w:szCs w:val="21"/>
                <w:highlight w:val="none"/>
                <w:lang w:val="en-US" w:eastAsia="zh-CN"/>
              </w:rPr>
              <w:t>S</w:t>
            </w:r>
          </w:p>
        </w:tc>
      </w:tr>
      <w:tr w14:paraId="7AB0C5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exact"/>
        </w:trPr>
        <w:tc>
          <w:tcPr>
            <w:tcW w:w="3173" w:type="dxa"/>
            <w:noWrap w:val="0"/>
            <w:vAlign w:val="center"/>
          </w:tcPr>
          <w:p w14:paraId="403DF5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 w:val="21"/>
                <w:szCs w:val="21"/>
                <w:highlight w:val="none"/>
              </w:rPr>
            </w:pPr>
            <w:r>
              <w:rPr>
                <w:color w:val="auto"/>
                <w:sz w:val="21"/>
                <w:szCs w:val="21"/>
                <w:highlight w:val="none"/>
              </w:rPr>
              <w:t>20</w:t>
            </w:r>
            <w:r>
              <w:rPr>
                <w:rFonts w:hint="eastAsia"/>
                <w:color w:val="auto"/>
                <w:sz w:val="21"/>
                <w:szCs w:val="21"/>
                <w:highlight w:val="none"/>
                <w:lang w:val="en-US" w:eastAsia="zh-CN"/>
              </w:rPr>
              <w:t>20</w:t>
            </w:r>
            <w:r>
              <w:rPr>
                <w:color w:val="auto"/>
                <w:sz w:val="21"/>
                <w:szCs w:val="21"/>
                <w:highlight w:val="none"/>
              </w:rPr>
              <w:t>年</w:t>
            </w:r>
            <w:r>
              <w:rPr>
                <w:rFonts w:hint="eastAsia"/>
                <w:color w:val="auto"/>
                <w:sz w:val="21"/>
                <w:szCs w:val="21"/>
                <w:highlight w:val="none"/>
                <w:lang w:val="en-US" w:eastAsia="zh-CN"/>
              </w:rPr>
              <w:t>11</w:t>
            </w:r>
            <w:r>
              <w:rPr>
                <w:color w:val="auto"/>
                <w:sz w:val="21"/>
                <w:szCs w:val="21"/>
                <w:highlight w:val="none"/>
              </w:rPr>
              <w:t>月</w:t>
            </w:r>
            <w:r>
              <w:rPr>
                <w:rFonts w:hint="eastAsia"/>
                <w:color w:val="auto"/>
                <w:sz w:val="21"/>
                <w:szCs w:val="21"/>
                <w:highlight w:val="none"/>
                <w:lang w:val="en-US" w:eastAsia="zh-CN"/>
              </w:rPr>
              <w:t>22</w:t>
            </w:r>
            <w:r>
              <w:rPr>
                <w:color w:val="auto"/>
                <w:sz w:val="21"/>
                <w:szCs w:val="21"/>
                <w:highlight w:val="none"/>
              </w:rPr>
              <w:t>日</w:t>
            </w:r>
          </w:p>
        </w:tc>
        <w:tc>
          <w:tcPr>
            <w:tcW w:w="3250" w:type="dxa"/>
            <w:noWrap w:val="0"/>
            <w:vAlign w:val="center"/>
          </w:tcPr>
          <w:p w14:paraId="27647E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0.08~0.12</w:t>
            </w:r>
          </w:p>
        </w:tc>
        <w:tc>
          <w:tcPr>
            <w:tcW w:w="2863" w:type="dxa"/>
            <w:noWrap w:val="0"/>
            <w:vAlign w:val="center"/>
          </w:tcPr>
          <w:p w14:paraId="6C28D7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0.005~</w:t>
            </w:r>
            <w:r>
              <w:rPr>
                <w:rFonts w:hint="default"/>
                <w:color w:val="auto"/>
                <w:sz w:val="21"/>
                <w:szCs w:val="21"/>
                <w:highlight w:val="none"/>
                <w:lang w:val="en-US" w:eastAsia="zh-CN"/>
              </w:rPr>
              <w:t>0.00</w:t>
            </w:r>
            <w:r>
              <w:rPr>
                <w:rFonts w:hint="eastAsia"/>
                <w:color w:val="auto"/>
                <w:sz w:val="21"/>
                <w:szCs w:val="21"/>
                <w:highlight w:val="none"/>
                <w:lang w:val="en-US" w:eastAsia="zh-CN"/>
              </w:rPr>
              <w:t>8</w:t>
            </w:r>
          </w:p>
        </w:tc>
      </w:tr>
      <w:tr w14:paraId="22F755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exact"/>
        </w:trPr>
        <w:tc>
          <w:tcPr>
            <w:tcW w:w="3173" w:type="dxa"/>
            <w:noWrap w:val="0"/>
            <w:vAlign w:val="center"/>
          </w:tcPr>
          <w:p w14:paraId="4B5F39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 w:val="21"/>
                <w:szCs w:val="21"/>
                <w:highlight w:val="none"/>
              </w:rPr>
            </w:pPr>
            <w:r>
              <w:rPr>
                <w:color w:val="auto"/>
                <w:sz w:val="21"/>
                <w:szCs w:val="21"/>
                <w:highlight w:val="none"/>
              </w:rPr>
              <w:t>20</w:t>
            </w:r>
            <w:r>
              <w:rPr>
                <w:rFonts w:hint="eastAsia"/>
                <w:color w:val="auto"/>
                <w:sz w:val="21"/>
                <w:szCs w:val="21"/>
                <w:highlight w:val="none"/>
                <w:lang w:val="en-US" w:eastAsia="zh-CN"/>
              </w:rPr>
              <w:t>20</w:t>
            </w:r>
            <w:r>
              <w:rPr>
                <w:color w:val="auto"/>
                <w:sz w:val="21"/>
                <w:szCs w:val="21"/>
                <w:highlight w:val="none"/>
              </w:rPr>
              <w:t>年</w:t>
            </w:r>
            <w:r>
              <w:rPr>
                <w:rFonts w:hint="eastAsia"/>
                <w:color w:val="auto"/>
                <w:sz w:val="21"/>
                <w:szCs w:val="21"/>
                <w:highlight w:val="none"/>
                <w:lang w:val="en-US" w:eastAsia="zh-CN"/>
              </w:rPr>
              <w:t>11</w:t>
            </w:r>
            <w:r>
              <w:rPr>
                <w:color w:val="auto"/>
                <w:sz w:val="21"/>
                <w:szCs w:val="21"/>
                <w:highlight w:val="none"/>
              </w:rPr>
              <w:t>月</w:t>
            </w:r>
            <w:r>
              <w:rPr>
                <w:rFonts w:hint="eastAsia"/>
                <w:color w:val="auto"/>
                <w:sz w:val="21"/>
                <w:szCs w:val="21"/>
                <w:highlight w:val="none"/>
                <w:lang w:val="en-US" w:eastAsia="zh-CN"/>
              </w:rPr>
              <w:t>23</w:t>
            </w:r>
            <w:r>
              <w:rPr>
                <w:color w:val="auto"/>
                <w:sz w:val="21"/>
                <w:szCs w:val="21"/>
                <w:highlight w:val="none"/>
              </w:rPr>
              <w:t>日</w:t>
            </w:r>
          </w:p>
        </w:tc>
        <w:tc>
          <w:tcPr>
            <w:tcW w:w="3250" w:type="dxa"/>
            <w:noWrap w:val="0"/>
            <w:vAlign w:val="center"/>
          </w:tcPr>
          <w:p w14:paraId="1EF026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0.07~0.11</w:t>
            </w:r>
          </w:p>
        </w:tc>
        <w:tc>
          <w:tcPr>
            <w:tcW w:w="2863" w:type="dxa"/>
            <w:noWrap w:val="0"/>
            <w:vAlign w:val="center"/>
          </w:tcPr>
          <w:p w14:paraId="38AAFF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0.004~</w:t>
            </w:r>
            <w:r>
              <w:rPr>
                <w:rFonts w:hint="default"/>
                <w:color w:val="auto"/>
                <w:sz w:val="21"/>
                <w:szCs w:val="21"/>
                <w:highlight w:val="none"/>
                <w:lang w:val="en-US" w:eastAsia="zh-CN"/>
              </w:rPr>
              <w:t>0.00</w:t>
            </w:r>
            <w:r>
              <w:rPr>
                <w:rFonts w:hint="eastAsia"/>
                <w:color w:val="auto"/>
                <w:sz w:val="21"/>
                <w:szCs w:val="21"/>
                <w:highlight w:val="none"/>
                <w:lang w:val="en-US" w:eastAsia="zh-CN"/>
              </w:rPr>
              <w:t>9</w:t>
            </w:r>
          </w:p>
        </w:tc>
      </w:tr>
      <w:tr w14:paraId="0E626B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exact"/>
        </w:trPr>
        <w:tc>
          <w:tcPr>
            <w:tcW w:w="3173" w:type="dxa"/>
            <w:noWrap w:val="0"/>
            <w:vAlign w:val="center"/>
          </w:tcPr>
          <w:p w14:paraId="01B4F5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 w:val="21"/>
                <w:szCs w:val="21"/>
                <w:highlight w:val="none"/>
              </w:rPr>
            </w:pPr>
            <w:r>
              <w:rPr>
                <w:color w:val="auto"/>
                <w:sz w:val="21"/>
                <w:szCs w:val="21"/>
                <w:highlight w:val="none"/>
              </w:rPr>
              <w:t>20</w:t>
            </w:r>
            <w:r>
              <w:rPr>
                <w:rFonts w:hint="eastAsia"/>
                <w:color w:val="auto"/>
                <w:sz w:val="21"/>
                <w:szCs w:val="21"/>
                <w:highlight w:val="none"/>
                <w:lang w:val="en-US" w:eastAsia="zh-CN"/>
              </w:rPr>
              <w:t>20</w:t>
            </w:r>
            <w:r>
              <w:rPr>
                <w:color w:val="auto"/>
                <w:sz w:val="21"/>
                <w:szCs w:val="21"/>
                <w:highlight w:val="none"/>
              </w:rPr>
              <w:t>年</w:t>
            </w:r>
            <w:r>
              <w:rPr>
                <w:rFonts w:hint="eastAsia"/>
                <w:color w:val="auto"/>
                <w:sz w:val="21"/>
                <w:szCs w:val="21"/>
                <w:highlight w:val="none"/>
                <w:lang w:val="en-US" w:eastAsia="zh-CN"/>
              </w:rPr>
              <w:t>11</w:t>
            </w:r>
            <w:r>
              <w:rPr>
                <w:color w:val="auto"/>
                <w:sz w:val="21"/>
                <w:szCs w:val="21"/>
                <w:highlight w:val="none"/>
              </w:rPr>
              <w:t>月</w:t>
            </w:r>
            <w:r>
              <w:rPr>
                <w:rFonts w:hint="eastAsia"/>
                <w:color w:val="auto"/>
                <w:sz w:val="21"/>
                <w:szCs w:val="21"/>
                <w:highlight w:val="none"/>
                <w:lang w:val="en-US" w:eastAsia="zh-CN"/>
              </w:rPr>
              <w:t>24</w:t>
            </w:r>
            <w:r>
              <w:rPr>
                <w:color w:val="auto"/>
                <w:sz w:val="21"/>
                <w:szCs w:val="21"/>
                <w:highlight w:val="none"/>
              </w:rPr>
              <w:t>日</w:t>
            </w:r>
          </w:p>
        </w:tc>
        <w:tc>
          <w:tcPr>
            <w:tcW w:w="3250" w:type="dxa"/>
            <w:noWrap w:val="0"/>
            <w:vAlign w:val="center"/>
          </w:tcPr>
          <w:p w14:paraId="2B54F4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0.08~0.12</w:t>
            </w:r>
          </w:p>
        </w:tc>
        <w:tc>
          <w:tcPr>
            <w:tcW w:w="2863" w:type="dxa"/>
            <w:noWrap w:val="0"/>
            <w:vAlign w:val="center"/>
          </w:tcPr>
          <w:p w14:paraId="5D85E3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0.006~</w:t>
            </w:r>
            <w:r>
              <w:rPr>
                <w:rFonts w:hint="default"/>
                <w:color w:val="auto"/>
                <w:sz w:val="21"/>
                <w:szCs w:val="21"/>
                <w:highlight w:val="none"/>
                <w:lang w:val="en-US" w:eastAsia="zh-CN"/>
              </w:rPr>
              <w:t>0.00</w:t>
            </w:r>
            <w:r>
              <w:rPr>
                <w:rFonts w:hint="eastAsia"/>
                <w:color w:val="auto"/>
                <w:sz w:val="21"/>
                <w:szCs w:val="21"/>
                <w:highlight w:val="none"/>
                <w:lang w:val="en-US" w:eastAsia="zh-CN"/>
              </w:rPr>
              <w:t>9</w:t>
            </w:r>
          </w:p>
        </w:tc>
      </w:tr>
      <w:tr w14:paraId="17A4BC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exact"/>
        </w:trPr>
        <w:tc>
          <w:tcPr>
            <w:tcW w:w="3173" w:type="dxa"/>
            <w:noWrap w:val="0"/>
            <w:vAlign w:val="center"/>
          </w:tcPr>
          <w:p w14:paraId="49B1C2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 w:val="21"/>
                <w:szCs w:val="21"/>
                <w:highlight w:val="none"/>
              </w:rPr>
            </w:pPr>
            <w:r>
              <w:rPr>
                <w:color w:val="auto"/>
                <w:sz w:val="21"/>
                <w:szCs w:val="21"/>
                <w:highlight w:val="none"/>
              </w:rPr>
              <w:t>20</w:t>
            </w:r>
            <w:r>
              <w:rPr>
                <w:rFonts w:hint="eastAsia"/>
                <w:color w:val="auto"/>
                <w:sz w:val="21"/>
                <w:szCs w:val="21"/>
                <w:highlight w:val="none"/>
                <w:lang w:val="en-US" w:eastAsia="zh-CN"/>
              </w:rPr>
              <w:t>20</w:t>
            </w:r>
            <w:r>
              <w:rPr>
                <w:color w:val="auto"/>
                <w:sz w:val="21"/>
                <w:szCs w:val="21"/>
                <w:highlight w:val="none"/>
              </w:rPr>
              <w:t>年</w:t>
            </w:r>
            <w:r>
              <w:rPr>
                <w:rFonts w:hint="eastAsia"/>
                <w:color w:val="auto"/>
                <w:sz w:val="21"/>
                <w:szCs w:val="21"/>
                <w:highlight w:val="none"/>
                <w:lang w:val="en-US" w:eastAsia="zh-CN"/>
              </w:rPr>
              <w:t>11</w:t>
            </w:r>
            <w:r>
              <w:rPr>
                <w:color w:val="auto"/>
                <w:sz w:val="21"/>
                <w:szCs w:val="21"/>
                <w:highlight w:val="none"/>
              </w:rPr>
              <w:t>月</w:t>
            </w:r>
            <w:r>
              <w:rPr>
                <w:rFonts w:hint="eastAsia"/>
                <w:color w:val="auto"/>
                <w:sz w:val="21"/>
                <w:szCs w:val="21"/>
                <w:highlight w:val="none"/>
                <w:lang w:val="en-US" w:eastAsia="zh-CN"/>
              </w:rPr>
              <w:t>25</w:t>
            </w:r>
            <w:r>
              <w:rPr>
                <w:color w:val="auto"/>
                <w:sz w:val="21"/>
                <w:szCs w:val="21"/>
                <w:highlight w:val="none"/>
              </w:rPr>
              <w:t>日</w:t>
            </w:r>
          </w:p>
        </w:tc>
        <w:tc>
          <w:tcPr>
            <w:tcW w:w="3250" w:type="dxa"/>
            <w:noWrap w:val="0"/>
            <w:vAlign w:val="center"/>
          </w:tcPr>
          <w:p w14:paraId="2AF1F1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0.06~0.11</w:t>
            </w:r>
          </w:p>
        </w:tc>
        <w:tc>
          <w:tcPr>
            <w:tcW w:w="2863" w:type="dxa"/>
            <w:noWrap w:val="0"/>
            <w:vAlign w:val="center"/>
          </w:tcPr>
          <w:p w14:paraId="2C48E3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0.005~</w:t>
            </w:r>
            <w:r>
              <w:rPr>
                <w:rFonts w:hint="default"/>
                <w:color w:val="auto"/>
                <w:sz w:val="21"/>
                <w:szCs w:val="21"/>
                <w:highlight w:val="none"/>
                <w:lang w:val="en-US" w:eastAsia="zh-CN"/>
              </w:rPr>
              <w:t>0.00</w:t>
            </w:r>
            <w:r>
              <w:rPr>
                <w:rFonts w:hint="eastAsia"/>
                <w:color w:val="auto"/>
                <w:sz w:val="21"/>
                <w:szCs w:val="21"/>
                <w:highlight w:val="none"/>
                <w:lang w:val="en-US" w:eastAsia="zh-CN"/>
              </w:rPr>
              <w:t>9</w:t>
            </w:r>
          </w:p>
        </w:tc>
      </w:tr>
      <w:tr w14:paraId="62B923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exact"/>
        </w:trPr>
        <w:tc>
          <w:tcPr>
            <w:tcW w:w="3173" w:type="dxa"/>
            <w:noWrap w:val="0"/>
            <w:vAlign w:val="center"/>
          </w:tcPr>
          <w:p w14:paraId="3B79D0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 w:val="21"/>
                <w:szCs w:val="21"/>
                <w:highlight w:val="none"/>
              </w:rPr>
            </w:pPr>
            <w:r>
              <w:rPr>
                <w:color w:val="auto"/>
                <w:sz w:val="21"/>
                <w:szCs w:val="21"/>
                <w:highlight w:val="none"/>
              </w:rPr>
              <w:t>20</w:t>
            </w:r>
            <w:r>
              <w:rPr>
                <w:rFonts w:hint="eastAsia"/>
                <w:color w:val="auto"/>
                <w:sz w:val="21"/>
                <w:szCs w:val="21"/>
                <w:highlight w:val="none"/>
                <w:lang w:val="en-US" w:eastAsia="zh-CN"/>
              </w:rPr>
              <w:t>20</w:t>
            </w:r>
            <w:r>
              <w:rPr>
                <w:color w:val="auto"/>
                <w:sz w:val="21"/>
                <w:szCs w:val="21"/>
                <w:highlight w:val="none"/>
              </w:rPr>
              <w:t>年</w:t>
            </w:r>
            <w:r>
              <w:rPr>
                <w:rFonts w:hint="eastAsia"/>
                <w:color w:val="auto"/>
                <w:sz w:val="21"/>
                <w:szCs w:val="21"/>
                <w:highlight w:val="none"/>
                <w:lang w:val="en-US" w:eastAsia="zh-CN"/>
              </w:rPr>
              <w:t>11</w:t>
            </w:r>
            <w:r>
              <w:rPr>
                <w:color w:val="auto"/>
                <w:sz w:val="21"/>
                <w:szCs w:val="21"/>
                <w:highlight w:val="none"/>
              </w:rPr>
              <w:t>月</w:t>
            </w:r>
            <w:r>
              <w:rPr>
                <w:rFonts w:hint="eastAsia"/>
                <w:color w:val="auto"/>
                <w:sz w:val="21"/>
                <w:szCs w:val="21"/>
                <w:highlight w:val="none"/>
                <w:lang w:val="en-US" w:eastAsia="zh-CN"/>
              </w:rPr>
              <w:t>26</w:t>
            </w:r>
            <w:r>
              <w:rPr>
                <w:color w:val="auto"/>
                <w:sz w:val="21"/>
                <w:szCs w:val="21"/>
                <w:highlight w:val="none"/>
              </w:rPr>
              <w:t>日</w:t>
            </w:r>
          </w:p>
        </w:tc>
        <w:tc>
          <w:tcPr>
            <w:tcW w:w="3250" w:type="dxa"/>
            <w:noWrap w:val="0"/>
            <w:vAlign w:val="center"/>
          </w:tcPr>
          <w:p w14:paraId="4D4568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0.08~0.12</w:t>
            </w:r>
          </w:p>
        </w:tc>
        <w:tc>
          <w:tcPr>
            <w:tcW w:w="2863" w:type="dxa"/>
            <w:noWrap w:val="0"/>
            <w:vAlign w:val="center"/>
          </w:tcPr>
          <w:p w14:paraId="54C59A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0.005~</w:t>
            </w:r>
            <w:r>
              <w:rPr>
                <w:rFonts w:hint="default"/>
                <w:color w:val="auto"/>
                <w:sz w:val="21"/>
                <w:szCs w:val="21"/>
                <w:highlight w:val="none"/>
                <w:lang w:val="en-US" w:eastAsia="zh-CN"/>
              </w:rPr>
              <w:t>0.00</w:t>
            </w:r>
            <w:r>
              <w:rPr>
                <w:rFonts w:hint="eastAsia"/>
                <w:color w:val="auto"/>
                <w:sz w:val="21"/>
                <w:szCs w:val="21"/>
                <w:highlight w:val="none"/>
                <w:lang w:val="en-US" w:eastAsia="zh-CN"/>
              </w:rPr>
              <w:t>9</w:t>
            </w:r>
          </w:p>
        </w:tc>
      </w:tr>
      <w:tr w14:paraId="3ED7A1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exact"/>
        </w:trPr>
        <w:tc>
          <w:tcPr>
            <w:tcW w:w="3173" w:type="dxa"/>
            <w:noWrap w:val="0"/>
            <w:vAlign w:val="center"/>
          </w:tcPr>
          <w:p w14:paraId="38C2C2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 w:val="21"/>
                <w:szCs w:val="21"/>
                <w:highlight w:val="none"/>
              </w:rPr>
            </w:pPr>
            <w:r>
              <w:rPr>
                <w:color w:val="auto"/>
                <w:sz w:val="21"/>
                <w:szCs w:val="21"/>
                <w:highlight w:val="none"/>
              </w:rPr>
              <w:t>20</w:t>
            </w:r>
            <w:r>
              <w:rPr>
                <w:rFonts w:hint="eastAsia"/>
                <w:color w:val="auto"/>
                <w:sz w:val="21"/>
                <w:szCs w:val="21"/>
                <w:highlight w:val="none"/>
                <w:lang w:val="en-US" w:eastAsia="zh-CN"/>
              </w:rPr>
              <w:t>20</w:t>
            </w:r>
            <w:r>
              <w:rPr>
                <w:color w:val="auto"/>
                <w:sz w:val="21"/>
                <w:szCs w:val="21"/>
                <w:highlight w:val="none"/>
              </w:rPr>
              <w:t>年</w:t>
            </w:r>
            <w:r>
              <w:rPr>
                <w:rFonts w:hint="eastAsia"/>
                <w:color w:val="auto"/>
                <w:sz w:val="21"/>
                <w:szCs w:val="21"/>
                <w:highlight w:val="none"/>
                <w:lang w:val="en-US" w:eastAsia="zh-CN"/>
              </w:rPr>
              <w:t>11</w:t>
            </w:r>
            <w:r>
              <w:rPr>
                <w:color w:val="auto"/>
                <w:sz w:val="21"/>
                <w:szCs w:val="21"/>
                <w:highlight w:val="none"/>
              </w:rPr>
              <w:t>月</w:t>
            </w:r>
            <w:r>
              <w:rPr>
                <w:rFonts w:hint="eastAsia"/>
                <w:color w:val="auto"/>
                <w:sz w:val="21"/>
                <w:szCs w:val="21"/>
                <w:highlight w:val="none"/>
                <w:lang w:val="en-US" w:eastAsia="zh-CN"/>
              </w:rPr>
              <w:t>27</w:t>
            </w:r>
            <w:r>
              <w:rPr>
                <w:color w:val="auto"/>
                <w:sz w:val="21"/>
                <w:szCs w:val="21"/>
                <w:highlight w:val="none"/>
              </w:rPr>
              <w:t>日</w:t>
            </w:r>
          </w:p>
        </w:tc>
        <w:tc>
          <w:tcPr>
            <w:tcW w:w="3250" w:type="dxa"/>
            <w:noWrap w:val="0"/>
            <w:vAlign w:val="center"/>
          </w:tcPr>
          <w:p w14:paraId="1703B7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0.06~0.12</w:t>
            </w:r>
          </w:p>
        </w:tc>
        <w:tc>
          <w:tcPr>
            <w:tcW w:w="2863" w:type="dxa"/>
            <w:noWrap w:val="0"/>
            <w:vAlign w:val="center"/>
          </w:tcPr>
          <w:p w14:paraId="635E5B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0.004~</w:t>
            </w:r>
            <w:r>
              <w:rPr>
                <w:rFonts w:hint="default"/>
                <w:color w:val="auto"/>
                <w:sz w:val="21"/>
                <w:szCs w:val="21"/>
                <w:highlight w:val="none"/>
                <w:lang w:val="en-US" w:eastAsia="zh-CN"/>
              </w:rPr>
              <w:t>0.00</w:t>
            </w:r>
            <w:r>
              <w:rPr>
                <w:rFonts w:hint="eastAsia"/>
                <w:color w:val="auto"/>
                <w:sz w:val="21"/>
                <w:szCs w:val="21"/>
                <w:highlight w:val="none"/>
                <w:lang w:val="en-US" w:eastAsia="zh-CN"/>
              </w:rPr>
              <w:t>8</w:t>
            </w:r>
          </w:p>
        </w:tc>
      </w:tr>
      <w:tr w14:paraId="457F77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3173" w:type="dxa"/>
            <w:noWrap w:val="0"/>
            <w:vAlign w:val="center"/>
          </w:tcPr>
          <w:p w14:paraId="210A33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 w:val="21"/>
                <w:szCs w:val="21"/>
                <w:highlight w:val="none"/>
              </w:rPr>
            </w:pPr>
            <w:r>
              <w:rPr>
                <w:color w:val="auto"/>
                <w:sz w:val="21"/>
                <w:szCs w:val="21"/>
                <w:highlight w:val="none"/>
              </w:rPr>
              <w:t>20</w:t>
            </w:r>
            <w:r>
              <w:rPr>
                <w:rFonts w:hint="eastAsia"/>
                <w:color w:val="auto"/>
                <w:sz w:val="21"/>
                <w:szCs w:val="21"/>
                <w:highlight w:val="none"/>
                <w:lang w:val="en-US" w:eastAsia="zh-CN"/>
              </w:rPr>
              <w:t>20</w:t>
            </w:r>
            <w:r>
              <w:rPr>
                <w:color w:val="auto"/>
                <w:sz w:val="21"/>
                <w:szCs w:val="21"/>
                <w:highlight w:val="none"/>
              </w:rPr>
              <w:t>年</w:t>
            </w:r>
            <w:r>
              <w:rPr>
                <w:rFonts w:hint="eastAsia"/>
                <w:color w:val="auto"/>
                <w:sz w:val="21"/>
                <w:szCs w:val="21"/>
                <w:highlight w:val="none"/>
                <w:lang w:val="en-US" w:eastAsia="zh-CN"/>
              </w:rPr>
              <w:t>11</w:t>
            </w:r>
            <w:r>
              <w:rPr>
                <w:color w:val="auto"/>
                <w:sz w:val="21"/>
                <w:szCs w:val="21"/>
                <w:highlight w:val="none"/>
              </w:rPr>
              <w:t>月</w:t>
            </w:r>
            <w:r>
              <w:rPr>
                <w:rFonts w:hint="eastAsia"/>
                <w:color w:val="auto"/>
                <w:sz w:val="21"/>
                <w:szCs w:val="21"/>
                <w:highlight w:val="none"/>
                <w:lang w:val="en-US" w:eastAsia="zh-CN"/>
              </w:rPr>
              <w:t>28</w:t>
            </w:r>
            <w:r>
              <w:rPr>
                <w:color w:val="auto"/>
                <w:sz w:val="21"/>
                <w:szCs w:val="21"/>
                <w:highlight w:val="none"/>
              </w:rPr>
              <w:t>日</w:t>
            </w:r>
          </w:p>
        </w:tc>
        <w:tc>
          <w:tcPr>
            <w:tcW w:w="3250" w:type="dxa"/>
            <w:noWrap w:val="0"/>
            <w:vAlign w:val="center"/>
          </w:tcPr>
          <w:p w14:paraId="4C5047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0.07~0.12</w:t>
            </w:r>
          </w:p>
        </w:tc>
        <w:tc>
          <w:tcPr>
            <w:tcW w:w="2863" w:type="dxa"/>
            <w:noWrap w:val="0"/>
            <w:vAlign w:val="center"/>
          </w:tcPr>
          <w:p w14:paraId="41B774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0.006~</w:t>
            </w:r>
            <w:r>
              <w:rPr>
                <w:rFonts w:hint="default"/>
                <w:color w:val="auto"/>
                <w:sz w:val="21"/>
                <w:szCs w:val="21"/>
                <w:highlight w:val="none"/>
                <w:lang w:val="en-US" w:eastAsia="zh-CN"/>
              </w:rPr>
              <w:t>0.00</w:t>
            </w:r>
            <w:r>
              <w:rPr>
                <w:rFonts w:hint="eastAsia"/>
                <w:color w:val="auto"/>
                <w:sz w:val="21"/>
                <w:szCs w:val="21"/>
                <w:highlight w:val="none"/>
                <w:lang w:val="en-US" w:eastAsia="zh-CN"/>
              </w:rPr>
              <w:t>9</w:t>
            </w:r>
          </w:p>
        </w:tc>
      </w:tr>
      <w:tr w14:paraId="78D592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65" w:hRule="exact"/>
        </w:trPr>
        <w:tc>
          <w:tcPr>
            <w:tcW w:w="3173" w:type="dxa"/>
            <w:noWrap w:val="0"/>
            <w:vAlign w:val="center"/>
          </w:tcPr>
          <w:p w14:paraId="6F8E1A9D">
            <w:pPr>
              <w:keepNext w:val="0"/>
              <w:keepLines w:val="0"/>
              <w:pageBreakBefore w:val="0"/>
              <w:widowControl w:val="0"/>
              <w:tabs>
                <w:tab w:val="left" w:pos="458"/>
              </w:tabs>
              <w:kinsoku/>
              <w:wordWrap/>
              <w:overflowPunct/>
              <w:topLinePunct w:val="0"/>
              <w:autoSpaceDE/>
              <w:autoSpaceDN/>
              <w:bidi w:val="0"/>
              <w:adjustRightInd w:val="0"/>
              <w:snapToGrid w:val="0"/>
              <w:spacing w:line="240" w:lineRule="auto"/>
              <w:jc w:val="center"/>
              <w:textAlignment w:val="auto"/>
              <w:outlineLvl w:val="1"/>
              <w:rPr>
                <w:color w:val="auto"/>
                <w:sz w:val="21"/>
                <w:szCs w:val="21"/>
                <w:highlight w:val="none"/>
              </w:rPr>
            </w:pPr>
            <w:r>
              <w:rPr>
                <w:rFonts w:hint="eastAsia"/>
                <w:color w:val="auto"/>
                <w:sz w:val="21"/>
                <w:szCs w:val="21"/>
                <w:highlight w:val="none"/>
                <w:lang w:eastAsia="zh-CN"/>
              </w:rPr>
              <w:t>《环境影响评价技术导则 大气环境》（HJ2.2-2018）中附录D中</w:t>
            </w:r>
            <w:r>
              <w:rPr>
                <w:rFonts w:hint="eastAsia"/>
                <w:color w:val="auto"/>
                <w:sz w:val="21"/>
                <w:szCs w:val="21"/>
                <w:highlight w:val="none"/>
                <w:lang w:val="en-US" w:eastAsia="zh-CN"/>
              </w:rPr>
              <w:t>1</w:t>
            </w:r>
            <w:r>
              <w:rPr>
                <w:color w:val="auto"/>
                <w:sz w:val="21"/>
                <w:szCs w:val="21"/>
                <w:highlight w:val="none"/>
              </w:rPr>
              <w:t>小时平均</w:t>
            </w:r>
          </w:p>
        </w:tc>
        <w:tc>
          <w:tcPr>
            <w:tcW w:w="3250" w:type="dxa"/>
            <w:noWrap w:val="0"/>
            <w:vAlign w:val="center"/>
          </w:tcPr>
          <w:p w14:paraId="4CAB3339">
            <w:pPr>
              <w:keepNext w:val="0"/>
              <w:keepLines w:val="0"/>
              <w:pageBreakBefore w:val="0"/>
              <w:widowControl w:val="0"/>
              <w:tabs>
                <w:tab w:val="left" w:pos="458"/>
              </w:tabs>
              <w:kinsoku/>
              <w:wordWrap/>
              <w:overflowPunct/>
              <w:topLinePunct w:val="0"/>
              <w:autoSpaceDE/>
              <w:autoSpaceDN/>
              <w:bidi w:val="0"/>
              <w:adjustRightInd w:val="0"/>
              <w:snapToGrid w:val="0"/>
              <w:spacing w:line="240" w:lineRule="auto"/>
              <w:jc w:val="center"/>
              <w:textAlignment w:val="auto"/>
              <w:outlineLvl w:val="1"/>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0.2</w:t>
            </w:r>
          </w:p>
        </w:tc>
        <w:tc>
          <w:tcPr>
            <w:tcW w:w="2863" w:type="dxa"/>
            <w:noWrap w:val="0"/>
            <w:vAlign w:val="center"/>
          </w:tcPr>
          <w:p w14:paraId="144C209A">
            <w:pPr>
              <w:keepNext w:val="0"/>
              <w:keepLines w:val="0"/>
              <w:pageBreakBefore w:val="0"/>
              <w:widowControl w:val="0"/>
              <w:tabs>
                <w:tab w:val="left" w:pos="458"/>
              </w:tabs>
              <w:kinsoku/>
              <w:wordWrap/>
              <w:overflowPunct/>
              <w:topLinePunct w:val="0"/>
              <w:autoSpaceDE/>
              <w:autoSpaceDN/>
              <w:bidi w:val="0"/>
              <w:adjustRightInd w:val="0"/>
              <w:snapToGrid w:val="0"/>
              <w:spacing w:line="240" w:lineRule="auto"/>
              <w:jc w:val="center"/>
              <w:textAlignment w:val="auto"/>
              <w:outlineLvl w:val="1"/>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0.01</w:t>
            </w:r>
          </w:p>
        </w:tc>
      </w:tr>
      <w:tr w14:paraId="3D68A4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1" w:hRule="exact"/>
        </w:trPr>
        <w:tc>
          <w:tcPr>
            <w:tcW w:w="3173" w:type="dxa"/>
            <w:noWrap w:val="0"/>
            <w:vAlign w:val="center"/>
          </w:tcPr>
          <w:p w14:paraId="3A15CFB9">
            <w:pPr>
              <w:keepNext w:val="0"/>
              <w:keepLines w:val="0"/>
              <w:pageBreakBefore w:val="0"/>
              <w:widowControl w:val="0"/>
              <w:tabs>
                <w:tab w:val="left" w:pos="458"/>
              </w:tabs>
              <w:kinsoku/>
              <w:wordWrap/>
              <w:overflowPunct/>
              <w:topLinePunct w:val="0"/>
              <w:autoSpaceDE/>
              <w:autoSpaceDN/>
              <w:bidi w:val="0"/>
              <w:adjustRightInd w:val="0"/>
              <w:snapToGrid w:val="0"/>
              <w:spacing w:line="240" w:lineRule="auto"/>
              <w:ind w:firstLine="443" w:firstLineChars="211"/>
              <w:jc w:val="center"/>
              <w:textAlignment w:val="auto"/>
              <w:outlineLvl w:val="1"/>
              <w:rPr>
                <w:color w:val="auto"/>
                <w:sz w:val="21"/>
                <w:szCs w:val="21"/>
                <w:highlight w:val="none"/>
              </w:rPr>
            </w:pPr>
            <w:r>
              <w:rPr>
                <w:color w:val="auto"/>
                <w:sz w:val="21"/>
                <w:szCs w:val="21"/>
                <w:highlight w:val="none"/>
              </w:rPr>
              <w:t>超标倍数</w:t>
            </w:r>
          </w:p>
        </w:tc>
        <w:tc>
          <w:tcPr>
            <w:tcW w:w="3250" w:type="dxa"/>
            <w:noWrap w:val="0"/>
            <w:vAlign w:val="center"/>
          </w:tcPr>
          <w:p w14:paraId="6C794D1E">
            <w:pPr>
              <w:keepNext w:val="0"/>
              <w:keepLines w:val="0"/>
              <w:pageBreakBefore w:val="0"/>
              <w:widowControl w:val="0"/>
              <w:tabs>
                <w:tab w:val="left" w:pos="458"/>
              </w:tabs>
              <w:kinsoku/>
              <w:wordWrap/>
              <w:overflowPunct/>
              <w:topLinePunct w:val="0"/>
              <w:autoSpaceDE/>
              <w:autoSpaceDN/>
              <w:bidi w:val="0"/>
              <w:adjustRightInd w:val="0"/>
              <w:snapToGrid w:val="0"/>
              <w:spacing w:line="240" w:lineRule="auto"/>
              <w:jc w:val="center"/>
              <w:textAlignment w:val="auto"/>
              <w:outlineLvl w:val="1"/>
              <w:rPr>
                <w:color w:val="auto"/>
                <w:sz w:val="21"/>
                <w:szCs w:val="21"/>
                <w:highlight w:val="none"/>
              </w:rPr>
            </w:pPr>
            <w:r>
              <w:rPr>
                <w:color w:val="auto"/>
                <w:sz w:val="21"/>
                <w:szCs w:val="21"/>
                <w:highlight w:val="none"/>
              </w:rPr>
              <w:t>0</w:t>
            </w:r>
          </w:p>
        </w:tc>
        <w:tc>
          <w:tcPr>
            <w:tcW w:w="2863" w:type="dxa"/>
            <w:noWrap w:val="0"/>
            <w:vAlign w:val="center"/>
          </w:tcPr>
          <w:p w14:paraId="00494F4C">
            <w:pPr>
              <w:keepNext w:val="0"/>
              <w:keepLines w:val="0"/>
              <w:pageBreakBefore w:val="0"/>
              <w:widowControl w:val="0"/>
              <w:tabs>
                <w:tab w:val="left" w:pos="458"/>
              </w:tabs>
              <w:kinsoku/>
              <w:wordWrap/>
              <w:overflowPunct/>
              <w:topLinePunct w:val="0"/>
              <w:autoSpaceDE/>
              <w:autoSpaceDN/>
              <w:bidi w:val="0"/>
              <w:adjustRightInd w:val="0"/>
              <w:snapToGrid w:val="0"/>
              <w:spacing w:line="240" w:lineRule="auto"/>
              <w:jc w:val="center"/>
              <w:textAlignment w:val="auto"/>
              <w:outlineLvl w:val="1"/>
              <w:rPr>
                <w:rFonts w:hint="eastAsia" w:eastAsia="宋体"/>
                <w:color w:val="auto"/>
                <w:sz w:val="21"/>
                <w:szCs w:val="21"/>
                <w:highlight w:val="none"/>
                <w:lang w:val="en-US" w:eastAsia="zh-CN"/>
              </w:rPr>
            </w:pPr>
            <w:r>
              <w:rPr>
                <w:rFonts w:hint="eastAsia"/>
                <w:color w:val="auto"/>
                <w:sz w:val="21"/>
                <w:szCs w:val="21"/>
                <w:highlight w:val="none"/>
                <w:lang w:val="en-US" w:eastAsia="zh-CN"/>
              </w:rPr>
              <w:t>0</w:t>
            </w:r>
          </w:p>
        </w:tc>
      </w:tr>
    </w:tbl>
    <w:p w14:paraId="219952EC">
      <w:pPr>
        <w:pStyle w:val="13"/>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highlight w:val="none"/>
        </w:rPr>
      </w:pPr>
      <w:r>
        <w:rPr>
          <w:rFonts w:hint="eastAsia" w:ascii="宋体" w:hAnsi="宋体" w:eastAsia="宋体" w:cs="宋体"/>
          <w:color w:val="auto"/>
          <w:sz w:val="24"/>
          <w:szCs w:val="24"/>
          <w:highlight w:val="none"/>
        </w:rPr>
        <w:t>由监测结果可以看出：</w:t>
      </w:r>
      <w:r>
        <w:rPr>
          <w:rFonts w:hint="eastAsia" w:ascii="Times New Roman" w:hAnsi="Times New Roman" w:eastAsia="宋体" w:cs="Times New Roman"/>
          <w:color w:val="auto"/>
          <w:sz w:val="24"/>
          <w:szCs w:val="24"/>
          <w:highlight w:val="none"/>
          <w:lang w:val="en-US" w:eastAsia="zh-CN"/>
        </w:rPr>
        <w:t>NH</w:t>
      </w:r>
      <w:r>
        <w:rPr>
          <w:rFonts w:hint="eastAsia" w:ascii="Times New Roman" w:hAnsi="Times New Roman" w:eastAsia="宋体" w:cs="Times New Roman"/>
          <w:color w:val="auto"/>
          <w:sz w:val="24"/>
          <w:szCs w:val="24"/>
          <w:highlight w:val="none"/>
          <w:vertAlign w:val="subscript"/>
          <w:lang w:val="en-US" w:eastAsia="zh-CN"/>
        </w:rPr>
        <w:t xml:space="preserve">3 </w:t>
      </w:r>
      <w:r>
        <w:rPr>
          <w:rFonts w:hint="eastAsia" w:ascii="Times New Roman" w:hAnsi="Times New Roman" w:eastAsia="宋体" w:cs="Times New Roman"/>
          <w:color w:val="auto"/>
          <w:sz w:val="24"/>
          <w:szCs w:val="24"/>
          <w:highlight w:val="none"/>
          <w:vertAlign w:val="baseline"/>
          <w:lang w:val="en-US" w:eastAsia="zh-CN"/>
        </w:rPr>
        <w:t>1小时平均</w:t>
      </w:r>
      <w:r>
        <w:rPr>
          <w:rFonts w:hint="default" w:ascii="Times New Roman" w:hAnsi="Times New Roman" w:eastAsia="宋体" w:cs="Times New Roman"/>
          <w:color w:val="auto"/>
          <w:sz w:val="24"/>
          <w:szCs w:val="24"/>
          <w:highlight w:val="none"/>
        </w:rPr>
        <w:t>浓度范围</w:t>
      </w:r>
      <w:r>
        <w:rPr>
          <w:rFonts w:hint="eastAsia" w:ascii="Times New Roman" w:hAnsi="Times New Roman" w:eastAsia="宋体" w:cs="Times New Roman"/>
          <w:color w:val="auto"/>
          <w:sz w:val="24"/>
          <w:szCs w:val="24"/>
          <w:highlight w:val="none"/>
          <w:lang w:val="en-US" w:eastAsia="zh-CN"/>
        </w:rPr>
        <w:t>0.0</w:t>
      </w:r>
      <w:r>
        <w:rPr>
          <w:rFonts w:hint="eastAsia"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0.</w:t>
      </w:r>
      <w:r>
        <w:rPr>
          <w:rFonts w:hint="eastAsia" w:cs="Times New Roman"/>
          <w:color w:val="auto"/>
          <w:sz w:val="24"/>
          <w:szCs w:val="24"/>
          <w:highlight w:val="none"/>
          <w:lang w:val="en-US" w:eastAsia="zh-CN"/>
        </w:rPr>
        <w:t>12</w:t>
      </w:r>
      <w:r>
        <w:rPr>
          <w:rFonts w:hint="eastAsia"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rPr>
        <w:t>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r>
        <w:rPr>
          <w:rFonts w:hint="eastAsia"/>
          <w:color w:val="auto"/>
          <w:sz w:val="24"/>
          <w:szCs w:val="24"/>
          <w:highlight w:val="none"/>
          <w:lang w:val="en-US" w:eastAsia="zh-CN"/>
        </w:rPr>
        <w:t>H</w:t>
      </w:r>
      <w:r>
        <w:rPr>
          <w:rFonts w:hint="eastAsia"/>
          <w:color w:val="auto"/>
          <w:sz w:val="24"/>
          <w:szCs w:val="24"/>
          <w:highlight w:val="none"/>
          <w:vertAlign w:val="subscript"/>
          <w:lang w:val="en-US" w:eastAsia="zh-CN"/>
        </w:rPr>
        <w:t>2</w:t>
      </w:r>
      <w:r>
        <w:rPr>
          <w:rFonts w:hint="eastAsia"/>
          <w:color w:val="auto"/>
          <w:sz w:val="24"/>
          <w:szCs w:val="24"/>
          <w:highlight w:val="none"/>
          <w:lang w:val="en-US" w:eastAsia="zh-CN"/>
        </w:rPr>
        <w:t xml:space="preserve">S </w:t>
      </w:r>
      <w:r>
        <w:rPr>
          <w:rFonts w:hint="eastAsia" w:ascii="Times New Roman" w:hAnsi="Times New Roman" w:eastAsia="宋体" w:cs="Times New Roman"/>
          <w:color w:val="auto"/>
          <w:sz w:val="24"/>
          <w:szCs w:val="24"/>
          <w:highlight w:val="none"/>
          <w:lang w:val="en-US" w:eastAsia="zh-CN"/>
        </w:rPr>
        <w:t>1小时平均</w:t>
      </w:r>
      <w:r>
        <w:rPr>
          <w:rFonts w:hint="default" w:ascii="Times New Roman" w:hAnsi="Times New Roman" w:eastAsia="宋体" w:cs="Times New Roman"/>
          <w:color w:val="auto"/>
          <w:sz w:val="24"/>
          <w:szCs w:val="24"/>
          <w:highlight w:val="none"/>
        </w:rPr>
        <w:t>浓度范围</w:t>
      </w:r>
      <w:r>
        <w:rPr>
          <w:rFonts w:hint="eastAsia" w:cs="Times New Roman"/>
          <w:color w:val="auto"/>
          <w:sz w:val="24"/>
          <w:szCs w:val="24"/>
          <w:highlight w:val="none"/>
          <w:lang w:val="en-US" w:eastAsia="zh-CN"/>
        </w:rPr>
        <w:t>0.004</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0.00</w:t>
      </w:r>
      <w:r>
        <w:rPr>
          <w:rFonts w:hint="eastAsia" w:cs="Times New Roman"/>
          <w:color w:val="auto"/>
          <w:sz w:val="24"/>
          <w:szCs w:val="24"/>
          <w:highlight w:val="none"/>
          <w:lang w:val="en-US" w:eastAsia="zh-CN"/>
        </w:rPr>
        <w:t>9</w:t>
      </w:r>
      <w:r>
        <w:rPr>
          <w:rFonts w:hint="eastAsia"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rPr>
        <w:t>g/m</w:t>
      </w:r>
      <w:r>
        <w:rPr>
          <w:rFonts w:hint="default" w:ascii="Times New Roman" w:hAnsi="Times New Roman" w:eastAsia="宋体" w:cs="Times New Roman"/>
          <w:color w:val="auto"/>
          <w:sz w:val="24"/>
          <w:szCs w:val="24"/>
          <w:highlight w:val="none"/>
          <w:vertAlign w:val="superscript"/>
        </w:rPr>
        <w:t>3</w:t>
      </w:r>
      <w:r>
        <w:rPr>
          <w:rFonts w:hint="eastAsia" w:ascii="Times New Roman" w:hAnsi="Times New Roman" w:eastAsia="宋体" w:cs="Times New Roman"/>
          <w:color w:val="auto"/>
          <w:sz w:val="24"/>
          <w:szCs w:val="24"/>
          <w:highlight w:val="none"/>
          <w:vertAlign w:val="baseline"/>
          <w:lang w:eastAsia="zh-CN"/>
        </w:rPr>
        <w:t>，</w:t>
      </w:r>
      <w:r>
        <w:rPr>
          <w:rFonts w:hint="eastAsia" w:ascii="Times New Roman" w:hAnsi="Times New Roman" w:eastAsia="宋体" w:cs="Times New Roman"/>
          <w:color w:val="auto"/>
          <w:sz w:val="24"/>
          <w:szCs w:val="24"/>
          <w:highlight w:val="none"/>
          <w:vertAlign w:val="baseline"/>
          <w:lang w:val="en-US" w:eastAsia="zh-CN"/>
        </w:rPr>
        <w:t>1</w:t>
      </w:r>
      <w:r>
        <w:rPr>
          <w:rFonts w:hint="default" w:ascii="Times New Roman" w:hAnsi="Times New Roman" w:eastAsia="宋体" w:cs="Times New Roman"/>
          <w:color w:val="auto"/>
          <w:sz w:val="24"/>
          <w:szCs w:val="24"/>
          <w:highlight w:val="none"/>
        </w:rPr>
        <w:t>小时平均浓度</w:t>
      </w:r>
      <w:r>
        <w:rPr>
          <w:rFonts w:hint="eastAsia" w:ascii="Times New Roman" w:hAnsi="Times New Roman" w:eastAsia="宋体" w:cs="Times New Roman"/>
          <w:color w:val="auto"/>
          <w:sz w:val="24"/>
          <w:szCs w:val="24"/>
          <w:highlight w:val="none"/>
          <w:lang w:eastAsia="zh-CN"/>
        </w:rPr>
        <w:t>均</w:t>
      </w:r>
      <w:r>
        <w:rPr>
          <w:rFonts w:hint="default" w:ascii="Times New Roman" w:hAnsi="Times New Roman" w:eastAsia="宋体" w:cs="Times New Roman"/>
          <w:color w:val="auto"/>
          <w:sz w:val="24"/>
          <w:szCs w:val="24"/>
          <w:highlight w:val="none"/>
        </w:rPr>
        <w:t>未超标；满足《</w:t>
      </w:r>
      <w:r>
        <w:rPr>
          <w:rFonts w:hint="eastAsia" w:ascii="Times New Roman" w:hAnsi="Times New Roman" w:eastAsia="宋体" w:cs="Times New Roman"/>
          <w:color w:val="auto"/>
          <w:sz w:val="24"/>
          <w:szCs w:val="24"/>
          <w:highlight w:val="none"/>
          <w:lang w:eastAsia="zh-CN"/>
        </w:rPr>
        <w:t>环境影响评价技术导则大气环境</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HJ2.2-2018</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eastAsia="zh-CN"/>
        </w:rPr>
        <w:t>附录</w:t>
      </w:r>
      <w:r>
        <w:rPr>
          <w:rFonts w:hint="eastAsia" w:ascii="Times New Roman" w:hAnsi="Times New Roman" w:eastAsia="宋体" w:cs="Times New Roman"/>
          <w:color w:val="auto"/>
          <w:sz w:val="24"/>
          <w:szCs w:val="24"/>
          <w:highlight w:val="none"/>
          <w:lang w:val="en-US" w:eastAsia="zh-CN"/>
        </w:rPr>
        <w:t>D其他污染物空气质量浓度参考限值，</w:t>
      </w:r>
      <w:r>
        <w:rPr>
          <w:rFonts w:hint="default" w:ascii="Times New Roman" w:hAnsi="Times New Roman" w:eastAsia="宋体" w:cs="Times New Roman"/>
          <w:color w:val="auto"/>
          <w:sz w:val="24"/>
          <w:szCs w:val="24"/>
          <w:highlight w:val="none"/>
        </w:rPr>
        <w:t>说明</w:t>
      </w:r>
      <w:r>
        <w:rPr>
          <w:rFonts w:hint="eastAsia"/>
          <w:color w:val="auto"/>
          <w:sz w:val="24"/>
          <w:szCs w:val="24"/>
          <w:highlight w:val="none"/>
          <w:lang w:eastAsia="zh-CN"/>
        </w:rPr>
        <w:t>针对本项目排放的大气特征污染因子，所在区域尚有一定的环境容量。</w:t>
      </w:r>
    </w:p>
    <w:p w14:paraId="15B18CFC">
      <w:pPr>
        <w:pStyle w:val="17"/>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2</w:t>
      </w:r>
      <w:r>
        <w:rPr>
          <w:rFonts w:hint="default" w:ascii="Times New Roman" w:hAnsi="Times New Roman" w:cs="Times New Roman"/>
          <w:b/>
          <w:bCs/>
          <w:color w:val="auto"/>
          <w:sz w:val="24"/>
          <w:szCs w:val="24"/>
          <w:highlight w:val="none"/>
        </w:rPr>
        <w:t>声环境质量现状</w:t>
      </w:r>
    </w:p>
    <w:p w14:paraId="1091B61B">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本次评价在</w:t>
      </w:r>
      <w:r>
        <w:rPr>
          <w:rFonts w:hint="eastAsia" w:cs="Times New Roman"/>
          <w:color w:val="auto"/>
          <w:sz w:val="24"/>
          <w:szCs w:val="24"/>
          <w:highlight w:val="none"/>
          <w:lang w:eastAsia="zh-CN"/>
        </w:rPr>
        <w:t>医院</w:t>
      </w:r>
      <w:r>
        <w:rPr>
          <w:rFonts w:hint="default" w:ascii="Times New Roman" w:hAnsi="Times New Roman" w:cs="Times New Roman"/>
          <w:color w:val="auto"/>
          <w:sz w:val="24"/>
          <w:szCs w:val="24"/>
          <w:highlight w:val="none"/>
        </w:rPr>
        <w:t>边界四周外1m处、</w:t>
      </w:r>
      <w:r>
        <w:rPr>
          <w:rFonts w:hint="eastAsia" w:cs="Times New Roman"/>
          <w:color w:val="auto"/>
          <w:sz w:val="24"/>
          <w:szCs w:val="24"/>
          <w:highlight w:val="none"/>
          <w:lang w:eastAsia="zh-CN"/>
        </w:rPr>
        <w:t>东</w:t>
      </w:r>
      <w:r>
        <w:rPr>
          <w:rFonts w:hint="default" w:ascii="Times New Roman" w:hAnsi="Times New Roman" w:cs="Times New Roman"/>
          <w:color w:val="auto"/>
          <w:sz w:val="24"/>
          <w:szCs w:val="24"/>
          <w:highlight w:val="none"/>
        </w:rPr>
        <w:t>北侧</w:t>
      </w:r>
      <w:r>
        <w:rPr>
          <w:rFonts w:hint="eastAsia" w:cs="Times New Roman"/>
          <w:color w:val="auto"/>
          <w:sz w:val="24"/>
          <w:szCs w:val="24"/>
          <w:highlight w:val="none"/>
          <w:lang w:eastAsia="zh-CN"/>
        </w:rPr>
        <w:t>站前</w:t>
      </w:r>
      <w:r>
        <w:rPr>
          <w:rFonts w:hint="default" w:ascii="Times New Roman" w:hAnsi="Times New Roman" w:cs="Times New Roman"/>
          <w:color w:val="auto"/>
          <w:sz w:val="24"/>
          <w:szCs w:val="24"/>
          <w:highlight w:val="none"/>
        </w:rPr>
        <w:t>社区居民各布设一个噪声监测点，共设置</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个环境噪声监测点。20</w:t>
      </w:r>
      <w:r>
        <w:rPr>
          <w:rFonts w:hint="eastAsia" w:cs="Times New Roman"/>
          <w:color w:val="auto"/>
          <w:sz w:val="24"/>
          <w:szCs w:val="24"/>
          <w:highlight w:val="none"/>
          <w:lang w:val="en-US" w:eastAsia="zh-CN"/>
        </w:rPr>
        <w:t>20</w:t>
      </w:r>
      <w:r>
        <w:rPr>
          <w:rFonts w:hint="default" w:ascii="Times New Roman" w:hAnsi="Times New Roman" w:cs="Times New Roman"/>
          <w:color w:val="auto"/>
          <w:sz w:val="24"/>
          <w:szCs w:val="24"/>
          <w:highlight w:val="none"/>
        </w:rPr>
        <w:t>年</w:t>
      </w:r>
      <w:r>
        <w:rPr>
          <w:rFonts w:hint="eastAsia" w:cs="Times New Roman"/>
          <w:color w:val="auto"/>
          <w:sz w:val="24"/>
          <w:szCs w:val="24"/>
          <w:highlight w:val="none"/>
          <w:lang w:val="en-US" w:eastAsia="zh-CN"/>
        </w:rPr>
        <w:t>11</w:t>
      </w:r>
      <w:r>
        <w:rPr>
          <w:rFonts w:hint="default" w:ascii="Times New Roman" w:hAnsi="Times New Roman" w:cs="Times New Roman"/>
          <w:color w:val="auto"/>
          <w:sz w:val="24"/>
          <w:szCs w:val="24"/>
          <w:highlight w:val="none"/>
        </w:rPr>
        <w:t>月</w:t>
      </w:r>
      <w:r>
        <w:rPr>
          <w:rFonts w:hint="eastAsia" w:cs="Times New Roman"/>
          <w:color w:val="auto"/>
          <w:sz w:val="24"/>
          <w:szCs w:val="24"/>
          <w:highlight w:val="none"/>
          <w:lang w:val="en-US" w:eastAsia="zh-CN"/>
        </w:rPr>
        <w:t>22</w:t>
      </w:r>
      <w:r>
        <w:rPr>
          <w:rFonts w:hint="default" w:ascii="Times New Roman" w:hAnsi="Times New Roman" w:cs="Times New Roman"/>
          <w:color w:val="auto"/>
          <w:sz w:val="24"/>
          <w:szCs w:val="24"/>
          <w:highlight w:val="none"/>
        </w:rPr>
        <w:t>日至</w:t>
      </w:r>
      <w:r>
        <w:rPr>
          <w:rFonts w:hint="eastAsia" w:cs="Times New Roman"/>
          <w:color w:val="auto"/>
          <w:sz w:val="24"/>
          <w:szCs w:val="24"/>
          <w:highlight w:val="none"/>
          <w:lang w:val="en-US" w:eastAsia="zh-CN"/>
        </w:rPr>
        <w:t>11</w:t>
      </w:r>
      <w:r>
        <w:rPr>
          <w:rFonts w:hint="default" w:ascii="Times New Roman" w:hAnsi="Times New Roman" w:cs="Times New Roman"/>
          <w:color w:val="auto"/>
          <w:sz w:val="24"/>
          <w:szCs w:val="24"/>
          <w:highlight w:val="none"/>
        </w:rPr>
        <w:t>月</w:t>
      </w:r>
      <w:r>
        <w:rPr>
          <w:rFonts w:hint="eastAsia" w:cs="Times New Roman"/>
          <w:color w:val="auto"/>
          <w:sz w:val="24"/>
          <w:szCs w:val="24"/>
          <w:highlight w:val="none"/>
          <w:lang w:val="en-US" w:eastAsia="zh-CN"/>
        </w:rPr>
        <w:t>23</w:t>
      </w:r>
      <w:r>
        <w:rPr>
          <w:rFonts w:hint="default" w:ascii="Times New Roman" w:hAnsi="Times New Roman" w:cs="Times New Roman"/>
          <w:color w:val="auto"/>
          <w:sz w:val="24"/>
          <w:szCs w:val="24"/>
          <w:highlight w:val="none"/>
        </w:rPr>
        <w:t>日连续监测两天，昼、夜间各</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次，监测单位为</w:t>
      </w:r>
      <w:r>
        <w:rPr>
          <w:rFonts w:hint="eastAsia" w:ascii="宋体" w:hAnsi="宋体" w:eastAsia="宋体" w:cs="宋体"/>
          <w:color w:val="auto"/>
          <w:sz w:val="24"/>
          <w:szCs w:val="24"/>
          <w:highlight w:val="none"/>
          <w:lang w:eastAsia="zh-CN"/>
        </w:rPr>
        <w:t>沈阳中正检测有限公司</w:t>
      </w:r>
      <w:r>
        <w:rPr>
          <w:rFonts w:hint="default" w:ascii="Times New Roman" w:hAnsi="Times New Roman" w:cs="Times New Roman"/>
          <w:color w:val="auto"/>
          <w:sz w:val="24"/>
          <w:szCs w:val="24"/>
          <w:highlight w:val="none"/>
        </w:rPr>
        <w:t>，噪声监测结果如下：</w:t>
      </w:r>
    </w:p>
    <w:p w14:paraId="1964DBFB">
      <w:pPr>
        <w:spacing w:line="360" w:lineRule="auto"/>
        <w:jc w:val="both"/>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w:t>
      </w:r>
      <w:r>
        <w:rPr>
          <w:rFonts w:hint="eastAsia" w:cs="Times New Roman"/>
          <w:b/>
          <w:bCs/>
          <w:color w:val="auto"/>
          <w:highlight w:val="none"/>
          <w:lang w:val="en-US" w:eastAsia="zh-CN"/>
        </w:rPr>
        <w:t xml:space="preserve">9                                 </w:t>
      </w:r>
      <w:r>
        <w:rPr>
          <w:rFonts w:hint="default" w:ascii="Times New Roman" w:hAnsi="Times New Roman" w:cs="Times New Roman"/>
          <w:b/>
          <w:bCs/>
          <w:color w:val="auto"/>
          <w:highlight w:val="none"/>
        </w:rPr>
        <w:t>噪声监测结果</w:t>
      </w:r>
      <w:r>
        <w:rPr>
          <w:rFonts w:hint="eastAsia" w:cs="Times New Roman"/>
          <w:b/>
          <w:bCs/>
          <w:color w:val="auto"/>
          <w:highlight w:val="none"/>
          <w:lang w:val="en-US" w:eastAsia="zh-CN"/>
        </w:rPr>
        <w:t xml:space="preserve">                  </w:t>
      </w:r>
      <w:r>
        <w:rPr>
          <w:rFonts w:hint="default" w:ascii="Times New Roman" w:hAnsi="Times New Roman" w:cs="Times New Roman"/>
          <w:b/>
          <w:bCs/>
          <w:color w:val="auto"/>
          <w:kern w:val="0"/>
          <w:highlight w:val="none"/>
        </w:rPr>
        <w:t>单位：Leq[（dB）A]</w:t>
      </w:r>
    </w:p>
    <w:tbl>
      <w:tblPr>
        <w:tblStyle w:val="24"/>
        <w:tblW w:w="92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1857"/>
        <w:gridCol w:w="1856"/>
        <w:gridCol w:w="1858"/>
        <w:gridCol w:w="1858"/>
      </w:tblGrid>
      <w:tr w14:paraId="71442E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57" w:type="dxa"/>
            <w:vMerge w:val="restart"/>
            <w:tcBorders>
              <w:top w:val="single" w:color="auto" w:sz="12" w:space="0"/>
            </w:tcBorders>
            <w:vAlign w:val="center"/>
          </w:tcPr>
          <w:p w14:paraId="5629CA84">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项目</w:t>
            </w:r>
          </w:p>
        </w:tc>
        <w:tc>
          <w:tcPr>
            <w:tcW w:w="3713" w:type="dxa"/>
            <w:gridSpan w:val="2"/>
            <w:tcBorders>
              <w:top w:val="single" w:color="auto" w:sz="12" w:space="0"/>
            </w:tcBorders>
            <w:vAlign w:val="center"/>
          </w:tcPr>
          <w:p w14:paraId="472987CC">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eastAsia" w:cs="Times New Roman"/>
                <w:color w:val="auto"/>
                <w:highlight w:val="none"/>
                <w:lang w:val="en-US" w:eastAsia="zh-CN"/>
              </w:rPr>
              <w:t>11</w:t>
            </w:r>
            <w:r>
              <w:rPr>
                <w:rFonts w:hint="default" w:ascii="Times New Roman" w:hAnsi="Times New Roman" w:cs="Times New Roman"/>
                <w:color w:val="auto"/>
                <w:highlight w:val="none"/>
              </w:rPr>
              <w:t>月</w:t>
            </w:r>
            <w:r>
              <w:rPr>
                <w:rFonts w:hint="eastAsia" w:cs="Times New Roman"/>
                <w:color w:val="auto"/>
                <w:highlight w:val="none"/>
                <w:lang w:val="en-US" w:eastAsia="zh-CN"/>
              </w:rPr>
              <w:t>22</w:t>
            </w:r>
            <w:r>
              <w:rPr>
                <w:rFonts w:hint="default" w:ascii="Times New Roman" w:hAnsi="Times New Roman" w:cs="Times New Roman"/>
                <w:color w:val="auto"/>
                <w:highlight w:val="none"/>
              </w:rPr>
              <w:t>日</w:t>
            </w:r>
          </w:p>
        </w:tc>
        <w:tc>
          <w:tcPr>
            <w:tcW w:w="3716" w:type="dxa"/>
            <w:gridSpan w:val="2"/>
            <w:tcBorders>
              <w:top w:val="single" w:color="auto" w:sz="12" w:space="0"/>
            </w:tcBorders>
            <w:vAlign w:val="center"/>
          </w:tcPr>
          <w:p w14:paraId="5D973E74">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eastAsia" w:cs="Times New Roman"/>
                <w:color w:val="auto"/>
                <w:highlight w:val="none"/>
                <w:lang w:val="en-US" w:eastAsia="zh-CN"/>
              </w:rPr>
              <w:t>11</w:t>
            </w:r>
            <w:r>
              <w:rPr>
                <w:rFonts w:hint="default" w:ascii="Times New Roman" w:hAnsi="Times New Roman" w:cs="Times New Roman"/>
                <w:color w:val="auto"/>
                <w:highlight w:val="none"/>
              </w:rPr>
              <w:t>月</w:t>
            </w:r>
            <w:r>
              <w:rPr>
                <w:rFonts w:hint="eastAsia" w:cs="Times New Roman"/>
                <w:color w:val="auto"/>
                <w:highlight w:val="none"/>
                <w:lang w:val="en-US" w:eastAsia="zh-CN"/>
              </w:rPr>
              <w:t>23</w:t>
            </w:r>
            <w:r>
              <w:rPr>
                <w:rFonts w:hint="default" w:ascii="Times New Roman" w:hAnsi="Times New Roman" w:cs="Times New Roman"/>
                <w:color w:val="auto"/>
                <w:highlight w:val="none"/>
              </w:rPr>
              <w:t>日</w:t>
            </w:r>
          </w:p>
        </w:tc>
      </w:tr>
      <w:tr w14:paraId="00ED44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857" w:type="dxa"/>
            <w:vMerge w:val="continue"/>
            <w:vAlign w:val="center"/>
          </w:tcPr>
          <w:p w14:paraId="5BBAB849">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p>
        </w:tc>
        <w:tc>
          <w:tcPr>
            <w:tcW w:w="1857" w:type="dxa"/>
            <w:vAlign w:val="center"/>
          </w:tcPr>
          <w:p w14:paraId="08F7C8F3">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昼间</w:t>
            </w:r>
          </w:p>
        </w:tc>
        <w:tc>
          <w:tcPr>
            <w:tcW w:w="1856" w:type="dxa"/>
            <w:vAlign w:val="center"/>
          </w:tcPr>
          <w:p w14:paraId="6171D5E5">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夜间</w:t>
            </w:r>
          </w:p>
        </w:tc>
        <w:tc>
          <w:tcPr>
            <w:tcW w:w="1858" w:type="dxa"/>
            <w:vAlign w:val="center"/>
          </w:tcPr>
          <w:p w14:paraId="03F832DD">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昼间</w:t>
            </w:r>
          </w:p>
        </w:tc>
        <w:tc>
          <w:tcPr>
            <w:tcW w:w="1858" w:type="dxa"/>
            <w:vAlign w:val="center"/>
          </w:tcPr>
          <w:p w14:paraId="23746CCA">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夜间</w:t>
            </w:r>
          </w:p>
        </w:tc>
      </w:tr>
      <w:tr w14:paraId="475B99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57" w:type="dxa"/>
            <w:vAlign w:val="center"/>
          </w:tcPr>
          <w:p w14:paraId="44FB79DB">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项目东侧</w:t>
            </w:r>
          </w:p>
        </w:tc>
        <w:tc>
          <w:tcPr>
            <w:tcW w:w="1857" w:type="dxa"/>
            <w:vAlign w:val="center"/>
          </w:tcPr>
          <w:p w14:paraId="6A708402">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default" w:ascii="Times New Roman" w:hAnsi="Times New Roman" w:cs="Times New Roman"/>
                <w:color w:val="auto"/>
                <w:highlight w:val="none"/>
              </w:rPr>
            </w:pPr>
            <w:r>
              <w:rPr>
                <w:rFonts w:hint="eastAsia" w:ascii="Times New Roman" w:eastAsia="宋体" w:cs="Times New Roman"/>
                <w:color w:val="auto"/>
                <w:sz w:val="21"/>
                <w:szCs w:val="21"/>
                <w:highlight w:val="none"/>
                <w:vertAlign w:val="baseline"/>
                <w:lang w:val="en-US" w:eastAsia="zh-CN"/>
              </w:rPr>
              <w:t>52</w:t>
            </w:r>
          </w:p>
        </w:tc>
        <w:tc>
          <w:tcPr>
            <w:tcW w:w="1856" w:type="dxa"/>
            <w:vAlign w:val="center"/>
          </w:tcPr>
          <w:p w14:paraId="1023CDE3">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default" w:ascii="Times New Roman" w:hAnsi="Times New Roman" w:cs="Times New Roman"/>
                <w:color w:val="auto"/>
                <w:highlight w:val="none"/>
              </w:rPr>
            </w:pPr>
            <w:r>
              <w:rPr>
                <w:rFonts w:hint="eastAsia" w:ascii="Times New Roman" w:eastAsia="宋体" w:cs="Times New Roman"/>
                <w:color w:val="auto"/>
                <w:sz w:val="21"/>
                <w:szCs w:val="21"/>
                <w:highlight w:val="none"/>
                <w:vertAlign w:val="baseline"/>
                <w:lang w:val="en-US" w:eastAsia="zh-CN"/>
              </w:rPr>
              <w:t>41</w:t>
            </w:r>
          </w:p>
        </w:tc>
        <w:tc>
          <w:tcPr>
            <w:tcW w:w="1858" w:type="dxa"/>
            <w:vAlign w:val="center"/>
          </w:tcPr>
          <w:p w14:paraId="18220BDA">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default" w:ascii="Times New Roman" w:hAnsi="Times New Roman" w:cs="Times New Roman"/>
                <w:color w:val="auto"/>
                <w:highlight w:val="none"/>
              </w:rPr>
            </w:pPr>
            <w:r>
              <w:rPr>
                <w:rFonts w:hint="eastAsia" w:ascii="Times New Roman" w:eastAsia="宋体" w:cs="Times New Roman"/>
                <w:color w:val="auto"/>
                <w:sz w:val="21"/>
                <w:szCs w:val="21"/>
                <w:highlight w:val="none"/>
                <w:vertAlign w:val="baseline"/>
                <w:lang w:val="en-US" w:eastAsia="zh-CN"/>
              </w:rPr>
              <w:t>53</w:t>
            </w:r>
          </w:p>
        </w:tc>
        <w:tc>
          <w:tcPr>
            <w:tcW w:w="1858" w:type="dxa"/>
            <w:vAlign w:val="center"/>
          </w:tcPr>
          <w:p w14:paraId="75A0E253">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default" w:ascii="Times New Roman" w:hAnsi="Times New Roman" w:cs="Times New Roman"/>
                <w:color w:val="auto"/>
                <w:highlight w:val="none"/>
              </w:rPr>
            </w:pPr>
            <w:r>
              <w:rPr>
                <w:rFonts w:hint="eastAsia" w:ascii="Times New Roman" w:eastAsia="宋体" w:cs="Times New Roman"/>
                <w:color w:val="auto"/>
                <w:sz w:val="21"/>
                <w:szCs w:val="21"/>
                <w:highlight w:val="none"/>
                <w:vertAlign w:val="baseline"/>
                <w:lang w:val="en-US" w:eastAsia="zh-CN"/>
              </w:rPr>
              <w:t>42</w:t>
            </w:r>
          </w:p>
        </w:tc>
      </w:tr>
      <w:tr w14:paraId="0E48F7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857" w:type="dxa"/>
            <w:vAlign w:val="center"/>
          </w:tcPr>
          <w:p w14:paraId="21214C6E">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项目</w:t>
            </w:r>
            <w:r>
              <w:rPr>
                <w:rFonts w:hint="eastAsia" w:cs="Times New Roman"/>
                <w:color w:val="auto"/>
                <w:highlight w:val="none"/>
                <w:lang w:eastAsia="zh-CN"/>
              </w:rPr>
              <w:t>西</w:t>
            </w:r>
            <w:r>
              <w:rPr>
                <w:rFonts w:hint="default" w:ascii="Times New Roman" w:hAnsi="Times New Roman" w:cs="Times New Roman"/>
                <w:color w:val="auto"/>
                <w:highlight w:val="none"/>
              </w:rPr>
              <w:t>侧</w:t>
            </w:r>
          </w:p>
        </w:tc>
        <w:tc>
          <w:tcPr>
            <w:tcW w:w="1857" w:type="dxa"/>
            <w:vAlign w:val="center"/>
          </w:tcPr>
          <w:p w14:paraId="38F85301">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default" w:ascii="Times New Roman" w:hAnsi="Times New Roman" w:cs="Times New Roman"/>
                <w:color w:val="auto"/>
                <w:highlight w:val="none"/>
              </w:rPr>
            </w:pPr>
            <w:r>
              <w:rPr>
                <w:rFonts w:hint="eastAsia" w:ascii="Times New Roman" w:eastAsia="宋体" w:cs="Times New Roman"/>
                <w:color w:val="auto"/>
                <w:sz w:val="21"/>
                <w:szCs w:val="21"/>
                <w:highlight w:val="none"/>
                <w:vertAlign w:val="baseline"/>
                <w:lang w:val="en-US" w:eastAsia="zh-CN"/>
              </w:rPr>
              <w:t>57</w:t>
            </w:r>
          </w:p>
        </w:tc>
        <w:tc>
          <w:tcPr>
            <w:tcW w:w="1856" w:type="dxa"/>
            <w:vAlign w:val="center"/>
          </w:tcPr>
          <w:p w14:paraId="1054D845">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default" w:ascii="Times New Roman" w:hAnsi="Times New Roman" w:cs="Times New Roman"/>
                <w:color w:val="auto"/>
                <w:highlight w:val="none"/>
              </w:rPr>
            </w:pPr>
            <w:r>
              <w:rPr>
                <w:rFonts w:hint="eastAsia" w:ascii="Times New Roman" w:eastAsia="宋体" w:cs="Times New Roman"/>
                <w:color w:val="auto"/>
                <w:sz w:val="21"/>
                <w:szCs w:val="21"/>
                <w:highlight w:val="none"/>
                <w:vertAlign w:val="baseline"/>
                <w:lang w:val="en-US" w:eastAsia="zh-CN"/>
              </w:rPr>
              <w:t>44</w:t>
            </w:r>
          </w:p>
        </w:tc>
        <w:tc>
          <w:tcPr>
            <w:tcW w:w="1858" w:type="dxa"/>
            <w:vAlign w:val="center"/>
          </w:tcPr>
          <w:p w14:paraId="705AD8BC">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default" w:ascii="Times New Roman" w:hAnsi="Times New Roman" w:cs="Times New Roman"/>
                <w:color w:val="auto"/>
                <w:highlight w:val="none"/>
              </w:rPr>
            </w:pPr>
            <w:r>
              <w:rPr>
                <w:rFonts w:hint="eastAsia" w:ascii="Times New Roman" w:eastAsia="宋体" w:cs="Times New Roman"/>
                <w:color w:val="auto"/>
                <w:sz w:val="21"/>
                <w:szCs w:val="21"/>
                <w:highlight w:val="none"/>
                <w:vertAlign w:val="baseline"/>
                <w:lang w:val="en-US" w:eastAsia="zh-CN"/>
              </w:rPr>
              <w:t>56</w:t>
            </w:r>
          </w:p>
        </w:tc>
        <w:tc>
          <w:tcPr>
            <w:tcW w:w="1858" w:type="dxa"/>
            <w:vAlign w:val="center"/>
          </w:tcPr>
          <w:p w14:paraId="1C0E8B85">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default" w:ascii="Times New Roman" w:hAnsi="Times New Roman" w:cs="Times New Roman"/>
                <w:color w:val="auto"/>
                <w:highlight w:val="none"/>
              </w:rPr>
            </w:pPr>
            <w:r>
              <w:rPr>
                <w:rFonts w:hint="eastAsia" w:ascii="Times New Roman" w:eastAsia="宋体" w:cs="Times New Roman"/>
                <w:color w:val="auto"/>
                <w:sz w:val="21"/>
                <w:szCs w:val="21"/>
                <w:highlight w:val="none"/>
                <w:vertAlign w:val="baseline"/>
                <w:lang w:val="en-US" w:eastAsia="zh-CN"/>
              </w:rPr>
              <w:t>45</w:t>
            </w:r>
          </w:p>
        </w:tc>
      </w:tr>
      <w:tr w14:paraId="0E4F66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1857" w:type="dxa"/>
            <w:vAlign w:val="center"/>
          </w:tcPr>
          <w:p w14:paraId="12B1BA6D">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项目</w:t>
            </w:r>
            <w:r>
              <w:rPr>
                <w:rFonts w:hint="eastAsia" w:cs="Times New Roman"/>
                <w:color w:val="auto"/>
                <w:highlight w:val="none"/>
                <w:lang w:eastAsia="zh-CN"/>
              </w:rPr>
              <w:t>北</w:t>
            </w:r>
            <w:r>
              <w:rPr>
                <w:rFonts w:hint="default" w:ascii="Times New Roman" w:hAnsi="Times New Roman" w:cs="Times New Roman"/>
                <w:color w:val="auto"/>
                <w:highlight w:val="none"/>
              </w:rPr>
              <w:t>侧</w:t>
            </w:r>
          </w:p>
        </w:tc>
        <w:tc>
          <w:tcPr>
            <w:tcW w:w="1857" w:type="dxa"/>
            <w:vAlign w:val="center"/>
          </w:tcPr>
          <w:p w14:paraId="214512D0">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eastAsia" w:ascii="Times New Roman" w:hAnsi="Times New Roman" w:cs="Times New Roman"/>
                <w:color w:val="auto"/>
                <w:sz w:val="21"/>
                <w:szCs w:val="21"/>
                <w:highlight w:val="none"/>
                <w:lang w:val="en-US" w:eastAsia="zh-CN"/>
              </w:rPr>
            </w:pPr>
            <w:r>
              <w:rPr>
                <w:rFonts w:hint="eastAsia" w:ascii="Times New Roman" w:eastAsia="宋体" w:cs="Times New Roman"/>
                <w:color w:val="auto"/>
                <w:sz w:val="21"/>
                <w:szCs w:val="21"/>
                <w:highlight w:val="none"/>
                <w:vertAlign w:val="baseline"/>
                <w:lang w:val="en-US" w:eastAsia="zh-CN"/>
              </w:rPr>
              <w:t>54</w:t>
            </w:r>
          </w:p>
        </w:tc>
        <w:tc>
          <w:tcPr>
            <w:tcW w:w="1856" w:type="dxa"/>
            <w:vAlign w:val="center"/>
          </w:tcPr>
          <w:p w14:paraId="60845C2D">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eastAsia" w:ascii="Times New Roman" w:hAnsi="Times New Roman" w:cs="Times New Roman"/>
                <w:color w:val="auto"/>
                <w:sz w:val="21"/>
                <w:szCs w:val="21"/>
                <w:highlight w:val="none"/>
                <w:lang w:val="en-US" w:eastAsia="zh-CN"/>
              </w:rPr>
            </w:pPr>
            <w:r>
              <w:rPr>
                <w:rFonts w:hint="eastAsia" w:ascii="Times New Roman" w:eastAsia="宋体" w:cs="Times New Roman"/>
                <w:color w:val="auto"/>
                <w:sz w:val="21"/>
                <w:szCs w:val="21"/>
                <w:highlight w:val="none"/>
                <w:vertAlign w:val="baseline"/>
                <w:lang w:val="en-US" w:eastAsia="zh-CN"/>
              </w:rPr>
              <w:t>43</w:t>
            </w:r>
          </w:p>
        </w:tc>
        <w:tc>
          <w:tcPr>
            <w:tcW w:w="1858" w:type="dxa"/>
            <w:vAlign w:val="center"/>
          </w:tcPr>
          <w:p w14:paraId="6503438E">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eastAsia" w:ascii="Times New Roman" w:hAnsi="Times New Roman" w:cs="Times New Roman"/>
                <w:color w:val="auto"/>
                <w:sz w:val="21"/>
                <w:szCs w:val="21"/>
                <w:highlight w:val="none"/>
                <w:lang w:val="en-US" w:eastAsia="zh-CN"/>
              </w:rPr>
            </w:pPr>
            <w:r>
              <w:rPr>
                <w:rFonts w:hint="eastAsia" w:ascii="Times New Roman" w:eastAsia="宋体" w:cs="Times New Roman"/>
                <w:color w:val="auto"/>
                <w:sz w:val="21"/>
                <w:szCs w:val="21"/>
                <w:highlight w:val="none"/>
                <w:vertAlign w:val="baseline"/>
                <w:lang w:val="en-US" w:eastAsia="zh-CN"/>
              </w:rPr>
              <w:t>55</w:t>
            </w:r>
          </w:p>
        </w:tc>
        <w:tc>
          <w:tcPr>
            <w:tcW w:w="1858" w:type="dxa"/>
            <w:vAlign w:val="center"/>
          </w:tcPr>
          <w:p w14:paraId="740E59C2">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eastAsia" w:ascii="Times New Roman" w:hAnsi="Times New Roman" w:cs="Times New Roman"/>
                <w:color w:val="auto"/>
                <w:sz w:val="21"/>
                <w:szCs w:val="21"/>
                <w:highlight w:val="none"/>
                <w:lang w:val="en-US" w:eastAsia="zh-CN"/>
              </w:rPr>
            </w:pPr>
            <w:r>
              <w:rPr>
                <w:rFonts w:hint="eastAsia" w:ascii="Times New Roman" w:eastAsia="宋体" w:cs="Times New Roman"/>
                <w:color w:val="auto"/>
                <w:sz w:val="21"/>
                <w:szCs w:val="21"/>
                <w:highlight w:val="none"/>
                <w:vertAlign w:val="baseline"/>
                <w:lang w:val="en-US" w:eastAsia="zh-CN"/>
              </w:rPr>
              <w:t>44</w:t>
            </w:r>
          </w:p>
        </w:tc>
      </w:tr>
      <w:tr w14:paraId="512593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857" w:type="dxa"/>
            <w:vAlign w:val="center"/>
          </w:tcPr>
          <w:p w14:paraId="7CD71309">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eastAsia" w:cs="Times New Roman"/>
                <w:color w:val="auto"/>
                <w:highlight w:val="none"/>
                <w:lang w:eastAsia="zh-CN"/>
              </w:rPr>
              <w:t>站前</w:t>
            </w:r>
            <w:r>
              <w:rPr>
                <w:rFonts w:hint="default" w:ascii="Times New Roman" w:hAnsi="Times New Roman" w:cs="Times New Roman"/>
                <w:color w:val="auto"/>
                <w:highlight w:val="none"/>
              </w:rPr>
              <w:t>社区居民</w:t>
            </w:r>
          </w:p>
        </w:tc>
        <w:tc>
          <w:tcPr>
            <w:tcW w:w="1857" w:type="dxa"/>
            <w:vAlign w:val="center"/>
          </w:tcPr>
          <w:p w14:paraId="10859EF1">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eastAsia" w:ascii="Times New Roman" w:hAnsi="Times New Roman" w:cs="Times New Roman"/>
                <w:color w:val="auto"/>
                <w:sz w:val="21"/>
                <w:szCs w:val="21"/>
                <w:highlight w:val="none"/>
                <w:lang w:val="en-US" w:eastAsia="zh-CN"/>
              </w:rPr>
            </w:pPr>
            <w:r>
              <w:rPr>
                <w:rFonts w:hint="eastAsia" w:ascii="Times New Roman" w:eastAsia="宋体" w:cs="Times New Roman"/>
                <w:color w:val="auto"/>
                <w:sz w:val="21"/>
                <w:szCs w:val="21"/>
                <w:highlight w:val="none"/>
                <w:vertAlign w:val="baseline"/>
                <w:lang w:val="en-US" w:eastAsia="zh-CN"/>
              </w:rPr>
              <w:t>55</w:t>
            </w:r>
          </w:p>
        </w:tc>
        <w:tc>
          <w:tcPr>
            <w:tcW w:w="1856" w:type="dxa"/>
            <w:vAlign w:val="center"/>
          </w:tcPr>
          <w:p w14:paraId="4C7135DB">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eastAsia" w:ascii="Times New Roman" w:hAnsi="Times New Roman" w:cs="Times New Roman"/>
                <w:color w:val="auto"/>
                <w:sz w:val="21"/>
                <w:szCs w:val="21"/>
                <w:highlight w:val="none"/>
                <w:lang w:val="en-US" w:eastAsia="zh-CN"/>
              </w:rPr>
            </w:pPr>
            <w:r>
              <w:rPr>
                <w:rFonts w:hint="eastAsia" w:ascii="Times New Roman" w:eastAsia="宋体" w:cs="Times New Roman"/>
                <w:color w:val="auto"/>
                <w:sz w:val="21"/>
                <w:szCs w:val="21"/>
                <w:highlight w:val="none"/>
                <w:vertAlign w:val="baseline"/>
                <w:lang w:val="en-US" w:eastAsia="zh-CN"/>
              </w:rPr>
              <w:t>42</w:t>
            </w:r>
          </w:p>
        </w:tc>
        <w:tc>
          <w:tcPr>
            <w:tcW w:w="1858" w:type="dxa"/>
            <w:vAlign w:val="center"/>
          </w:tcPr>
          <w:p w14:paraId="31C98F1F">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eastAsia" w:ascii="Times New Roman" w:hAnsi="Times New Roman" w:cs="Times New Roman"/>
                <w:color w:val="auto"/>
                <w:sz w:val="21"/>
                <w:szCs w:val="21"/>
                <w:highlight w:val="none"/>
                <w:lang w:val="en-US" w:eastAsia="zh-CN"/>
              </w:rPr>
            </w:pPr>
            <w:r>
              <w:rPr>
                <w:rFonts w:hint="eastAsia" w:ascii="Times New Roman" w:eastAsia="宋体" w:cs="Times New Roman"/>
                <w:color w:val="auto"/>
                <w:sz w:val="21"/>
                <w:szCs w:val="21"/>
                <w:highlight w:val="none"/>
                <w:vertAlign w:val="baseline"/>
                <w:lang w:val="en-US" w:eastAsia="zh-CN"/>
              </w:rPr>
              <w:t>54</w:t>
            </w:r>
          </w:p>
        </w:tc>
        <w:tc>
          <w:tcPr>
            <w:tcW w:w="1858" w:type="dxa"/>
            <w:vAlign w:val="center"/>
          </w:tcPr>
          <w:p w14:paraId="233FA8AB">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eastAsia" w:ascii="Times New Roman" w:hAnsi="Times New Roman" w:cs="Times New Roman"/>
                <w:color w:val="auto"/>
                <w:sz w:val="21"/>
                <w:szCs w:val="21"/>
                <w:highlight w:val="none"/>
                <w:lang w:val="en-US" w:eastAsia="zh-CN"/>
              </w:rPr>
            </w:pPr>
            <w:r>
              <w:rPr>
                <w:rFonts w:hint="eastAsia" w:ascii="Times New Roman" w:eastAsia="宋体" w:cs="Times New Roman"/>
                <w:color w:val="auto"/>
                <w:sz w:val="21"/>
                <w:szCs w:val="21"/>
                <w:highlight w:val="none"/>
                <w:vertAlign w:val="baseline"/>
                <w:lang w:val="en-US" w:eastAsia="zh-CN"/>
              </w:rPr>
              <w:t>43</w:t>
            </w:r>
          </w:p>
        </w:tc>
      </w:tr>
      <w:tr w14:paraId="1F926F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857" w:type="dxa"/>
            <w:vAlign w:val="center"/>
          </w:tcPr>
          <w:p w14:paraId="2BE301CF">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标准（</w:t>
            </w:r>
            <w:r>
              <w:rPr>
                <w:rFonts w:hint="eastAsia" w:cs="Times New Roman"/>
                <w:color w:val="auto"/>
                <w:highlight w:val="none"/>
                <w:lang w:val="en-US" w:eastAsia="zh-CN"/>
              </w:rPr>
              <w:t>2</w:t>
            </w:r>
            <w:r>
              <w:rPr>
                <w:rFonts w:hint="default" w:ascii="Times New Roman" w:hAnsi="Times New Roman" w:cs="Times New Roman"/>
                <w:color w:val="auto"/>
                <w:highlight w:val="none"/>
              </w:rPr>
              <w:t>类）</w:t>
            </w:r>
          </w:p>
        </w:tc>
        <w:tc>
          <w:tcPr>
            <w:tcW w:w="1857" w:type="dxa"/>
            <w:vAlign w:val="center"/>
          </w:tcPr>
          <w:p w14:paraId="1EF3BA4C">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1856" w:type="dxa"/>
            <w:vAlign w:val="center"/>
          </w:tcPr>
          <w:p w14:paraId="0BF7D9DD">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1858" w:type="dxa"/>
            <w:vAlign w:val="center"/>
          </w:tcPr>
          <w:p w14:paraId="00AEBCB4">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1858" w:type="dxa"/>
            <w:vAlign w:val="center"/>
          </w:tcPr>
          <w:p w14:paraId="4A34A5F2">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r>
      <w:tr w14:paraId="5C37DB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857" w:type="dxa"/>
            <w:vAlign w:val="center"/>
          </w:tcPr>
          <w:p w14:paraId="7C518F17">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项目</w:t>
            </w:r>
            <w:r>
              <w:rPr>
                <w:rFonts w:hint="eastAsia" w:cs="Times New Roman"/>
                <w:color w:val="auto"/>
                <w:highlight w:val="none"/>
                <w:lang w:eastAsia="zh-CN"/>
              </w:rPr>
              <w:t>南</w:t>
            </w:r>
            <w:r>
              <w:rPr>
                <w:rFonts w:hint="default" w:ascii="Times New Roman" w:hAnsi="Times New Roman" w:cs="Times New Roman"/>
                <w:color w:val="auto"/>
                <w:highlight w:val="none"/>
              </w:rPr>
              <w:t>侧</w:t>
            </w:r>
          </w:p>
        </w:tc>
        <w:tc>
          <w:tcPr>
            <w:tcW w:w="1857" w:type="dxa"/>
            <w:vAlign w:val="center"/>
          </w:tcPr>
          <w:p w14:paraId="66A0B1F8">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default" w:ascii="Times New Roman" w:hAnsi="Times New Roman" w:cs="Times New Roman"/>
                <w:color w:val="auto"/>
                <w:highlight w:val="none"/>
              </w:rPr>
            </w:pPr>
            <w:r>
              <w:rPr>
                <w:rFonts w:hint="eastAsia" w:ascii="Times New Roman" w:eastAsia="宋体" w:cs="Times New Roman"/>
                <w:color w:val="auto"/>
                <w:sz w:val="21"/>
                <w:szCs w:val="21"/>
                <w:highlight w:val="none"/>
                <w:vertAlign w:val="baseline"/>
                <w:lang w:val="en-US" w:eastAsia="zh-CN"/>
              </w:rPr>
              <w:t>59</w:t>
            </w:r>
          </w:p>
        </w:tc>
        <w:tc>
          <w:tcPr>
            <w:tcW w:w="1856" w:type="dxa"/>
            <w:vAlign w:val="center"/>
          </w:tcPr>
          <w:p w14:paraId="09EB9C1B">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default" w:ascii="Times New Roman" w:hAnsi="Times New Roman" w:cs="Times New Roman"/>
                <w:color w:val="auto"/>
                <w:highlight w:val="none"/>
              </w:rPr>
            </w:pPr>
            <w:r>
              <w:rPr>
                <w:rFonts w:hint="eastAsia" w:ascii="Times New Roman" w:eastAsia="宋体" w:cs="Times New Roman"/>
                <w:color w:val="auto"/>
                <w:sz w:val="21"/>
                <w:szCs w:val="21"/>
                <w:highlight w:val="none"/>
                <w:vertAlign w:val="baseline"/>
                <w:lang w:val="en-US" w:eastAsia="zh-CN"/>
              </w:rPr>
              <w:t>46</w:t>
            </w:r>
          </w:p>
        </w:tc>
        <w:tc>
          <w:tcPr>
            <w:tcW w:w="1858" w:type="dxa"/>
            <w:vAlign w:val="center"/>
          </w:tcPr>
          <w:p w14:paraId="7CC9583E">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default" w:ascii="Times New Roman" w:hAnsi="Times New Roman" w:cs="Times New Roman"/>
                <w:color w:val="auto"/>
                <w:highlight w:val="none"/>
              </w:rPr>
            </w:pPr>
            <w:r>
              <w:rPr>
                <w:rFonts w:hint="eastAsia" w:ascii="Times New Roman" w:eastAsia="宋体" w:cs="Times New Roman"/>
                <w:color w:val="auto"/>
                <w:sz w:val="21"/>
                <w:szCs w:val="21"/>
                <w:highlight w:val="none"/>
                <w:vertAlign w:val="baseline"/>
                <w:lang w:val="en-US" w:eastAsia="zh-CN"/>
              </w:rPr>
              <w:t>60</w:t>
            </w:r>
          </w:p>
        </w:tc>
        <w:tc>
          <w:tcPr>
            <w:tcW w:w="1858" w:type="dxa"/>
            <w:vAlign w:val="center"/>
          </w:tcPr>
          <w:p w14:paraId="2FA0E52C">
            <w:pPr>
              <w:pStyle w:val="23"/>
              <w:keepNext w:val="0"/>
              <w:keepLines w:val="0"/>
              <w:pageBreakBefore w:val="0"/>
              <w:widowControl w:val="0"/>
              <w:kinsoku/>
              <w:wordWrap/>
              <w:overflowPunct/>
              <w:topLinePunct w:val="0"/>
              <w:autoSpaceDE w:val="0"/>
              <w:autoSpaceDN w:val="0"/>
              <w:bidi w:val="0"/>
              <w:adjustRightInd w:val="0"/>
              <w:snapToGrid w:val="0"/>
              <w:spacing w:after="0"/>
              <w:ind w:firstLine="0" w:firstLineChars="0"/>
              <w:jc w:val="center"/>
              <w:textAlignment w:val="auto"/>
              <w:outlineLvl w:val="9"/>
              <w:rPr>
                <w:rFonts w:hint="default" w:ascii="Times New Roman" w:hAnsi="Times New Roman" w:cs="Times New Roman"/>
                <w:color w:val="auto"/>
                <w:highlight w:val="none"/>
              </w:rPr>
            </w:pPr>
            <w:r>
              <w:rPr>
                <w:rFonts w:hint="eastAsia" w:ascii="Times New Roman" w:eastAsia="宋体" w:cs="Times New Roman"/>
                <w:color w:val="auto"/>
                <w:sz w:val="21"/>
                <w:szCs w:val="21"/>
                <w:highlight w:val="none"/>
                <w:vertAlign w:val="baseline"/>
                <w:lang w:val="en-US" w:eastAsia="zh-CN"/>
              </w:rPr>
              <w:t>47</w:t>
            </w:r>
          </w:p>
        </w:tc>
      </w:tr>
      <w:tr w14:paraId="715413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857" w:type="dxa"/>
            <w:tcBorders>
              <w:bottom w:val="single" w:color="auto" w:sz="12" w:space="0"/>
            </w:tcBorders>
            <w:vAlign w:val="center"/>
          </w:tcPr>
          <w:p w14:paraId="68949146">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标准（4</w:t>
            </w:r>
            <w:r>
              <w:rPr>
                <w:rFonts w:hint="eastAsia" w:cs="Times New Roman"/>
                <w:color w:val="auto"/>
                <w:highlight w:val="none"/>
                <w:lang w:val="en-US" w:eastAsia="zh-CN"/>
              </w:rPr>
              <w:t>a</w:t>
            </w:r>
            <w:r>
              <w:rPr>
                <w:rFonts w:hint="default" w:ascii="Times New Roman" w:hAnsi="Times New Roman" w:cs="Times New Roman"/>
                <w:color w:val="auto"/>
                <w:highlight w:val="none"/>
              </w:rPr>
              <w:t>类）</w:t>
            </w:r>
          </w:p>
        </w:tc>
        <w:tc>
          <w:tcPr>
            <w:tcW w:w="1857" w:type="dxa"/>
            <w:tcBorders>
              <w:bottom w:val="single" w:color="auto" w:sz="12" w:space="0"/>
            </w:tcBorders>
            <w:vAlign w:val="center"/>
          </w:tcPr>
          <w:p w14:paraId="35FB0606">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70</w:t>
            </w:r>
          </w:p>
        </w:tc>
        <w:tc>
          <w:tcPr>
            <w:tcW w:w="1856" w:type="dxa"/>
            <w:tcBorders>
              <w:bottom w:val="single" w:color="auto" w:sz="12" w:space="0"/>
            </w:tcBorders>
            <w:vAlign w:val="center"/>
          </w:tcPr>
          <w:p w14:paraId="46DFEDD2">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55</w:t>
            </w:r>
          </w:p>
        </w:tc>
        <w:tc>
          <w:tcPr>
            <w:tcW w:w="1858" w:type="dxa"/>
            <w:tcBorders>
              <w:bottom w:val="single" w:color="auto" w:sz="12" w:space="0"/>
            </w:tcBorders>
            <w:vAlign w:val="center"/>
          </w:tcPr>
          <w:p w14:paraId="27C70C22">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70</w:t>
            </w:r>
          </w:p>
        </w:tc>
        <w:tc>
          <w:tcPr>
            <w:tcW w:w="1858" w:type="dxa"/>
            <w:tcBorders>
              <w:bottom w:val="single" w:color="auto" w:sz="12" w:space="0"/>
            </w:tcBorders>
            <w:vAlign w:val="center"/>
          </w:tcPr>
          <w:p w14:paraId="425B90B4">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55</w:t>
            </w:r>
          </w:p>
        </w:tc>
      </w:tr>
    </w:tbl>
    <w:p w14:paraId="463AA749">
      <w:pPr>
        <w:spacing w:line="360" w:lineRule="auto"/>
        <w:ind w:firstLine="48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项目所在地执行《</w:t>
      </w:r>
      <w:r>
        <w:rPr>
          <w:rFonts w:hint="eastAsia" w:cs="Times New Roman"/>
          <w:color w:val="auto"/>
          <w:sz w:val="24"/>
          <w:szCs w:val="24"/>
          <w:highlight w:val="none"/>
          <w:lang w:eastAsia="zh-CN"/>
        </w:rPr>
        <w:t>声环境质量标准</w:t>
      </w:r>
      <w:r>
        <w:rPr>
          <w:rFonts w:hint="default" w:ascii="Times New Roman" w:hAnsi="Times New Roman" w:cs="Times New Roman"/>
          <w:color w:val="auto"/>
          <w:sz w:val="24"/>
          <w:szCs w:val="24"/>
          <w:highlight w:val="none"/>
        </w:rPr>
        <w:t>》（GB</w:t>
      </w:r>
      <w:r>
        <w:rPr>
          <w:rFonts w:hint="eastAsia" w:cs="Times New Roman"/>
          <w:color w:val="auto"/>
          <w:sz w:val="24"/>
          <w:szCs w:val="24"/>
          <w:highlight w:val="none"/>
          <w:lang w:val="en-US" w:eastAsia="zh-CN"/>
        </w:rPr>
        <w:t>3096</w:t>
      </w:r>
      <w:r>
        <w:rPr>
          <w:rFonts w:hint="default" w:ascii="Times New Roman" w:hAnsi="Times New Roman" w:cs="Times New Roman"/>
          <w:color w:val="auto"/>
          <w:sz w:val="24"/>
          <w:szCs w:val="24"/>
          <w:highlight w:val="none"/>
        </w:rPr>
        <w:t>-2008）</w:t>
      </w:r>
      <w:r>
        <w:rPr>
          <w:rFonts w:hint="eastAsia"/>
          <w:color w:val="auto"/>
          <w:highlight w:val="none"/>
          <w:lang w:eastAsia="zh-CN"/>
        </w:rPr>
        <w:t>中</w:t>
      </w:r>
      <w:r>
        <w:rPr>
          <w:rFonts w:hint="default" w:ascii="Times New Roman" w:hAnsi="Times New Roman" w:cs="Times New Roman"/>
          <w:color w:val="auto"/>
          <w:sz w:val="24"/>
          <w:szCs w:val="24"/>
          <w:highlight w:val="none"/>
        </w:rPr>
        <w:t>的</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类标准，</w:t>
      </w:r>
      <w:r>
        <w:rPr>
          <w:rFonts w:hint="eastAsia" w:cs="Times New Roman"/>
          <w:color w:val="auto"/>
          <w:sz w:val="24"/>
          <w:szCs w:val="24"/>
          <w:highlight w:val="none"/>
          <w:lang w:eastAsia="zh-CN"/>
        </w:rPr>
        <w:t>南</w:t>
      </w:r>
      <w:r>
        <w:rPr>
          <w:rFonts w:hint="default" w:ascii="Times New Roman" w:hAnsi="Times New Roman" w:cs="Times New Roman"/>
          <w:color w:val="auto"/>
          <w:sz w:val="24"/>
          <w:szCs w:val="24"/>
          <w:highlight w:val="none"/>
        </w:rPr>
        <w:t>侧与道路相邻，执行4a类标准。由监测结果可以看出东、南、西、北</w:t>
      </w:r>
      <w:r>
        <w:rPr>
          <w:rFonts w:hint="eastAsia" w:cs="Times New Roman"/>
          <w:color w:val="auto"/>
          <w:sz w:val="24"/>
          <w:szCs w:val="24"/>
          <w:highlight w:val="none"/>
          <w:lang w:eastAsia="zh-CN"/>
        </w:rPr>
        <w:t>及敏感点</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个监测点位均达标。</w:t>
      </w:r>
    </w:p>
    <w:p w14:paraId="747A5782">
      <w:pPr>
        <w:pStyle w:val="37"/>
        <w:spacing w:line="360" w:lineRule="auto"/>
        <w:ind w:firstLine="0" w:firstLineChars="0"/>
        <w:rPr>
          <w:rFonts w:hint="default" w:ascii="Times New Roman" w:hAnsi="Times New Roman" w:eastAsia="宋体" w:cs="Times New Roman"/>
          <w:color w:val="auto"/>
          <w:highlight w:val="none"/>
        </w:rPr>
      </w:pPr>
    </w:p>
    <w:p w14:paraId="17E556EB">
      <w:pPr>
        <w:rPr>
          <w:rFonts w:hint="default" w:ascii="Times New Roman" w:hAnsi="Times New Roman" w:cs="Times New Roman"/>
          <w:color w:val="auto"/>
          <w:sz w:val="24"/>
          <w:szCs w:val="24"/>
          <w:highlight w:val="none"/>
        </w:rPr>
      </w:pPr>
    </w:p>
    <w:p w14:paraId="2732F5E6">
      <w:pPr>
        <w:rPr>
          <w:rFonts w:hint="default" w:ascii="Times New Roman" w:hAnsi="Times New Roman" w:cs="Times New Roman"/>
          <w:b/>
          <w:bCs/>
          <w:color w:val="auto"/>
          <w:sz w:val="24"/>
          <w:szCs w:val="24"/>
          <w:highlight w:val="none"/>
        </w:rPr>
      </w:pPr>
    </w:p>
    <w:p w14:paraId="4C751634">
      <w:pPr>
        <w:rPr>
          <w:rFonts w:hint="default" w:ascii="Times New Roman" w:hAnsi="Times New Roman" w:cs="Times New Roman"/>
          <w:b/>
          <w:bCs/>
          <w:color w:val="auto"/>
          <w:sz w:val="24"/>
          <w:szCs w:val="24"/>
          <w:highlight w:val="none"/>
        </w:rPr>
      </w:pPr>
    </w:p>
    <w:p w14:paraId="407D4793">
      <w:pPr>
        <w:rPr>
          <w:rFonts w:hint="default" w:ascii="Times New Roman" w:hAnsi="Times New Roman" w:cs="Times New Roman"/>
          <w:b/>
          <w:bCs/>
          <w:color w:val="auto"/>
          <w:sz w:val="24"/>
          <w:szCs w:val="24"/>
          <w:highlight w:val="none"/>
        </w:rPr>
      </w:pPr>
    </w:p>
    <w:p w14:paraId="70D7858B">
      <w:pPr>
        <w:pStyle w:val="2"/>
        <w:rPr>
          <w:rFonts w:hint="default" w:ascii="Times New Roman" w:hAnsi="Times New Roman" w:cs="Times New Roman"/>
          <w:b/>
          <w:bCs/>
          <w:color w:val="auto"/>
          <w:sz w:val="24"/>
          <w:szCs w:val="24"/>
          <w:highlight w:val="none"/>
        </w:rPr>
      </w:pPr>
    </w:p>
    <w:p w14:paraId="2BAE1627">
      <w:pPr>
        <w:rPr>
          <w:rFonts w:hint="default" w:ascii="Times New Roman" w:hAnsi="Times New Roman" w:cs="Times New Roman"/>
          <w:b/>
          <w:bCs/>
          <w:color w:val="auto"/>
          <w:sz w:val="24"/>
          <w:szCs w:val="24"/>
          <w:highlight w:val="none"/>
        </w:rPr>
      </w:pPr>
    </w:p>
    <w:p w14:paraId="3364BE1E">
      <w:pPr>
        <w:pStyle w:val="2"/>
        <w:rPr>
          <w:rFonts w:hint="default" w:ascii="Times New Roman" w:hAnsi="Times New Roman" w:cs="Times New Roman"/>
          <w:b/>
          <w:bCs/>
          <w:color w:val="auto"/>
          <w:sz w:val="24"/>
          <w:szCs w:val="24"/>
          <w:highlight w:val="none"/>
        </w:rPr>
      </w:pPr>
    </w:p>
    <w:p w14:paraId="32FAA0B2">
      <w:pPr>
        <w:rPr>
          <w:rFonts w:hint="default"/>
        </w:rPr>
      </w:pPr>
    </w:p>
    <w:p w14:paraId="38ECDF26">
      <w:pPr>
        <w:rPr>
          <w:rFonts w:hint="default" w:ascii="Times New Roman" w:hAnsi="Times New Roman" w:cs="Times New Roman"/>
          <w:b/>
          <w:bCs/>
          <w:color w:val="auto"/>
          <w:sz w:val="24"/>
          <w:szCs w:val="24"/>
          <w:highlight w:val="none"/>
        </w:rPr>
      </w:pPr>
    </w:p>
    <w:p w14:paraId="7E0963E7">
      <w:pPr>
        <w:rPr>
          <w:rFonts w:hint="default" w:ascii="Times New Roman" w:hAnsi="Times New Roman" w:cs="Times New Roman"/>
          <w:b/>
          <w:bCs/>
          <w:color w:val="auto"/>
          <w:sz w:val="24"/>
          <w:szCs w:val="24"/>
          <w:highlight w:val="none"/>
        </w:rPr>
      </w:pPr>
    </w:p>
    <w:p w14:paraId="0BA6FA4B">
      <w:pPr>
        <w:rPr>
          <w:rFonts w:hint="default" w:ascii="Times New Roman" w:hAnsi="Times New Roman" w:cs="Times New Roman"/>
          <w:b/>
          <w:bCs/>
          <w:color w:val="auto"/>
          <w:sz w:val="24"/>
          <w:szCs w:val="24"/>
          <w:highlight w:val="none"/>
        </w:rPr>
      </w:pPr>
    </w:p>
    <w:p w14:paraId="2FFFA3C4">
      <w:pPr>
        <w:rPr>
          <w:rFonts w:hint="default" w:ascii="Times New Roman" w:hAnsi="Times New Roman" w:cs="Times New Roman"/>
          <w:b/>
          <w:bCs/>
          <w:color w:val="auto"/>
          <w:sz w:val="24"/>
          <w:szCs w:val="24"/>
          <w:highlight w:val="none"/>
        </w:rPr>
      </w:pPr>
    </w:p>
    <w:p w14:paraId="38D45512">
      <w:pPr>
        <w:rPr>
          <w:rFonts w:hint="default" w:ascii="Times New Roman" w:hAnsi="Times New Roman" w:cs="Times New Roman"/>
          <w:b/>
          <w:bCs/>
          <w:color w:val="auto"/>
          <w:sz w:val="24"/>
          <w:szCs w:val="24"/>
          <w:highlight w:val="none"/>
        </w:rPr>
      </w:pPr>
    </w:p>
    <w:p w14:paraId="6C83B127">
      <w:pPr>
        <w:rPr>
          <w:rFonts w:hint="default" w:ascii="Times New Roman" w:hAnsi="Times New Roman" w:cs="Times New Roman"/>
          <w:b/>
          <w:bCs/>
          <w:color w:val="auto"/>
          <w:sz w:val="24"/>
          <w:szCs w:val="24"/>
          <w:highlight w:val="none"/>
        </w:rPr>
      </w:pPr>
    </w:p>
    <w:p w14:paraId="7259CAF3">
      <w:pPr>
        <w:pStyle w:val="31"/>
        <w:rPr>
          <w:rFonts w:hint="default" w:ascii="Times New Roman" w:hAnsi="Times New Roman" w:cs="Times New Roman"/>
          <w:b/>
          <w:bCs/>
          <w:color w:val="auto"/>
          <w:sz w:val="24"/>
          <w:szCs w:val="24"/>
          <w:highlight w:val="none"/>
        </w:rPr>
      </w:pPr>
    </w:p>
    <w:p w14:paraId="38FEF91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both"/>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主要环境保护目标（列出名单及保护级别）：</w:t>
      </w:r>
    </w:p>
    <w:p w14:paraId="6371E24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该项目位</w:t>
      </w:r>
      <w:r>
        <w:rPr>
          <w:rFonts w:hint="default" w:ascii="Times New Roman" w:hAnsi="Times New Roman" w:eastAsia="宋体" w:cs="Times New Roman"/>
          <w:color w:val="auto"/>
          <w:sz w:val="24"/>
          <w:szCs w:val="24"/>
          <w:highlight w:val="none"/>
        </w:rPr>
        <w:t>于</w:t>
      </w:r>
      <w:r>
        <w:rPr>
          <w:rFonts w:hint="eastAsia" w:ascii="Times New Roman" w:hAnsi="Times New Roman" w:eastAsia="宋体" w:cs="Times New Roman"/>
          <w:color w:val="auto"/>
          <w:sz w:val="24"/>
          <w:szCs w:val="24"/>
          <w:highlight w:val="none"/>
          <w:lang w:eastAsia="zh-CN"/>
        </w:rPr>
        <w:t>本溪市溪湖区溪湖东路1栋1号</w:t>
      </w:r>
      <w:r>
        <w:rPr>
          <w:rFonts w:hint="default" w:ascii="Times New Roman" w:hAnsi="Times New Roman" w:eastAsia="宋体" w:cs="Times New Roman"/>
          <w:color w:val="auto"/>
          <w:sz w:val="24"/>
          <w:szCs w:val="24"/>
          <w:highlight w:val="none"/>
        </w:rPr>
        <w:t>，</w:t>
      </w:r>
      <w:r>
        <w:rPr>
          <w:rFonts w:hint="eastAsia"/>
          <w:color w:val="auto"/>
          <w:sz w:val="24"/>
          <w:highlight w:val="none"/>
        </w:rPr>
        <w:t>环境保护目标主要为评价区域内的居民区</w:t>
      </w:r>
      <w:r>
        <w:rPr>
          <w:rFonts w:hint="eastAsia"/>
          <w:color w:val="auto"/>
          <w:sz w:val="24"/>
          <w:highlight w:val="none"/>
          <w:lang w:eastAsia="zh-CN"/>
        </w:rPr>
        <w:t>、行政办公区</w:t>
      </w:r>
      <w:r>
        <w:rPr>
          <w:rFonts w:hint="eastAsia"/>
          <w:color w:val="auto"/>
          <w:sz w:val="24"/>
          <w:highlight w:val="none"/>
        </w:rPr>
        <w:t>等敏感点。</w:t>
      </w:r>
      <w:r>
        <w:rPr>
          <w:rFonts w:hint="default" w:ascii="Times New Roman" w:hAnsi="Times New Roman" w:cs="Times New Roman"/>
          <w:color w:val="auto"/>
          <w:sz w:val="24"/>
          <w:szCs w:val="24"/>
          <w:highlight w:val="none"/>
        </w:rPr>
        <w:t>因此确定受该项目影响的主要保护目标名单及保护级别见表</w:t>
      </w:r>
      <w:r>
        <w:rPr>
          <w:rFonts w:hint="eastAsia" w:cs="Times New Roman"/>
          <w:color w:val="auto"/>
          <w:sz w:val="24"/>
          <w:szCs w:val="24"/>
          <w:highlight w:val="none"/>
          <w:lang w:val="en-US" w:eastAsia="zh-CN"/>
        </w:rPr>
        <w:t>10</w:t>
      </w:r>
      <w:r>
        <w:rPr>
          <w:rFonts w:hint="default" w:ascii="Times New Roman" w:hAnsi="Times New Roman" w:cs="Times New Roman"/>
          <w:color w:val="auto"/>
          <w:sz w:val="24"/>
          <w:szCs w:val="24"/>
          <w:highlight w:val="none"/>
        </w:rPr>
        <w:t>。</w:t>
      </w:r>
    </w:p>
    <w:p w14:paraId="188FA58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w:t>
      </w:r>
      <w:r>
        <w:rPr>
          <w:rFonts w:hint="eastAsia" w:cs="Times New Roman"/>
          <w:b/>
          <w:bCs/>
          <w:color w:val="auto"/>
          <w:highlight w:val="none"/>
          <w:lang w:val="en-US" w:eastAsia="zh-CN"/>
        </w:rPr>
        <w:t xml:space="preserve">10                               </w:t>
      </w:r>
      <w:r>
        <w:rPr>
          <w:rFonts w:hint="default" w:ascii="Times New Roman" w:hAnsi="Times New Roman" w:cs="Times New Roman"/>
          <w:b/>
          <w:bCs/>
          <w:color w:val="auto"/>
          <w:highlight w:val="none"/>
        </w:rPr>
        <w:t xml:space="preserve">环境保护目标和对象 </w:t>
      </w:r>
    </w:p>
    <w:tbl>
      <w:tblPr>
        <w:tblStyle w:val="24"/>
        <w:tblW w:w="9249"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689"/>
        <w:gridCol w:w="1662"/>
        <w:gridCol w:w="650"/>
        <w:gridCol w:w="613"/>
        <w:gridCol w:w="887"/>
        <w:gridCol w:w="1088"/>
        <w:gridCol w:w="1112"/>
        <w:gridCol w:w="850"/>
        <w:gridCol w:w="875"/>
        <w:gridCol w:w="822"/>
        <w:gridCol w:w="1"/>
      </w:tblGrid>
      <w:tr w14:paraId="5FB8C98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85" w:hRule="atLeast"/>
          <w:jc w:val="center"/>
        </w:trPr>
        <w:tc>
          <w:tcPr>
            <w:tcW w:w="689" w:type="dxa"/>
            <w:vMerge w:val="restart"/>
            <w:tcBorders>
              <w:top w:val="single" w:color="auto" w:sz="12" w:space="0"/>
            </w:tcBorders>
            <w:vAlign w:val="center"/>
          </w:tcPr>
          <w:p w14:paraId="141A69EF">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r>
              <w:rPr>
                <w:rFonts w:hint="eastAsia"/>
                <w:color w:val="auto"/>
                <w:highlight w:val="none"/>
                <w:lang w:eastAsia="zh-CN"/>
              </w:rPr>
              <w:t>环境要素</w:t>
            </w:r>
          </w:p>
        </w:tc>
        <w:tc>
          <w:tcPr>
            <w:tcW w:w="1662" w:type="dxa"/>
            <w:vMerge w:val="restart"/>
            <w:tcBorders>
              <w:top w:val="single" w:color="auto" w:sz="12" w:space="0"/>
            </w:tcBorders>
            <w:vAlign w:val="center"/>
          </w:tcPr>
          <w:p w14:paraId="23BB666A">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r>
              <w:rPr>
                <w:rFonts w:hint="eastAsia"/>
                <w:color w:val="auto"/>
                <w:highlight w:val="none"/>
                <w:lang w:eastAsia="zh-CN"/>
              </w:rPr>
              <w:t>名称</w:t>
            </w:r>
          </w:p>
        </w:tc>
        <w:tc>
          <w:tcPr>
            <w:tcW w:w="1263" w:type="dxa"/>
            <w:gridSpan w:val="2"/>
            <w:tcBorders>
              <w:top w:val="single" w:color="auto" w:sz="12" w:space="0"/>
              <w:bottom w:val="single" w:color="auto" w:sz="4" w:space="0"/>
            </w:tcBorders>
            <w:vAlign w:val="center"/>
          </w:tcPr>
          <w:p w14:paraId="17937CC8">
            <w:pPr>
              <w:pStyle w:val="21"/>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color w:val="auto"/>
                <w:highlight w:val="none"/>
                <w:lang w:eastAsia="zh-CN"/>
              </w:rPr>
            </w:pPr>
            <w:r>
              <w:rPr>
                <w:rFonts w:hint="default" w:ascii="Times New Roman" w:hAnsi="Times New Roman" w:eastAsia="宋体" w:cs="Times New Roman"/>
                <w:color w:val="auto"/>
                <w:kern w:val="2"/>
                <w:sz w:val="21"/>
                <w:szCs w:val="21"/>
                <w:highlight w:val="none"/>
              </w:rPr>
              <w:t>坐标/m</w:t>
            </w:r>
          </w:p>
        </w:tc>
        <w:tc>
          <w:tcPr>
            <w:tcW w:w="887" w:type="dxa"/>
            <w:vMerge w:val="restart"/>
            <w:tcBorders>
              <w:top w:val="single" w:color="auto" w:sz="12" w:space="0"/>
              <w:right w:val="single" w:color="auto" w:sz="4" w:space="0"/>
            </w:tcBorders>
            <w:vAlign w:val="center"/>
          </w:tcPr>
          <w:p w14:paraId="42F52CFF">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r>
              <w:rPr>
                <w:rFonts w:hint="eastAsia"/>
                <w:color w:val="auto"/>
                <w:highlight w:val="none"/>
                <w:lang w:eastAsia="zh-CN"/>
              </w:rPr>
              <w:t>保护对象</w:t>
            </w:r>
          </w:p>
        </w:tc>
        <w:tc>
          <w:tcPr>
            <w:tcW w:w="1088" w:type="dxa"/>
            <w:vMerge w:val="restart"/>
            <w:tcBorders>
              <w:top w:val="single" w:color="auto" w:sz="12" w:space="0"/>
              <w:left w:val="single" w:color="auto" w:sz="4" w:space="0"/>
              <w:right w:val="single" w:color="auto" w:sz="4" w:space="0"/>
            </w:tcBorders>
            <w:vAlign w:val="center"/>
          </w:tcPr>
          <w:p w14:paraId="187854BD">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r>
              <w:rPr>
                <w:rFonts w:hint="eastAsia"/>
                <w:color w:val="FF0000"/>
                <w:highlight w:val="none"/>
                <w:lang w:eastAsia="zh-CN"/>
              </w:rPr>
              <w:t>规模（人</w:t>
            </w:r>
            <w:r>
              <w:rPr>
                <w:rFonts w:hint="default"/>
                <w:color w:val="FF0000"/>
                <w:highlight w:val="none"/>
                <w:lang w:val="en-US" w:eastAsia="zh-CN"/>
              </w:rPr>
              <w:t>/</w:t>
            </w:r>
            <w:r>
              <w:rPr>
                <w:rFonts w:hint="eastAsia"/>
                <w:color w:val="FF0000"/>
                <w:highlight w:val="none"/>
                <w:lang w:val="en-US" w:eastAsia="zh-CN"/>
              </w:rPr>
              <w:t>户</w:t>
            </w:r>
            <w:r>
              <w:rPr>
                <w:rFonts w:hint="eastAsia"/>
                <w:color w:val="FF0000"/>
                <w:highlight w:val="none"/>
                <w:lang w:eastAsia="zh-CN"/>
              </w:rPr>
              <w:t>）</w:t>
            </w:r>
          </w:p>
        </w:tc>
        <w:tc>
          <w:tcPr>
            <w:tcW w:w="1112" w:type="dxa"/>
            <w:vMerge w:val="restart"/>
            <w:tcBorders>
              <w:top w:val="single" w:color="auto" w:sz="12" w:space="0"/>
              <w:left w:val="single" w:color="auto" w:sz="4" w:space="0"/>
              <w:right w:val="single" w:color="auto" w:sz="4" w:space="0"/>
            </w:tcBorders>
            <w:vAlign w:val="center"/>
          </w:tcPr>
          <w:p w14:paraId="4AF0E751">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r>
              <w:rPr>
                <w:rFonts w:hint="default" w:ascii="Times New Roman" w:hAnsi="Times New Roman" w:eastAsia="宋体" w:cs="Times New Roman"/>
                <w:color w:val="auto"/>
                <w:kern w:val="2"/>
                <w:sz w:val="21"/>
                <w:szCs w:val="21"/>
                <w:highlight w:val="none"/>
              </w:rPr>
              <w:t>保护内容</w:t>
            </w:r>
          </w:p>
        </w:tc>
        <w:tc>
          <w:tcPr>
            <w:tcW w:w="850" w:type="dxa"/>
            <w:vMerge w:val="restart"/>
            <w:tcBorders>
              <w:top w:val="single" w:color="auto" w:sz="12" w:space="0"/>
              <w:left w:val="single" w:color="auto" w:sz="4" w:space="0"/>
              <w:right w:val="single" w:color="auto" w:sz="4" w:space="0"/>
            </w:tcBorders>
            <w:vAlign w:val="center"/>
          </w:tcPr>
          <w:p w14:paraId="4DEC61CE">
            <w:pPr>
              <w:keepNext w:val="0"/>
              <w:keepLines w:val="0"/>
              <w:pageBreakBefore w:val="0"/>
              <w:widowControl w:val="0"/>
              <w:kinsoku/>
              <w:wordWrap/>
              <w:overflowPunct/>
              <w:topLinePunct w:val="0"/>
              <w:bidi w:val="0"/>
              <w:adjustRightInd w:val="0"/>
              <w:snapToGrid w:val="0"/>
              <w:jc w:val="center"/>
              <w:textAlignment w:val="auto"/>
              <w:outlineLvl w:val="9"/>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环境</w:t>
            </w:r>
          </w:p>
          <w:p w14:paraId="0FD3CDA1">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r>
              <w:rPr>
                <w:rFonts w:hint="default" w:ascii="Times New Roman" w:hAnsi="Times New Roman" w:eastAsia="宋体" w:cs="Times New Roman"/>
                <w:color w:val="auto"/>
                <w:kern w:val="2"/>
                <w:sz w:val="21"/>
                <w:szCs w:val="21"/>
                <w:highlight w:val="none"/>
              </w:rPr>
              <w:t>功能区</w:t>
            </w:r>
          </w:p>
        </w:tc>
        <w:tc>
          <w:tcPr>
            <w:tcW w:w="875" w:type="dxa"/>
            <w:vMerge w:val="restart"/>
            <w:tcBorders>
              <w:top w:val="single" w:color="auto" w:sz="12" w:space="0"/>
              <w:left w:val="single" w:color="auto" w:sz="4" w:space="0"/>
            </w:tcBorders>
            <w:vAlign w:val="center"/>
          </w:tcPr>
          <w:p w14:paraId="136F5E7A">
            <w:pPr>
              <w:keepNext w:val="0"/>
              <w:keepLines w:val="0"/>
              <w:pageBreakBefore w:val="0"/>
              <w:widowControl w:val="0"/>
              <w:kinsoku/>
              <w:wordWrap/>
              <w:overflowPunct/>
              <w:topLinePunct w:val="0"/>
              <w:bidi w:val="0"/>
              <w:adjustRightInd w:val="0"/>
              <w:snapToGrid w:val="0"/>
              <w:jc w:val="center"/>
              <w:textAlignment w:val="auto"/>
              <w:outlineLvl w:val="9"/>
              <w:rPr>
                <w:rFonts w:hint="default"/>
                <w:color w:val="auto"/>
                <w:highlight w:val="none"/>
              </w:rPr>
            </w:pPr>
            <w:r>
              <w:rPr>
                <w:rFonts w:hint="default" w:ascii="Times New Roman" w:hAnsi="Times New Roman" w:eastAsia="宋体" w:cs="Times New Roman"/>
                <w:color w:val="auto"/>
                <w:kern w:val="2"/>
                <w:sz w:val="21"/>
                <w:szCs w:val="21"/>
                <w:highlight w:val="none"/>
              </w:rPr>
              <w:t>相对</w:t>
            </w:r>
            <w:r>
              <w:rPr>
                <w:rFonts w:hint="eastAsia" w:cs="Times New Roman"/>
                <w:color w:val="auto"/>
                <w:kern w:val="2"/>
                <w:sz w:val="21"/>
                <w:szCs w:val="21"/>
                <w:highlight w:val="none"/>
                <w:lang w:eastAsia="zh-CN"/>
              </w:rPr>
              <w:t>院区</w:t>
            </w:r>
            <w:r>
              <w:rPr>
                <w:rFonts w:hint="default"/>
                <w:color w:val="auto"/>
                <w:highlight w:val="none"/>
              </w:rPr>
              <w:t>方位</w:t>
            </w:r>
          </w:p>
        </w:tc>
        <w:tc>
          <w:tcPr>
            <w:tcW w:w="823" w:type="dxa"/>
            <w:gridSpan w:val="2"/>
            <w:vMerge w:val="restart"/>
            <w:tcBorders>
              <w:top w:val="single" w:color="auto" w:sz="12" w:space="0"/>
            </w:tcBorders>
            <w:vAlign w:val="center"/>
          </w:tcPr>
          <w:p w14:paraId="38A47A75">
            <w:pPr>
              <w:keepNext w:val="0"/>
              <w:keepLines w:val="0"/>
              <w:pageBreakBefore w:val="0"/>
              <w:widowControl w:val="0"/>
              <w:kinsoku/>
              <w:wordWrap/>
              <w:overflowPunct/>
              <w:topLinePunct w:val="0"/>
              <w:bidi w:val="0"/>
              <w:adjustRightInd w:val="0"/>
              <w:snapToGrid w:val="0"/>
              <w:jc w:val="center"/>
              <w:textAlignment w:val="auto"/>
              <w:outlineLvl w:val="9"/>
              <w:rPr>
                <w:rFonts w:hint="default"/>
                <w:color w:val="auto"/>
                <w:highlight w:val="none"/>
              </w:rPr>
            </w:pPr>
            <w:r>
              <w:rPr>
                <w:rFonts w:hint="default" w:ascii="Times New Roman" w:hAnsi="Times New Roman" w:eastAsia="宋体" w:cs="Times New Roman"/>
                <w:color w:val="auto"/>
                <w:kern w:val="2"/>
                <w:sz w:val="21"/>
                <w:szCs w:val="21"/>
                <w:highlight w:val="none"/>
              </w:rPr>
              <w:t>相对</w:t>
            </w:r>
            <w:r>
              <w:rPr>
                <w:rFonts w:hint="eastAsia" w:cs="Times New Roman"/>
                <w:color w:val="auto"/>
                <w:kern w:val="2"/>
                <w:sz w:val="21"/>
                <w:szCs w:val="21"/>
                <w:highlight w:val="none"/>
                <w:lang w:eastAsia="zh-CN"/>
              </w:rPr>
              <w:t>院区</w:t>
            </w:r>
            <w:r>
              <w:rPr>
                <w:rFonts w:hint="default" w:ascii="Times New Roman" w:hAnsi="Times New Roman" w:eastAsia="宋体" w:cs="Times New Roman"/>
                <w:color w:val="auto"/>
                <w:kern w:val="2"/>
                <w:sz w:val="21"/>
                <w:szCs w:val="21"/>
                <w:highlight w:val="none"/>
              </w:rPr>
              <w:t>距离/m</w:t>
            </w:r>
          </w:p>
        </w:tc>
      </w:tr>
      <w:tr w14:paraId="36CFD13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246" w:hRule="atLeast"/>
          <w:jc w:val="center"/>
        </w:trPr>
        <w:tc>
          <w:tcPr>
            <w:tcW w:w="689" w:type="dxa"/>
            <w:vMerge w:val="continue"/>
            <w:vAlign w:val="center"/>
          </w:tcPr>
          <w:p w14:paraId="00FFE371">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p>
        </w:tc>
        <w:tc>
          <w:tcPr>
            <w:tcW w:w="1662" w:type="dxa"/>
            <w:vMerge w:val="continue"/>
            <w:vAlign w:val="center"/>
          </w:tcPr>
          <w:p w14:paraId="154745AE">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p>
        </w:tc>
        <w:tc>
          <w:tcPr>
            <w:tcW w:w="650" w:type="dxa"/>
            <w:tcBorders>
              <w:top w:val="single" w:color="auto" w:sz="4" w:space="0"/>
              <w:right w:val="single" w:color="auto" w:sz="4" w:space="0"/>
            </w:tcBorders>
            <w:vAlign w:val="center"/>
          </w:tcPr>
          <w:p w14:paraId="60DBA925">
            <w:pPr>
              <w:pStyle w:val="21"/>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color w:val="auto"/>
                <w:highlight w:val="none"/>
                <w:lang w:eastAsia="zh-CN"/>
              </w:rPr>
            </w:pPr>
            <w:r>
              <w:rPr>
                <w:rFonts w:hint="default" w:ascii="Times New Roman" w:hAnsi="Times New Roman" w:eastAsia="宋体" w:cs="Times New Roman"/>
                <w:color w:val="auto"/>
                <w:kern w:val="2"/>
                <w:sz w:val="21"/>
                <w:szCs w:val="21"/>
                <w:highlight w:val="none"/>
              </w:rPr>
              <w:t>X</w:t>
            </w:r>
          </w:p>
        </w:tc>
        <w:tc>
          <w:tcPr>
            <w:tcW w:w="613" w:type="dxa"/>
            <w:tcBorders>
              <w:top w:val="single" w:color="auto" w:sz="4" w:space="0"/>
              <w:left w:val="single" w:color="auto" w:sz="4" w:space="0"/>
            </w:tcBorders>
            <w:vAlign w:val="center"/>
          </w:tcPr>
          <w:p w14:paraId="557132C2">
            <w:pPr>
              <w:pStyle w:val="21"/>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color w:val="auto"/>
                <w:highlight w:val="none"/>
                <w:lang w:eastAsia="zh-CN"/>
              </w:rPr>
            </w:pPr>
            <w:r>
              <w:rPr>
                <w:rFonts w:hint="default" w:ascii="Times New Roman" w:hAnsi="Times New Roman" w:eastAsia="宋体" w:cs="Times New Roman"/>
                <w:color w:val="auto"/>
                <w:kern w:val="2"/>
                <w:sz w:val="21"/>
                <w:szCs w:val="21"/>
                <w:highlight w:val="none"/>
              </w:rPr>
              <w:t>Y</w:t>
            </w:r>
          </w:p>
        </w:tc>
        <w:tc>
          <w:tcPr>
            <w:tcW w:w="887" w:type="dxa"/>
            <w:vMerge w:val="continue"/>
            <w:tcBorders>
              <w:right w:val="single" w:color="auto" w:sz="4" w:space="0"/>
            </w:tcBorders>
            <w:vAlign w:val="center"/>
          </w:tcPr>
          <w:p w14:paraId="4B0805A1">
            <w:pPr>
              <w:keepNext w:val="0"/>
              <w:keepLines w:val="0"/>
              <w:pageBreakBefore w:val="0"/>
              <w:widowControl w:val="0"/>
              <w:kinsoku/>
              <w:wordWrap/>
              <w:overflowPunct/>
              <w:topLinePunct w:val="0"/>
              <w:bidi w:val="0"/>
              <w:adjustRightInd w:val="0"/>
              <w:snapToGrid w:val="0"/>
              <w:jc w:val="center"/>
              <w:textAlignment w:val="auto"/>
              <w:outlineLvl w:val="9"/>
              <w:rPr>
                <w:rFonts w:hint="default"/>
                <w:color w:val="auto"/>
                <w:highlight w:val="none"/>
              </w:rPr>
            </w:pPr>
          </w:p>
        </w:tc>
        <w:tc>
          <w:tcPr>
            <w:tcW w:w="1088" w:type="dxa"/>
            <w:vMerge w:val="continue"/>
            <w:tcBorders>
              <w:left w:val="single" w:color="auto" w:sz="4" w:space="0"/>
              <w:right w:val="single" w:color="auto" w:sz="4" w:space="0"/>
            </w:tcBorders>
            <w:vAlign w:val="center"/>
          </w:tcPr>
          <w:p w14:paraId="7815D62A">
            <w:pPr>
              <w:keepNext w:val="0"/>
              <w:keepLines w:val="0"/>
              <w:pageBreakBefore w:val="0"/>
              <w:widowControl w:val="0"/>
              <w:kinsoku/>
              <w:wordWrap/>
              <w:overflowPunct/>
              <w:topLinePunct w:val="0"/>
              <w:bidi w:val="0"/>
              <w:adjustRightInd w:val="0"/>
              <w:snapToGrid w:val="0"/>
              <w:jc w:val="center"/>
              <w:textAlignment w:val="auto"/>
              <w:outlineLvl w:val="9"/>
              <w:rPr>
                <w:rFonts w:hint="default"/>
                <w:color w:val="auto"/>
                <w:highlight w:val="none"/>
              </w:rPr>
            </w:pPr>
          </w:p>
        </w:tc>
        <w:tc>
          <w:tcPr>
            <w:tcW w:w="1112" w:type="dxa"/>
            <w:vMerge w:val="continue"/>
            <w:tcBorders>
              <w:left w:val="single" w:color="auto" w:sz="4" w:space="0"/>
              <w:right w:val="single" w:color="auto" w:sz="4" w:space="0"/>
            </w:tcBorders>
            <w:vAlign w:val="center"/>
          </w:tcPr>
          <w:p w14:paraId="6D496E57">
            <w:pPr>
              <w:keepNext w:val="0"/>
              <w:keepLines w:val="0"/>
              <w:pageBreakBefore w:val="0"/>
              <w:widowControl w:val="0"/>
              <w:kinsoku/>
              <w:wordWrap/>
              <w:overflowPunct/>
              <w:topLinePunct w:val="0"/>
              <w:bidi w:val="0"/>
              <w:adjustRightInd w:val="0"/>
              <w:snapToGrid w:val="0"/>
              <w:jc w:val="center"/>
              <w:textAlignment w:val="auto"/>
              <w:outlineLvl w:val="9"/>
              <w:rPr>
                <w:rFonts w:hint="default"/>
                <w:color w:val="auto"/>
                <w:highlight w:val="none"/>
              </w:rPr>
            </w:pPr>
          </w:p>
        </w:tc>
        <w:tc>
          <w:tcPr>
            <w:tcW w:w="850" w:type="dxa"/>
            <w:vMerge w:val="continue"/>
            <w:tcBorders>
              <w:left w:val="single" w:color="auto" w:sz="4" w:space="0"/>
              <w:right w:val="single" w:color="auto" w:sz="4" w:space="0"/>
            </w:tcBorders>
            <w:vAlign w:val="center"/>
          </w:tcPr>
          <w:p w14:paraId="57E4EB74">
            <w:pPr>
              <w:keepNext w:val="0"/>
              <w:keepLines w:val="0"/>
              <w:pageBreakBefore w:val="0"/>
              <w:widowControl w:val="0"/>
              <w:kinsoku/>
              <w:wordWrap/>
              <w:overflowPunct/>
              <w:topLinePunct w:val="0"/>
              <w:bidi w:val="0"/>
              <w:adjustRightInd w:val="0"/>
              <w:snapToGrid w:val="0"/>
              <w:jc w:val="center"/>
              <w:textAlignment w:val="auto"/>
              <w:outlineLvl w:val="9"/>
              <w:rPr>
                <w:rFonts w:hint="default"/>
                <w:color w:val="auto"/>
                <w:highlight w:val="none"/>
              </w:rPr>
            </w:pPr>
          </w:p>
        </w:tc>
        <w:tc>
          <w:tcPr>
            <w:tcW w:w="875" w:type="dxa"/>
            <w:vMerge w:val="continue"/>
            <w:tcBorders>
              <w:left w:val="single" w:color="auto" w:sz="4" w:space="0"/>
            </w:tcBorders>
            <w:vAlign w:val="center"/>
          </w:tcPr>
          <w:p w14:paraId="2E99BDA1">
            <w:pPr>
              <w:keepNext w:val="0"/>
              <w:keepLines w:val="0"/>
              <w:pageBreakBefore w:val="0"/>
              <w:widowControl w:val="0"/>
              <w:kinsoku/>
              <w:wordWrap/>
              <w:overflowPunct/>
              <w:topLinePunct w:val="0"/>
              <w:bidi w:val="0"/>
              <w:adjustRightInd w:val="0"/>
              <w:snapToGrid w:val="0"/>
              <w:jc w:val="center"/>
              <w:textAlignment w:val="auto"/>
              <w:outlineLvl w:val="9"/>
              <w:rPr>
                <w:rFonts w:hint="default"/>
                <w:color w:val="auto"/>
                <w:highlight w:val="none"/>
              </w:rPr>
            </w:pPr>
          </w:p>
        </w:tc>
        <w:tc>
          <w:tcPr>
            <w:tcW w:w="822" w:type="dxa"/>
            <w:vMerge w:val="continue"/>
            <w:vAlign w:val="center"/>
          </w:tcPr>
          <w:p w14:paraId="427AA608">
            <w:pPr>
              <w:keepNext w:val="0"/>
              <w:keepLines w:val="0"/>
              <w:pageBreakBefore w:val="0"/>
              <w:widowControl w:val="0"/>
              <w:kinsoku/>
              <w:wordWrap/>
              <w:overflowPunct/>
              <w:topLinePunct w:val="0"/>
              <w:bidi w:val="0"/>
              <w:adjustRightInd w:val="0"/>
              <w:snapToGrid w:val="0"/>
              <w:jc w:val="center"/>
              <w:textAlignment w:val="auto"/>
              <w:outlineLvl w:val="9"/>
              <w:rPr>
                <w:rFonts w:hint="default"/>
                <w:color w:val="auto"/>
                <w:highlight w:val="none"/>
              </w:rPr>
            </w:pPr>
          </w:p>
        </w:tc>
      </w:tr>
      <w:tr w14:paraId="305D1AA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157" w:hRule="atLeast"/>
          <w:jc w:val="center"/>
        </w:trPr>
        <w:tc>
          <w:tcPr>
            <w:tcW w:w="689" w:type="dxa"/>
            <w:vMerge w:val="restart"/>
            <w:vAlign w:val="center"/>
          </w:tcPr>
          <w:p w14:paraId="65433459">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default" w:ascii="Times New Roman" w:hAnsi="Times New Roman" w:eastAsia="宋体" w:cs="Times New Roman"/>
                <w:color w:val="auto"/>
                <w:kern w:val="2"/>
                <w:sz w:val="21"/>
                <w:szCs w:val="21"/>
                <w:highlight w:val="none"/>
              </w:rPr>
              <w:t>环境空气</w:t>
            </w:r>
            <w:r>
              <w:rPr>
                <w:rFonts w:hint="eastAsia" w:ascii="Times New Roman" w:hAnsi="Times New Roman" w:cs="Times New Roman"/>
                <w:color w:val="auto"/>
                <w:kern w:val="2"/>
                <w:sz w:val="21"/>
                <w:szCs w:val="21"/>
                <w:highlight w:val="none"/>
                <w:lang w:eastAsia="zh-CN"/>
              </w:rPr>
              <w:t>、环境风险</w:t>
            </w:r>
          </w:p>
        </w:tc>
        <w:tc>
          <w:tcPr>
            <w:tcW w:w="1662" w:type="dxa"/>
            <w:vAlign w:val="center"/>
          </w:tcPr>
          <w:p w14:paraId="3AD4D6F0">
            <w:pPr>
              <w:keepNext w:val="0"/>
              <w:keepLines w:val="0"/>
              <w:pageBreakBefore w:val="0"/>
              <w:widowControl w:val="0"/>
              <w:kinsoku/>
              <w:wordWrap/>
              <w:overflowPunct/>
              <w:topLinePunct w:val="0"/>
              <w:bidi w:val="0"/>
              <w:adjustRightInd w:val="0"/>
              <w:snapToGrid w:val="0"/>
              <w:jc w:val="center"/>
              <w:textAlignment w:val="auto"/>
              <w:outlineLvl w:val="9"/>
              <w:rPr>
                <w:rFonts w:hint="default"/>
                <w:color w:val="auto"/>
                <w:highlight w:val="none"/>
              </w:rPr>
            </w:pPr>
            <w:r>
              <w:rPr>
                <w:rFonts w:hint="eastAsia"/>
                <w:color w:val="auto"/>
                <w:highlight w:val="none"/>
                <w:lang w:eastAsia="zh-CN"/>
              </w:rPr>
              <w:t>河东社区</w:t>
            </w:r>
            <w:r>
              <w:rPr>
                <w:rFonts w:hint="default"/>
                <w:color w:val="auto"/>
                <w:highlight w:val="none"/>
              </w:rPr>
              <w:t>居民</w:t>
            </w:r>
          </w:p>
        </w:tc>
        <w:tc>
          <w:tcPr>
            <w:tcW w:w="650" w:type="dxa"/>
            <w:tcBorders>
              <w:bottom w:val="single" w:color="auto" w:sz="4" w:space="0"/>
              <w:right w:val="single" w:color="auto" w:sz="4" w:space="0"/>
            </w:tcBorders>
            <w:vAlign w:val="center"/>
          </w:tcPr>
          <w:p w14:paraId="1200CF3C">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386</w:t>
            </w:r>
          </w:p>
        </w:tc>
        <w:tc>
          <w:tcPr>
            <w:tcW w:w="613" w:type="dxa"/>
            <w:tcBorders>
              <w:left w:val="single" w:color="auto" w:sz="4" w:space="0"/>
              <w:bottom w:val="single" w:color="auto" w:sz="4" w:space="0"/>
            </w:tcBorders>
            <w:vAlign w:val="center"/>
          </w:tcPr>
          <w:p w14:paraId="6F66CFAC">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150</w:t>
            </w:r>
          </w:p>
        </w:tc>
        <w:tc>
          <w:tcPr>
            <w:tcW w:w="887" w:type="dxa"/>
            <w:tcBorders>
              <w:right w:val="single" w:color="auto" w:sz="4" w:space="0"/>
            </w:tcBorders>
            <w:vAlign w:val="center"/>
          </w:tcPr>
          <w:p w14:paraId="69826117">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r>
              <w:rPr>
                <w:rFonts w:hint="eastAsia"/>
                <w:color w:val="auto"/>
                <w:highlight w:val="none"/>
                <w:lang w:eastAsia="zh-CN"/>
              </w:rPr>
              <w:t>居民</w:t>
            </w:r>
          </w:p>
        </w:tc>
        <w:tc>
          <w:tcPr>
            <w:tcW w:w="1088" w:type="dxa"/>
            <w:tcBorders>
              <w:left w:val="single" w:color="auto" w:sz="4" w:space="0"/>
              <w:right w:val="single" w:color="auto" w:sz="4" w:space="0"/>
            </w:tcBorders>
            <w:vAlign w:val="center"/>
          </w:tcPr>
          <w:p w14:paraId="1B79A15C">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val="en-US" w:eastAsia="zh-CN"/>
              </w:rPr>
            </w:pPr>
            <w:r>
              <w:rPr>
                <w:rFonts w:hint="eastAsia"/>
                <w:color w:val="FF0000"/>
                <w:highlight w:val="none"/>
                <w:lang w:val="en-US" w:eastAsia="zh-CN"/>
              </w:rPr>
              <w:t>1000/250</w:t>
            </w:r>
          </w:p>
        </w:tc>
        <w:tc>
          <w:tcPr>
            <w:tcW w:w="1112" w:type="dxa"/>
            <w:vMerge w:val="restart"/>
            <w:tcBorders>
              <w:left w:val="single" w:color="auto" w:sz="4" w:space="0"/>
              <w:right w:val="single" w:color="auto" w:sz="4" w:space="0"/>
            </w:tcBorders>
            <w:vAlign w:val="center"/>
          </w:tcPr>
          <w:p w14:paraId="770C5214">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r>
              <w:rPr>
                <w:rFonts w:hint="eastAsia" w:ascii="Times New Roman" w:hAnsi="Times New Roman" w:eastAsia="宋体" w:cs="Times New Roman"/>
                <w:color w:val="auto"/>
                <w:spacing w:val="4"/>
                <w:sz w:val="21"/>
                <w:szCs w:val="21"/>
                <w:highlight w:val="none"/>
                <w:lang w:eastAsia="zh-CN"/>
              </w:rPr>
              <w:t>满足</w:t>
            </w:r>
            <w:r>
              <w:rPr>
                <w:rFonts w:hint="default" w:ascii="Times New Roman" w:hAnsi="Times New Roman" w:eastAsia="宋体" w:cs="Times New Roman"/>
                <w:color w:val="auto"/>
                <w:spacing w:val="4"/>
                <w:sz w:val="21"/>
                <w:szCs w:val="21"/>
                <w:highlight w:val="none"/>
              </w:rPr>
              <w:t>《环境空气质量标准》（GB3095-</w:t>
            </w:r>
            <w:r>
              <w:rPr>
                <w:rFonts w:hint="default" w:ascii="Times New Roman" w:hAnsi="Times New Roman" w:eastAsia="宋体" w:cs="Times New Roman"/>
                <w:color w:val="auto"/>
                <w:spacing w:val="4"/>
                <w:sz w:val="21"/>
                <w:szCs w:val="21"/>
                <w:highlight w:val="none"/>
                <w:lang w:val="en-US" w:eastAsia="zh-CN"/>
              </w:rPr>
              <w:t>2012</w:t>
            </w:r>
            <w:r>
              <w:rPr>
                <w:rFonts w:hint="default" w:ascii="Times New Roman" w:hAnsi="Times New Roman" w:eastAsia="宋体" w:cs="Times New Roman"/>
                <w:color w:val="auto"/>
                <w:spacing w:val="4"/>
                <w:sz w:val="21"/>
                <w:szCs w:val="21"/>
                <w:highlight w:val="none"/>
              </w:rPr>
              <w:t>）二级及其修改单标准</w:t>
            </w:r>
          </w:p>
        </w:tc>
        <w:tc>
          <w:tcPr>
            <w:tcW w:w="850" w:type="dxa"/>
            <w:vMerge w:val="restart"/>
            <w:tcBorders>
              <w:left w:val="single" w:color="auto" w:sz="4" w:space="0"/>
              <w:right w:val="single" w:color="auto" w:sz="4" w:space="0"/>
            </w:tcBorders>
            <w:vAlign w:val="center"/>
          </w:tcPr>
          <w:p w14:paraId="35EFE479">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r>
              <w:rPr>
                <w:rFonts w:hint="default" w:ascii="Times New Roman" w:hAnsi="Times New Roman" w:eastAsia="宋体" w:cs="Times New Roman"/>
                <w:color w:val="auto"/>
                <w:kern w:val="2"/>
                <w:sz w:val="21"/>
                <w:szCs w:val="21"/>
                <w:highlight w:val="none"/>
              </w:rPr>
              <w:t>环境空气质量二类功能区</w:t>
            </w:r>
          </w:p>
        </w:tc>
        <w:tc>
          <w:tcPr>
            <w:tcW w:w="875" w:type="dxa"/>
            <w:tcBorders>
              <w:left w:val="single" w:color="auto" w:sz="4" w:space="0"/>
              <w:bottom w:val="single" w:color="auto" w:sz="4" w:space="0"/>
            </w:tcBorders>
            <w:vAlign w:val="center"/>
          </w:tcPr>
          <w:p w14:paraId="0609C911">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r>
              <w:rPr>
                <w:rFonts w:hint="eastAsia"/>
                <w:color w:val="auto"/>
                <w:highlight w:val="none"/>
                <w:lang w:eastAsia="zh-CN"/>
              </w:rPr>
              <w:t>东北</w:t>
            </w:r>
          </w:p>
        </w:tc>
        <w:tc>
          <w:tcPr>
            <w:tcW w:w="822" w:type="dxa"/>
            <w:tcBorders>
              <w:bottom w:val="single" w:color="auto" w:sz="4" w:space="0"/>
            </w:tcBorders>
            <w:vAlign w:val="center"/>
          </w:tcPr>
          <w:p w14:paraId="305D22DD">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362</w:t>
            </w:r>
          </w:p>
        </w:tc>
      </w:tr>
      <w:tr w14:paraId="36A6A14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234" w:hRule="atLeast"/>
          <w:jc w:val="center"/>
        </w:trPr>
        <w:tc>
          <w:tcPr>
            <w:tcW w:w="689" w:type="dxa"/>
            <w:vMerge w:val="continue"/>
            <w:vAlign w:val="center"/>
          </w:tcPr>
          <w:p w14:paraId="21121459">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1662" w:type="dxa"/>
            <w:vMerge w:val="restart"/>
            <w:tcBorders>
              <w:top w:val="single" w:color="auto" w:sz="4" w:space="0"/>
            </w:tcBorders>
            <w:vAlign w:val="center"/>
          </w:tcPr>
          <w:p w14:paraId="69C4CEEA">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r>
              <w:rPr>
                <w:rFonts w:hint="eastAsia"/>
                <w:color w:val="auto"/>
                <w:highlight w:val="none"/>
                <w:lang w:val="zh-CN"/>
              </w:rPr>
              <w:t>站前社区居民</w:t>
            </w:r>
          </w:p>
        </w:tc>
        <w:tc>
          <w:tcPr>
            <w:tcW w:w="650" w:type="dxa"/>
            <w:tcBorders>
              <w:top w:val="single" w:color="auto" w:sz="4" w:space="0"/>
              <w:bottom w:val="single" w:color="auto" w:sz="4" w:space="0"/>
              <w:right w:val="single" w:color="auto" w:sz="4" w:space="0"/>
            </w:tcBorders>
            <w:vAlign w:val="center"/>
          </w:tcPr>
          <w:p w14:paraId="4D805C06">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41</w:t>
            </w:r>
          </w:p>
        </w:tc>
        <w:tc>
          <w:tcPr>
            <w:tcW w:w="613" w:type="dxa"/>
            <w:tcBorders>
              <w:top w:val="single" w:color="auto" w:sz="4" w:space="0"/>
              <w:left w:val="single" w:color="auto" w:sz="4" w:space="0"/>
              <w:bottom w:val="single" w:color="auto" w:sz="4" w:space="0"/>
            </w:tcBorders>
            <w:vAlign w:val="center"/>
          </w:tcPr>
          <w:p w14:paraId="32E96AF0">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0</w:t>
            </w:r>
          </w:p>
        </w:tc>
        <w:tc>
          <w:tcPr>
            <w:tcW w:w="887" w:type="dxa"/>
            <w:vMerge w:val="restart"/>
            <w:tcBorders>
              <w:top w:val="single" w:color="auto" w:sz="4" w:space="0"/>
              <w:right w:val="single" w:color="auto" w:sz="4" w:space="0"/>
            </w:tcBorders>
            <w:vAlign w:val="center"/>
          </w:tcPr>
          <w:p w14:paraId="774DF150">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eastAsia="zh-CN"/>
              </w:rPr>
              <w:t>居民</w:t>
            </w:r>
          </w:p>
        </w:tc>
        <w:tc>
          <w:tcPr>
            <w:tcW w:w="1088" w:type="dxa"/>
            <w:tcBorders>
              <w:left w:val="single" w:color="auto" w:sz="4" w:space="0"/>
              <w:right w:val="single" w:color="auto" w:sz="4" w:space="0"/>
            </w:tcBorders>
            <w:vAlign w:val="center"/>
          </w:tcPr>
          <w:p w14:paraId="143DEF34">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val="en-US" w:eastAsia="zh-CN"/>
              </w:rPr>
            </w:pPr>
            <w:r>
              <w:rPr>
                <w:rFonts w:hint="eastAsia"/>
                <w:color w:val="FF0000"/>
                <w:highlight w:val="none"/>
                <w:lang w:val="en-US" w:eastAsia="zh-CN"/>
              </w:rPr>
              <w:t>300/75</w:t>
            </w:r>
          </w:p>
        </w:tc>
        <w:tc>
          <w:tcPr>
            <w:tcW w:w="1112" w:type="dxa"/>
            <w:vMerge w:val="continue"/>
            <w:tcBorders>
              <w:left w:val="single" w:color="auto" w:sz="4" w:space="0"/>
              <w:right w:val="single" w:color="auto" w:sz="4" w:space="0"/>
            </w:tcBorders>
            <w:vAlign w:val="center"/>
          </w:tcPr>
          <w:p w14:paraId="172471FC">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50" w:type="dxa"/>
            <w:vMerge w:val="continue"/>
            <w:tcBorders>
              <w:left w:val="single" w:color="auto" w:sz="4" w:space="0"/>
              <w:right w:val="single" w:color="auto" w:sz="4" w:space="0"/>
            </w:tcBorders>
            <w:vAlign w:val="center"/>
          </w:tcPr>
          <w:p w14:paraId="538CC5B0">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p>
        </w:tc>
        <w:tc>
          <w:tcPr>
            <w:tcW w:w="875" w:type="dxa"/>
            <w:tcBorders>
              <w:top w:val="single" w:color="auto" w:sz="4" w:space="0"/>
              <w:left w:val="single" w:color="auto" w:sz="4" w:space="0"/>
              <w:bottom w:val="single" w:color="auto" w:sz="4" w:space="0"/>
            </w:tcBorders>
            <w:vAlign w:val="center"/>
          </w:tcPr>
          <w:p w14:paraId="4FCA0E97">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东</w:t>
            </w:r>
          </w:p>
        </w:tc>
        <w:tc>
          <w:tcPr>
            <w:tcW w:w="822" w:type="dxa"/>
            <w:tcBorders>
              <w:top w:val="single" w:color="auto" w:sz="4" w:space="0"/>
              <w:bottom w:val="single" w:color="auto" w:sz="4" w:space="0"/>
            </w:tcBorders>
            <w:vAlign w:val="center"/>
          </w:tcPr>
          <w:p w14:paraId="6B5C6847">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相邻</w:t>
            </w:r>
          </w:p>
        </w:tc>
      </w:tr>
      <w:tr w14:paraId="3B804AA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65" w:hRule="atLeast"/>
          <w:jc w:val="center"/>
        </w:trPr>
        <w:tc>
          <w:tcPr>
            <w:tcW w:w="689" w:type="dxa"/>
            <w:vMerge w:val="continue"/>
            <w:vAlign w:val="center"/>
          </w:tcPr>
          <w:p w14:paraId="6436D305">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1662" w:type="dxa"/>
            <w:vMerge w:val="continue"/>
            <w:vAlign w:val="center"/>
          </w:tcPr>
          <w:p w14:paraId="758F722A">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p>
        </w:tc>
        <w:tc>
          <w:tcPr>
            <w:tcW w:w="650" w:type="dxa"/>
            <w:tcBorders>
              <w:top w:val="single" w:color="auto" w:sz="4" w:space="0"/>
              <w:right w:val="single" w:color="auto" w:sz="4" w:space="0"/>
            </w:tcBorders>
            <w:vAlign w:val="center"/>
          </w:tcPr>
          <w:p w14:paraId="66642FCE">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-25</w:t>
            </w:r>
          </w:p>
        </w:tc>
        <w:tc>
          <w:tcPr>
            <w:tcW w:w="613" w:type="dxa"/>
            <w:tcBorders>
              <w:top w:val="single" w:color="auto" w:sz="4" w:space="0"/>
              <w:left w:val="single" w:color="auto" w:sz="4" w:space="0"/>
            </w:tcBorders>
            <w:vAlign w:val="center"/>
          </w:tcPr>
          <w:p w14:paraId="5929D7D4">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0</w:t>
            </w:r>
          </w:p>
        </w:tc>
        <w:tc>
          <w:tcPr>
            <w:tcW w:w="887" w:type="dxa"/>
            <w:vMerge w:val="continue"/>
            <w:tcBorders>
              <w:right w:val="single" w:color="auto" w:sz="4" w:space="0"/>
            </w:tcBorders>
            <w:vAlign w:val="center"/>
          </w:tcPr>
          <w:p w14:paraId="1A7AB10B">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p>
        </w:tc>
        <w:tc>
          <w:tcPr>
            <w:tcW w:w="1088" w:type="dxa"/>
            <w:tcBorders>
              <w:left w:val="single" w:color="auto" w:sz="4" w:space="0"/>
              <w:right w:val="single" w:color="auto" w:sz="4" w:space="0"/>
            </w:tcBorders>
            <w:vAlign w:val="center"/>
          </w:tcPr>
          <w:p w14:paraId="1686D6B5">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val="en-US" w:eastAsia="zh-CN"/>
              </w:rPr>
            </w:pPr>
            <w:r>
              <w:rPr>
                <w:rFonts w:hint="eastAsia"/>
                <w:color w:val="FF0000"/>
                <w:highlight w:val="none"/>
                <w:lang w:val="en-US" w:eastAsia="zh-CN"/>
              </w:rPr>
              <w:t>300/75</w:t>
            </w:r>
          </w:p>
        </w:tc>
        <w:tc>
          <w:tcPr>
            <w:tcW w:w="1112" w:type="dxa"/>
            <w:vMerge w:val="continue"/>
            <w:tcBorders>
              <w:left w:val="single" w:color="auto" w:sz="4" w:space="0"/>
              <w:right w:val="single" w:color="auto" w:sz="4" w:space="0"/>
            </w:tcBorders>
            <w:vAlign w:val="center"/>
          </w:tcPr>
          <w:p w14:paraId="39478AD6">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50" w:type="dxa"/>
            <w:vMerge w:val="continue"/>
            <w:tcBorders>
              <w:left w:val="single" w:color="auto" w:sz="4" w:space="0"/>
              <w:right w:val="single" w:color="auto" w:sz="4" w:space="0"/>
            </w:tcBorders>
            <w:vAlign w:val="center"/>
          </w:tcPr>
          <w:p w14:paraId="33B30E0F">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p>
        </w:tc>
        <w:tc>
          <w:tcPr>
            <w:tcW w:w="875" w:type="dxa"/>
            <w:tcBorders>
              <w:top w:val="single" w:color="auto" w:sz="4" w:space="0"/>
              <w:left w:val="single" w:color="auto" w:sz="4" w:space="0"/>
            </w:tcBorders>
            <w:vAlign w:val="center"/>
          </w:tcPr>
          <w:p w14:paraId="5BA4B685">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西</w:t>
            </w:r>
          </w:p>
        </w:tc>
        <w:tc>
          <w:tcPr>
            <w:tcW w:w="822" w:type="dxa"/>
            <w:tcBorders>
              <w:top w:val="single" w:color="auto" w:sz="4" w:space="0"/>
            </w:tcBorders>
            <w:vAlign w:val="center"/>
          </w:tcPr>
          <w:p w14:paraId="1488B820">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25</w:t>
            </w:r>
          </w:p>
        </w:tc>
      </w:tr>
      <w:tr w14:paraId="70CC771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0" w:hRule="atLeast"/>
          <w:jc w:val="center"/>
        </w:trPr>
        <w:tc>
          <w:tcPr>
            <w:tcW w:w="689" w:type="dxa"/>
            <w:vMerge w:val="continue"/>
            <w:vAlign w:val="center"/>
          </w:tcPr>
          <w:p w14:paraId="7D916AD9">
            <w:pPr>
              <w:keepNext w:val="0"/>
              <w:keepLines w:val="0"/>
              <w:pageBreakBefore w:val="0"/>
              <w:widowControl w:val="0"/>
              <w:kinsoku/>
              <w:wordWrap/>
              <w:overflowPunct/>
              <w:topLinePunct w:val="0"/>
              <w:bidi w:val="0"/>
              <w:adjustRightInd w:val="0"/>
              <w:snapToGrid w:val="0"/>
              <w:jc w:val="center"/>
              <w:textAlignment w:val="auto"/>
              <w:outlineLvl w:val="9"/>
              <w:rPr>
                <w:rFonts w:hint="default"/>
                <w:color w:val="auto"/>
                <w:highlight w:val="none"/>
                <w:lang w:val="en-US" w:eastAsia="zh-CN"/>
              </w:rPr>
            </w:pPr>
          </w:p>
        </w:tc>
        <w:tc>
          <w:tcPr>
            <w:tcW w:w="1662" w:type="dxa"/>
            <w:vAlign w:val="center"/>
          </w:tcPr>
          <w:p w14:paraId="1991D23B">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eastAsia="zh-CN"/>
              </w:rPr>
            </w:pPr>
            <w:r>
              <w:rPr>
                <w:rFonts w:hint="eastAsia"/>
                <w:color w:val="auto"/>
                <w:highlight w:val="none"/>
                <w:lang w:eastAsia="zh-CN"/>
              </w:rPr>
              <w:t>后石社区</w:t>
            </w:r>
          </w:p>
        </w:tc>
        <w:tc>
          <w:tcPr>
            <w:tcW w:w="650" w:type="dxa"/>
            <w:tcBorders>
              <w:right w:val="single" w:color="auto" w:sz="4" w:space="0"/>
            </w:tcBorders>
            <w:vAlign w:val="center"/>
          </w:tcPr>
          <w:p w14:paraId="1281B133">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-76</w:t>
            </w:r>
          </w:p>
        </w:tc>
        <w:tc>
          <w:tcPr>
            <w:tcW w:w="613" w:type="dxa"/>
            <w:tcBorders>
              <w:left w:val="single" w:color="auto" w:sz="4" w:space="0"/>
            </w:tcBorders>
            <w:vAlign w:val="center"/>
          </w:tcPr>
          <w:p w14:paraId="0AEDEB28">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164</w:t>
            </w:r>
          </w:p>
        </w:tc>
        <w:tc>
          <w:tcPr>
            <w:tcW w:w="887" w:type="dxa"/>
            <w:tcBorders>
              <w:right w:val="single" w:color="auto" w:sz="4" w:space="0"/>
            </w:tcBorders>
            <w:vAlign w:val="center"/>
          </w:tcPr>
          <w:p w14:paraId="7068999B">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eastAsia="zh-CN"/>
              </w:rPr>
              <w:t>居民</w:t>
            </w:r>
          </w:p>
        </w:tc>
        <w:tc>
          <w:tcPr>
            <w:tcW w:w="1088" w:type="dxa"/>
            <w:tcBorders>
              <w:left w:val="single" w:color="auto" w:sz="4" w:space="0"/>
              <w:right w:val="single" w:color="auto" w:sz="4" w:space="0"/>
            </w:tcBorders>
            <w:vAlign w:val="center"/>
          </w:tcPr>
          <w:p w14:paraId="0F4859FF">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val="en-US" w:eastAsia="zh-CN"/>
              </w:rPr>
            </w:pPr>
            <w:r>
              <w:rPr>
                <w:rFonts w:hint="eastAsia"/>
                <w:color w:val="FF0000"/>
                <w:highlight w:val="none"/>
                <w:lang w:val="en-US" w:eastAsia="zh-CN"/>
              </w:rPr>
              <w:t>1200/300</w:t>
            </w:r>
          </w:p>
        </w:tc>
        <w:tc>
          <w:tcPr>
            <w:tcW w:w="1112" w:type="dxa"/>
            <w:vMerge w:val="continue"/>
            <w:tcBorders>
              <w:left w:val="single" w:color="auto" w:sz="4" w:space="0"/>
              <w:right w:val="single" w:color="auto" w:sz="4" w:space="0"/>
            </w:tcBorders>
            <w:vAlign w:val="center"/>
          </w:tcPr>
          <w:p w14:paraId="406375D3">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50" w:type="dxa"/>
            <w:vMerge w:val="continue"/>
            <w:tcBorders>
              <w:left w:val="single" w:color="auto" w:sz="4" w:space="0"/>
              <w:right w:val="single" w:color="auto" w:sz="4" w:space="0"/>
            </w:tcBorders>
            <w:vAlign w:val="center"/>
          </w:tcPr>
          <w:p w14:paraId="59B6789B">
            <w:pPr>
              <w:keepNext w:val="0"/>
              <w:keepLines w:val="0"/>
              <w:pageBreakBefore w:val="0"/>
              <w:widowControl w:val="0"/>
              <w:kinsoku/>
              <w:wordWrap/>
              <w:overflowPunct/>
              <w:topLinePunct w:val="0"/>
              <w:bidi w:val="0"/>
              <w:adjustRightInd w:val="0"/>
              <w:snapToGrid w:val="0"/>
              <w:jc w:val="center"/>
              <w:textAlignment w:val="auto"/>
              <w:outlineLvl w:val="9"/>
              <w:rPr>
                <w:rFonts w:hint="default"/>
                <w:color w:val="auto"/>
                <w:highlight w:val="none"/>
                <w:lang w:val="en-US" w:eastAsia="zh-CN"/>
              </w:rPr>
            </w:pPr>
          </w:p>
        </w:tc>
        <w:tc>
          <w:tcPr>
            <w:tcW w:w="875" w:type="dxa"/>
            <w:tcBorders>
              <w:left w:val="single" w:color="auto" w:sz="4" w:space="0"/>
            </w:tcBorders>
            <w:vAlign w:val="center"/>
          </w:tcPr>
          <w:p w14:paraId="5A5DDCFB">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西北</w:t>
            </w:r>
          </w:p>
        </w:tc>
        <w:tc>
          <w:tcPr>
            <w:tcW w:w="822" w:type="dxa"/>
            <w:vAlign w:val="center"/>
          </w:tcPr>
          <w:p w14:paraId="2396C8E7">
            <w:pPr>
              <w:keepNext w:val="0"/>
              <w:keepLines w:val="0"/>
              <w:pageBreakBefore w:val="0"/>
              <w:widowControl w:val="0"/>
              <w:kinsoku/>
              <w:wordWrap/>
              <w:overflowPunct/>
              <w:topLinePunct w:val="0"/>
              <w:bidi w:val="0"/>
              <w:adjustRightInd w:val="0"/>
              <w:snapToGrid w:val="0"/>
              <w:jc w:val="center"/>
              <w:textAlignment w:val="auto"/>
              <w:outlineLvl w:val="9"/>
              <w:rPr>
                <w:rFonts w:hint="default"/>
                <w:color w:val="auto"/>
                <w:highlight w:val="none"/>
                <w:lang w:val="en-US" w:eastAsia="zh-CN"/>
              </w:rPr>
            </w:pPr>
            <w:r>
              <w:rPr>
                <w:rFonts w:hint="eastAsia"/>
                <w:color w:val="auto"/>
                <w:highlight w:val="none"/>
                <w:lang w:val="en-US" w:eastAsia="zh-CN"/>
              </w:rPr>
              <w:t>178</w:t>
            </w:r>
          </w:p>
        </w:tc>
      </w:tr>
      <w:tr w14:paraId="3F30D76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0" w:hRule="atLeast"/>
          <w:jc w:val="center"/>
        </w:trPr>
        <w:tc>
          <w:tcPr>
            <w:tcW w:w="689" w:type="dxa"/>
            <w:vMerge w:val="continue"/>
            <w:vAlign w:val="center"/>
          </w:tcPr>
          <w:p w14:paraId="490650B9">
            <w:pPr>
              <w:keepNext w:val="0"/>
              <w:keepLines w:val="0"/>
              <w:pageBreakBefore w:val="0"/>
              <w:widowControl w:val="0"/>
              <w:kinsoku/>
              <w:wordWrap/>
              <w:overflowPunct/>
              <w:topLinePunct w:val="0"/>
              <w:bidi w:val="0"/>
              <w:adjustRightInd w:val="0"/>
              <w:snapToGrid w:val="0"/>
              <w:jc w:val="center"/>
              <w:textAlignment w:val="auto"/>
              <w:outlineLvl w:val="9"/>
              <w:rPr>
                <w:rFonts w:hint="default"/>
                <w:color w:val="auto"/>
                <w:highlight w:val="none"/>
                <w:lang w:val="en-US" w:eastAsia="zh-CN"/>
              </w:rPr>
            </w:pPr>
          </w:p>
        </w:tc>
        <w:tc>
          <w:tcPr>
            <w:tcW w:w="1662" w:type="dxa"/>
            <w:tcBorders>
              <w:bottom w:val="single" w:color="auto" w:sz="4" w:space="0"/>
            </w:tcBorders>
            <w:vAlign w:val="center"/>
          </w:tcPr>
          <w:p w14:paraId="2AA5A191">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zh-CN"/>
              </w:rPr>
              <w:t>井泉社区</w:t>
            </w:r>
          </w:p>
        </w:tc>
        <w:tc>
          <w:tcPr>
            <w:tcW w:w="650" w:type="dxa"/>
            <w:tcBorders>
              <w:bottom w:val="single" w:color="auto" w:sz="4" w:space="0"/>
              <w:right w:val="single" w:color="auto" w:sz="4" w:space="0"/>
            </w:tcBorders>
            <w:vAlign w:val="center"/>
          </w:tcPr>
          <w:p w14:paraId="22C15E57">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-470</w:t>
            </w:r>
          </w:p>
        </w:tc>
        <w:tc>
          <w:tcPr>
            <w:tcW w:w="613" w:type="dxa"/>
            <w:tcBorders>
              <w:left w:val="single" w:color="auto" w:sz="4" w:space="0"/>
              <w:bottom w:val="single" w:color="auto" w:sz="4" w:space="0"/>
            </w:tcBorders>
            <w:vAlign w:val="center"/>
          </w:tcPr>
          <w:p w14:paraId="2356E092">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351</w:t>
            </w:r>
          </w:p>
        </w:tc>
        <w:tc>
          <w:tcPr>
            <w:tcW w:w="887" w:type="dxa"/>
            <w:tcBorders>
              <w:bottom w:val="single" w:color="auto" w:sz="4" w:space="0"/>
              <w:right w:val="single" w:color="auto" w:sz="4" w:space="0"/>
            </w:tcBorders>
            <w:vAlign w:val="center"/>
          </w:tcPr>
          <w:p w14:paraId="021BD407">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居民</w:t>
            </w:r>
          </w:p>
        </w:tc>
        <w:tc>
          <w:tcPr>
            <w:tcW w:w="1088" w:type="dxa"/>
            <w:tcBorders>
              <w:left w:val="single" w:color="auto" w:sz="4" w:space="0"/>
              <w:right w:val="single" w:color="auto" w:sz="4" w:space="0"/>
            </w:tcBorders>
            <w:vAlign w:val="center"/>
          </w:tcPr>
          <w:p w14:paraId="62B6E932">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val="en-US" w:eastAsia="zh-CN"/>
              </w:rPr>
            </w:pPr>
            <w:r>
              <w:rPr>
                <w:rFonts w:hint="eastAsia"/>
                <w:color w:val="FF0000"/>
                <w:highlight w:val="none"/>
                <w:lang w:val="en-US" w:eastAsia="zh-CN"/>
              </w:rPr>
              <w:t>320/80</w:t>
            </w:r>
          </w:p>
        </w:tc>
        <w:tc>
          <w:tcPr>
            <w:tcW w:w="1112" w:type="dxa"/>
            <w:vMerge w:val="continue"/>
            <w:tcBorders>
              <w:left w:val="single" w:color="auto" w:sz="4" w:space="0"/>
              <w:right w:val="single" w:color="auto" w:sz="4" w:space="0"/>
            </w:tcBorders>
            <w:vAlign w:val="center"/>
          </w:tcPr>
          <w:p w14:paraId="658821F8">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50" w:type="dxa"/>
            <w:vMerge w:val="continue"/>
            <w:tcBorders>
              <w:left w:val="single" w:color="auto" w:sz="4" w:space="0"/>
              <w:right w:val="single" w:color="auto" w:sz="4" w:space="0"/>
            </w:tcBorders>
            <w:vAlign w:val="center"/>
          </w:tcPr>
          <w:p w14:paraId="4797BACA">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75" w:type="dxa"/>
            <w:tcBorders>
              <w:left w:val="single" w:color="auto" w:sz="4" w:space="0"/>
              <w:bottom w:val="single" w:color="auto" w:sz="4" w:space="0"/>
            </w:tcBorders>
            <w:vAlign w:val="center"/>
          </w:tcPr>
          <w:p w14:paraId="4B352BC3">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西北</w:t>
            </w:r>
          </w:p>
        </w:tc>
        <w:tc>
          <w:tcPr>
            <w:tcW w:w="822" w:type="dxa"/>
            <w:tcBorders>
              <w:bottom w:val="single" w:color="auto" w:sz="4" w:space="0"/>
            </w:tcBorders>
            <w:vAlign w:val="center"/>
          </w:tcPr>
          <w:p w14:paraId="5DE67765">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590</w:t>
            </w:r>
          </w:p>
        </w:tc>
      </w:tr>
      <w:tr w14:paraId="49D1F30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0" w:hRule="atLeast"/>
          <w:jc w:val="center"/>
        </w:trPr>
        <w:tc>
          <w:tcPr>
            <w:tcW w:w="689" w:type="dxa"/>
            <w:vMerge w:val="continue"/>
            <w:vAlign w:val="center"/>
          </w:tcPr>
          <w:p w14:paraId="7678DB90">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1662" w:type="dxa"/>
            <w:tcBorders>
              <w:top w:val="single" w:color="auto" w:sz="4" w:space="0"/>
            </w:tcBorders>
            <w:vAlign w:val="center"/>
          </w:tcPr>
          <w:p w14:paraId="26ECD843">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zh-CN"/>
              </w:rPr>
              <w:t>井涌社区</w:t>
            </w:r>
          </w:p>
        </w:tc>
        <w:tc>
          <w:tcPr>
            <w:tcW w:w="650" w:type="dxa"/>
            <w:tcBorders>
              <w:top w:val="single" w:color="auto" w:sz="4" w:space="0"/>
              <w:right w:val="single" w:color="auto" w:sz="4" w:space="0"/>
            </w:tcBorders>
            <w:vAlign w:val="center"/>
          </w:tcPr>
          <w:p w14:paraId="2A5AC2A9">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-280</w:t>
            </w:r>
          </w:p>
        </w:tc>
        <w:tc>
          <w:tcPr>
            <w:tcW w:w="613" w:type="dxa"/>
            <w:tcBorders>
              <w:top w:val="single" w:color="auto" w:sz="4" w:space="0"/>
              <w:left w:val="single" w:color="auto" w:sz="4" w:space="0"/>
            </w:tcBorders>
            <w:vAlign w:val="center"/>
          </w:tcPr>
          <w:p w14:paraId="1411C8DC">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0</w:t>
            </w:r>
          </w:p>
        </w:tc>
        <w:tc>
          <w:tcPr>
            <w:tcW w:w="887" w:type="dxa"/>
            <w:tcBorders>
              <w:top w:val="single" w:color="auto" w:sz="4" w:space="0"/>
              <w:right w:val="single" w:color="auto" w:sz="4" w:space="0"/>
            </w:tcBorders>
            <w:vAlign w:val="center"/>
          </w:tcPr>
          <w:p w14:paraId="17A66408">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居民</w:t>
            </w:r>
          </w:p>
        </w:tc>
        <w:tc>
          <w:tcPr>
            <w:tcW w:w="1088" w:type="dxa"/>
            <w:tcBorders>
              <w:left w:val="single" w:color="auto" w:sz="4" w:space="0"/>
              <w:right w:val="single" w:color="auto" w:sz="4" w:space="0"/>
            </w:tcBorders>
            <w:vAlign w:val="center"/>
          </w:tcPr>
          <w:p w14:paraId="21E6999E">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val="en-US" w:eastAsia="zh-CN"/>
              </w:rPr>
            </w:pPr>
            <w:r>
              <w:rPr>
                <w:rFonts w:hint="eastAsia"/>
                <w:color w:val="FF0000"/>
                <w:highlight w:val="none"/>
                <w:lang w:val="en-US" w:eastAsia="zh-CN"/>
              </w:rPr>
              <w:t>600/150</w:t>
            </w:r>
          </w:p>
        </w:tc>
        <w:tc>
          <w:tcPr>
            <w:tcW w:w="1112" w:type="dxa"/>
            <w:vMerge w:val="continue"/>
            <w:tcBorders>
              <w:left w:val="single" w:color="auto" w:sz="4" w:space="0"/>
              <w:right w:val="single" w:color="auto" w:sz="4" w:space="0"/>
            </w:tcBorders>
            <w:vAlign w:val="center"/>
          </w:tcPr>
          <w:p w14:paraId="406BAFC5">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50" w:type="dxa"/>
            <w:vMerge w:val="continue"/>
            <w:tcBorders>
              <w:left w:val="single" w:color="auto" w:sz="4" w:space="0"/>
              <w:right w:val="single" w:color="auto" w:sz="4" w:space="0"/>
            </w:tcBorders>
            <w:vAlign w:val="center"/>
          </w:tcPr>
          <w:p w14:paraId="0CD8A7B1">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75" w:type="dxa"/>
            <w:tcBorders>
              <w:top w:val="single" w:color="auto" w:sz="4" w:space="0"/>
              <w:left w:val="single" w:color="auto" w:sz="4" w:space="0"/>
            </w:tcBorders>
            <w:vAlign w:val="center"/>
          </w:tcPr>
          <w:p w14:paraId="39CB3CEF">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西</w:t>
            </w:r>
          </w:p>
        </w:tc>
        <w:tc>
          <w:tcPr>
            <w:tcW w:w="822" w:type="dxa"/>
            <w:tcBorders>
              <w:top w:val="single" w:color="auto" w:sz="4" w:space="0"/>
            </w:tcBorders>
            <w:vAlign w:val="center"/>
          </w:tcPr>
          <w:p w14:paraId="4FD5EFB9">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280</w:t>
            </w:r>
          </w:p>
        </w:tc>
      </w:tr>
      <w:tr w14:paraId="170D61C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0" w:hRule="atLeast"/>
          <w:jc w:val="center"/>
        </w:trPr>
        <w:tc>
          <w:tcPr>
            <w:tcW w:w="689" w:type="dxa"/>
            <w:vMerge w:val="continue"/>
            <w:vAlign w:val="center"/>
          </w:tcPr>
          <w:p w14:paraId="6A21257D">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1662" w:type="dxa"/>
            <w:vAlign w:val="center"/>
          </w:tcPr>
          <w:p w14:paraId="4F1DD487">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zh-CN"/>
              </w:rPr>
              <w:t>本溪市第二中学</w:t>
            </w:r>
          </w:p>
        </w:tc>
        <w:tc>
          <w:tcPr>
            <w:tcW w:w="650" w:type="dxa"/>
            <w:tcBorders>
              <w:right w:val="single" w:color="auto" w:sz="4" w:space="0"/>
            </w:tcBorders>
            <w:vAlign w:val="center"/>
          </w:tcPr>
          <w:p w14:paraId="652FB909">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285</w:t>
            </w:r>
          </w:p>
        </w:tc>
        <w:tc>
          <w:tcPr>
            <w:tcW w:w="613" w:type="dxa"/>
            <w:tcBorders>
              <w:left w:val="single" w:color="auto" w:sz="4" w:space="0"/>
            </w:tcBorders>
            <w:vAlign w:val="center"/>
          </w:tcPr>
          <w:p w14:paraId="2D55B217">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10</w:t>
            </w:r>
          </w:p>
        </w:tc>
        <w:tc>
          <w:tcPr>
            <w:tcW w:w="887" w:type="dxa"/>
            <w:tcBorders>
              <w:right w:val="single" w:color="auto" w:sz="4" w:space="0"/>
            </w:tcBorders>
            <w:vAlign w:val="center"/>
          </w:tcPr>
          <w:p w14:paraId="10F5FC0D">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学校</w:t>
            </w:r>
          </w:p>
        </w:tc>
        <w:tc>
          <w:tcPr>
            <w:tcW w:w="1088" w:type="dxa"/>
            <w:tcBorders>
              <w:left w:val="single" w:color="auto" w:sz="4" w:space="0"/>
              <w:right w:val="single" w:color="auto" w:sz="4" w:space="0"/>
            </w:tcBorders>
            <w:vAlign w:val="center"/>
          </w:tcPr>
          <w:p w14:paraId="457B3AA3">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val="en-US" w:eastAsia="zh-CN"/>
              </w:rPr>
            </w:pPr>
            <w:r>
              <w:rPr>
                <w:rFonts w:hint="eastAsia"/>
                <w:color w:val="FF0000"/>
                <w:highlight w:val="none"/>
                <w:lang w:val="en-US" w:eastAsia="zh-CN"/>
              </w:rPr>
              <w:t>800人</w:t>
            </w:r>
          </w:p>
        </w:tc>
        <w:tc>
          <w:tcPr>
            <w:tcW w:w="1112" w:type="dxa"/>
            <w:vMerge w:val="continue"/>
            <w:tcBorders>
              <w:left w:val="single" w:color="auto" w:sz="4" w:space="0"/>
              <w:right w:val="single" w:color="auto" w:sz="4" w:space="0"/>
            </w:tcBorders>
            <w:vAlign w:val="center"/>
          </w:tcPr>
          <w:p w14:paraId="5B0553C4">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50" w:type="dxa"/>
            <w:vMerge w:val="continue"/>
            <w:tcBorders>
              <w:left w:val="single" w:color="auto" w:sz="4" w:space="0"/>
              <w:right w:val="single" w:color="auto" w:sz="4" w:space="0"/>
            </w:tcBorders>
            <w:vAlign w:val="center"/>
          </w:tcPr>
          <w:p w14:paraId="052B09F0">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75" w:type="dxa"/>
            <w:tcBorders>
              <w:left w:val="single" w:color="auto" w:sz="4" w:space="0"/>
            </w:tcBorders>
            <w:vAlign w:val="center"/>
          </w:tcPr>
          <w:p w14:paraId="0F59F34F">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东</w:t>
            </w:r>
          </w:p>
        </w:tc>
        <w:tc>
          <w:tcPr>
            <w:tcW w:w="822" w:type="dxa"/>
            <w:vAlign w:val="center"/>
          </w:tcPr>
          <w:p w14:paraId="5A77C989">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240</w:t>
            </w:r>
          </w:p>
        </w:tc>
      </w:tr>
      <w:tr w14:paraId="1F5F6B1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0" w:hRule="atLeast"/>
          <w:jc w:val="center"/>
        </w:trPr>
        <w:tc>
          <w:tcPr>
            <w:tcW w:w="689" w:type="dxa"/>
            <w:vMerge w:val="continue"/>
            <w:vAlign w:val="center"/>
          </w:tcPr>
          <w:p w14:paraId="770D9976">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1662" w:type="dxa"/>
            <w:vAlign w:val="center"/>
          </w:tcPr>
          <w:p w14:paraId="6E4FC2F4">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zh-CN"/>
              </w:rPr>
              <w:t>后石小学</w:t>
            </w:r>
          </w:p>
        </w:tc>
        <w:tc>
          <w:tcPr>
            <w:tcW w:w="650" w:type="dxa"/>
            <w:tcBorders>
              <w:right w:val="single" w:color="auto" w:sz="4" w:space="0"/>
            </w:tcBorders>
            <w:vAlign w:val="center"/>
          </w:tcPr>
          <w:p w14:paraId="22A2381F">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-51</w:t>
            </w:r>
          </w:p>
        </w:tc>
        <w:tc>
          <w:tcPr>
            <w:tcW w:w="613" w:type="dxa"/>
            <w:tcBorders>
              <w:left w:val="single" w:color="auto" w:sz="4" w:space="0"/>
            </w:tcBorders>
            <w:vAlign w:val="center"/>
          </w:tcPr>
          <w:p w14:paraId="028067D8">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462</w:t>
            </w:r>
          </w:p>
        </w:tc>
        <w:tc>
          <w:tcPr>
            <w:tcW w:w="887" w:type="dxa"/>
            <w:tcBorders>
              <w:right w:val="single" w:color="auto" w:sz="4" w:space="0"/>
            </w:tcBorders>
            <w:vAlign w:val="center"/>
          </w:tcPr>
          <w:p w14:paraId="73557D1F">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学校</w:t>
            </w:r>
          </w:p>
        </w:tc>
        <w:tc>
          <w:tcPr>
            <w:tcW w:w="1088" w:type="dxa"/>
            <w:tcBorders>
              <w:left w:val="single" w:color="auto" w:sz="4" w:space="0"/>
              <w:right w:val="single" w:color="auto" w:sz="4" w:space="0"/>
            </w:tcBorders>
            <w:vAlign w:val="center"/>
          </w:tcPr>
          <w:p w14:paraId="05128770">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val="en-US" w:eastAsia="zh-CN"/>
              </w:rPr>
            </w:pPr>
            <w:r>
              <w:rPr>
                <w:rFonts w:hint="eastAsia"/>
                <w:color w:val="FF0000"/>
                <w:highlight w:val="none"/>
                <w:lang w:val="en-US" w:eastAsia="zh-CN"/>
              </w:rPr>
              <w:t>600人</w:t>
            </w:r>
          </w:p>
        </w:tc>
        <w:tc>
          <w:tcPr>
            <w:tcW w:w="1112" w:type="dxa"/>
            <w:vMerge w:val="continue"/>
            <w:tcBorders>
              <w:left w:val="single" w:color="auto" w:sz="4" w:space="0"/>
              <w:right w:val="single" w:color="auto" w:sz="4" w:space="0"/>
            </w:tcBorders>
            <w:vAlign w:val="center"/>
          </w:tcPr>
          <w:p w14:paraId="75BEEB9A">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50" w:type="dxa"/>
            <w:vMerge w:val="continue"/>
            <w:tcBorders>
              <w:left w:val="single" w:color="auto" w:sz="4" w:space="0"/>
              <w:right w:val="single" w:color="auto" w:sz="4" w:space="0"/>
            </w:tcBorders>
            <w:vAlign w:val="center"/>
          </w:tcPr>
          <w:p w14:paraId="02597C18">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75" w:type="dxa"/>
            <w:tcBorders>
              <w:left w:val="single" w:color="auto" w:sz="4" w:space="0"/>
            </w:tcBorders>
            <w:vAlign w:val="center"/>
          </w:tcPr>
          <w:p w14:paraId="07B4B94D">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北</w:t>
            </w:r>
          </w:p>
        </w:tc>
        <w:tc>
          <w:tcPr>
            <w:tcW w:w="822" w:type="dxa"/>
            <w:vAlign w:val="center"/>
          </w:tcPr>
          <w:p w14:paraId="302A7B10">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430</w:t>
            </w:r>
          </w:p>
        </w:tc>
      </w:tr>
      <w:tr w14:paraId="465E975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0" w:hRule="atLeast"/>
          <w:jc w:val="center"/>
        </w:trPr>
        <w:tc>
          <w:tcPr>
            <w:tcW w:w="689" w:type="dxa"/>
            <w:vMerge w:val="continue"/>
            <w:vAlign w:val="center"/>
          </w:tcPr>
          <w:p w14:paraId="50535FBA">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1662" w:type="dxa"/>
            <w:vAlign w:val="center"/>
          </w:tcPr>
          <w:p w14:paraId="1C622458">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zh-CN"/>
              </w:rPr>
              <w:t>本溪市第一人民医院</w:t>
            </w:r>
          </w:p>
        </w:tc>
        <w:tc>
          <w:tcPr>
            <w:tcW w:w="650" w:type="dxa"/>
            <w:tcBorders>
              <w:right w:val="single" w:color="auto" w:sz="4" w:space="0"/>
            </w:tcBorders>
            <w:vAlign w:val="center"/>
          </w:tcPr>
          <w:p w14:paraId="5F632E85">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178</w:t>
            </w:r>
          </w:p>
        </w:tc>
        <w:tc>
          <w:tcPr>
            <w:tcW w:w="613" w:type="dxa"/>
            <w:tcBorders>
              <w:left w:val="single" w:color="auto" w:sz="4" w:space="0"/>
            </w:tcBorders>
            <w:vAlign w:val="center"/>
          </w:tcPr>
          <w:p w14:paraId="3605C867">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93</w:t>
            </w:r>
          </w:p>
        </w:tc>
        <w:tc>
          <w:tcPr>
            <w:tcW w:w="887" w:type="dxa"/>
            <w:tcBorders>
              <w:right w:val="single" w:color="auto" w:sz="4" w:space="0"/>
            </w:tcBorders>
            <w:vAlign w:val="center"/>
          </w:tcPr>
          <w:p w14:paraId="3C673F90">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医院</w:t>
            </w:r>
          </w:p>
        </w:tc>
        <w:tc>
          <w:tcPr>
            <w:tcW w:w="1088" w:type="dxa"/>
            <w:tcBorders>
              <w:left w:val="single" w:color="auto" w:sz="4" w:space="0"/>
              <w:right w:val="single" w:color="auto" w:sz="4" w:space="0"/>
            </w:tcBorders>
            <w:vAlign w:val="center"/>
          </w:tcPr>
          <w:p w14:paraId="290E13D6">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val="en-US" w:eastAsia="zh-CN"/>
              </w:rPr>
            </w:pPr>
            <w:r>
              <w:rPr>
                <w:rFonts w:hint="eastAsia"/>
                <w:color w:val="FF0000"/>
                <w:highlight w:val="none"/>
                <w:lang w:val="en-US" w:eastAsia="zh-CN"/>
              </w:rPr>
              <w:t>/</w:t>
            </w:r>
          </w:p>
        </w:tc>
        <w:tc>
          <w:tcPr>
            <w:tcW w:w="1112" w:type="dxa"/>
            <w:vMerge w:val="continue"/>
            <w:tcBorders>
              <w:left w:val="single" w:color="auto" w:sz="4" w:space="0"/>
              <w:right w:val="single" w:color="auto" w:sz="4" w:space="0"/>
            </w:tcBorders>
            <w:vAlign w:val="center"/>
          </w:tcPr>
          <w:p w14:paraId="0FAAD2C6">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50" w:type="dxa"/>
            <w:vMerge w:val="continue"/>
            <w:tcBorders>
              <w:left w:val="single" w:color="auto" w:sz="4" w:space="0"/>
              <w:right w:val="single" w:color="auto" w:sz="4" w:space="0"/>
            </w:tcBorders>
            <w:vAlign w:val="center"/>
          </w:tcPr>
          <w:p w14:paraId="769F3E37">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75" w:type="dxa"/>
            <w:tcBorders>
              <w:left w:val="single" w:color="auto" w:sz="4" w:space="0"/>
            </w:tcBorders>
            <w:vAlign w:val="center"/>
          </w:tcPr>
          <w:p w14:paraId="4D9C5A68">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东北</w:t>
            </w:r>
          </w:p>
        </w:tc>
        <w:tc>
          <w:tcPr>
            <w:tcW w:w="822" w:type="dxa"/>
            <w:tcBorders>
              <w:left w:val="single" w:color="auto" w:sz="4" w:space="0"/>
            </w:tcBorders>
            <w:vAlign w:val="center"/>
          </w:tcPr>
          <w:p w14:paraId="4E7DCB11">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135</w:t>
            </w:r>
          </w:p>
        </w:tc>
      </w:tr>
      <w:tr w14:paraId="215E4D3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0" w:hRule="atLeast"/>
          <w:jc w:val="center"/>
        </w:trPr>
        <w:tc>
          <w:tcPr>
            <w:tcW w:w="689" w:type="dxa"/>
            <w:vMerge w:val="continue"/>
            <w:vAlign w:val="center"/>
          </w:tcPr>
          <w:p w14:paraId="6DB0CF94">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1662" w:type="dxa"/>
            <w:vAlign w:val="center"/>
          </w:tcPr>
          <w:p w14:paraId="6C70623A">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zh-CN"/>
              </w:rPr>
              <w:t>本溪市公安局溪湖分局</w:t>
            </w:r>
          </w:p>
        </w:tc>
        <w:tc>
          <w:tcPr>
            <w:tcW w:w="650" w:type="dxa"/>
            <w:tcBorders>
              <w:right w:val="single" w:color="auto" w:sz="4" w:space="0"/>
            </w:tcBorders>
            <w:vAlign w:val="center"/>
          </w:tcPr>
          <w:p w14:paraId="1E294D9E">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9</w:t>
            </w:r>
          </w:p>
        </w:tc>
        <w:tc>
          <w:tcPr>
            <w:tcW w:w="613" w:type="dxa"/>
            <w:tcBorders>
              <w:left w:val="single" w:color="auto" w:sz="4" w:space="0"/>
            </w:tcBorders>
            <w:vAlign w:val="center"/>
          </w:tcPr>
          <w:p w14:paraId="2D6AA3D2">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40</w:t>
            </w:r>
          </w:p>
        </w:tc>
        <w:tc>
          <w:tcPr>
            <w:tcW w:w="887" w:type="dxa"/>
            <w:tcBorders>
              <w:right w:val="single" w:color="auto" w:sz="4" w:space="0"/>
            </w:tcBorders>
            <w:vAlign w:val="center"/>
          </w:tcPr>
          <w:p w14:paraId="7101C249">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行政机关</w:t>
            </w:r>
          </w:p>
        </w:tc>
        <w:tc>
          <w:tcPr>
            <w:tcW w:w="1088" w:type="dxa"/>
            <w:tcBorders>
              <w:left w:val="single" w:color="auto" w:sz="4" w:space="0"/>
              <w:right w:val="single" w:color="auto" w:sz="4" w:space="0"/>
            </w:tcBorders>
            <w:vAlign w:val="center"/>
          </w:tcPr>
          <w:p w14:paraId="060FCA31">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val="en-US" w:eastAsia="zh-CN"/>
              </w:rPr>
            </w:pPr>
            <w:r>
              <w:rPr>
                <w:rFonts w:hint="eastAsia"/>
                <w:color w:val="FF0000"/>
                <w:highlight w:val="none"/>
                <w:lang w:val="en-US" w:eastAsia="zh-CN"/>
              </w:rPr>
              <w:t>/</w:t>
            </w:r>
          </w:p>
        </w:tc>
        <w:tc>
          <w:tcPr>
            <w:tcW w:w="1112" w:type="dxa"/>
            <w:vMerge w:val="continue"/>
            <w:tcBorders>
              <w:left w:val="single" w:color="auto" w:sz="4" w:space="0"/>
              <w:right w:val="single" w:color="auto" w:sz="4" w:space="0"/>
            </w:tcBorders>
            <w:vAlign w:val="center"/>
          </w:tcPr>
          <w:p w14:paraId="39FA7C31">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50" w:type="dxa"/>
            <w:vMerge w:val="continue"/>
            <w:tcBorders>
              <w:left w:val="single" w:color="auto" w:sz="4" w:space="0"/>
              <w:right w:val="single" w:color="auto" w:sz="4" w:space="0"/>
            </w:tcBorders>
            <w:vAlign w:val="center"/>
          </w:tcPr>
          <w:p w14:paraId="57EA8718">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75" w:type="dxa"/>
            <w:tcBorders>
              <w:left w:val="single" w:color="auto" w:sz="4" w:space="0"/>
            </w:tcBorders>
            <w:vAlign w:val="center"/>
          </w:tcPr>
          <w:p w14:paraId="3260CA91">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北</w:t>
            </w:r>
          </w:p>
        </w:tc>
        <w:tc>
          <w:tcPr>
            <w:tcW w:w="822" w:type="dxa"/>
            <w:tcBorders>
              <w:left w:val="single" w:color="auto" w:sz="4" w:space="0"/>
            </w:tcBorders>
            <w:vAlign w:val="center"/>
          </w:tcPr>
          <w:p w14:paraId="672A7407">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相邻</w:t>
            </w:r>
          </w:p>
        </w:tc>
      </w:tr>
      <w:tr w14:paraId="4686A40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0" w:hRule="atLeast"/>
          <w:jc w:val="center"/>
        </w:trPr>
        <w:tc>
          <w:tcPr>
            <w:tcW w:w="689" w:type="dxa"/>
            <w:vMerge w:val="continue"/>
            <w:vAlign w:val="center"/>
          </w:tcPr>
          <w:p w14:paraId="440701DC">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1662" w:type="dxa"/>
            <w:vAlign w:val="center"/>
          </w:tcPr>
          <w:p w14:paraId="71AAC95A">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zh-CN"/>
              </w:rPr>
              <w:t>溪湖区人民法院</w:t>
            </w:r>
          </w:p>
        </w:tc>
        <w:tc>
          <w:tcPr>
            <w:tcW w:w="650" w:type="dxa"/>
            <w:tcBorders>
              <w:right w:val="single" w:color="auto" w:sz="4" w:space="0"/>
            </w:tcBorders>
            <w:vAlign w:val="center"/>
          </w:tcPr>
          <w:p w14:paraId="0B422DEC">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-18</w:t>
            </w:r>
          </w:p>
        </w:tc>
        <w:tc>
          <w:tcPr>
            <w:tcW w:w="613" w:type="dxa"/>
            <w:tcBorders>
              <w:left w:val="single" w:color="auto" w:sz="4" w:space="0"/>
            </w:tcBorders>
            <w:vAlign w:val="center"/>
          </w:tcPr>
          <w:p w14:paraId="0FF58CF6">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58</w:t>
            </w:r>
          </w:p>
        </w:tc>
        <w:tc>
          <w:tcPr>
            <w:tcW w:w="887" w:type="dxa"/>
            <w:tcBorders>
              <w:right w:val="single" w:color="auto" w:sz="4" w:space="0"/>
            </w:tcBorders>
            <w:vAlign w:val="center"/>
          </w:tcPr>
          <w:p w14:paraId="0674B6E1">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行政机关</w:t>
            </w:r>
          </w:p>
        </w:tc>
        <w:tc>
          <w:tcPr>
            <w:tcW w:w="1088" w:type="dxa"/>
            <w:tcBorders>
              <w:left w:val="single" w:color="auto" w:sz="4" w:space="0"/>
              <w:right w:val="single" w:color="auto" w:sz="4" w:space="0"/>
            </w:tcBorders>
            <w:vAlign w:val="center"/>
          </w:tcPr>
          <w:p w14:paraId="31752289">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val="en-US" w:eastAsia="zh-CN"/>
              </w:rPr>
            </w:pPr>
            <w:r>
              <w:rPr>
                <w:rFonts w:hint="eastAsia"/>
                <w:color w:val="FF0000"/>
                <w:highlight w:val="none"/>
                <w:lang w:val="en-US" w:eastAsia="zh-CN"/>
              </w:rPr>
              <w:t>/</w:t>
            </w:r>
          </w:p>
        </w:tc>
        <w:tc>
          <w:tcPr>
            <w:tcW w:w="1112" w:type="dxa"/>
            <w:vMerge w:val="continue"/>
            <w:tcBorders>
              <w:left w:val="single" w:color="auto" w:sz="4" w:space="0"/>
              <w:right w:val="single" w:color="auto" w:sz="4" w:space="0"/>
            </w:tcBorders>
            <w:vAlign w:val="center"/>
          </w:tcPr>
          <w:p w14:paraId="1A7DC127">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50" w:type="dxa"/>
            <w:vMerge w:val="continue"/>
            <w:tcBorders>
              <w:left w:val="single" w:color="auto" w:sz="4" w:space="0"/>
              <w:right w:val="single" w:color="auto" w:sz="4" w:space="0"/>
            </w:tcBorders>
            <w:vAlign w:val="center"/>
          </w:tcPr>
          <w:p w14:paraId="145F7C23">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75" w:type="dxa"/>
            <w:tcBorders>
              <w:left w:val="single" w:color="auto" w:sz="4" w:space="0"/>
            </w:tcBorders>
            <w:vAlign w:val="center"/>
          </w:tcPr>
          <w:p w14:paraId="1448758C">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西北</w:t>
            </w:r>
          </w:p>
        </w:tc>
        <w:tc>
          <w:tcPr>
            <w:tcW w:w="822" w:type="dxa"/>
            <w:tcBorders>
              <w:left w:val="single" w:color="auto" w:sz="4" w:space="0"/>
            </w:tcBorders>
            <w:vAlign w:val="center"/>
          </w:tcPr>
          <w:p w14:paraId="3A25DA21">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32</w:t>
            </w:r>
          </w:p>
        </w:tc>
      </w:tr>
      <w:tr w14:paraId="4D25A56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145" w:hRule="atLeast"/>
          <w:jc w:val="center"/>
        </w:trPr>
        <w:tc>
          <w:tcPr>
            <w:tcW w:w="689" w:type="dxa"/>
            <w:vMerge w:val="continue"/>
            <w:vAlign w:val="center"/>
          </w:tcPr>
          <w:p w14:paraId="53D8D58F">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1662" w:type="dxa"/>
            <w:tcBorders>
              <w:bottom w:val="single" w:color="auto" w:sz="4" w:space="0"/>
            </w:tcBorders>
            <w:vAlign w:val="center"/>
          </w:tcPr>
          <w:p w14:paraId="1EC93FAA">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zh-CN"/>
              </w:rPr>
              <w:t>溪湖区政府</w:t>
            </w:r>
          </w:p>
        </w:tc>
        <w:tc>
          <w:tcPr>
            <w:tcW w:w="650" w:type="dxa"/>
            <w:tcBorders>
              <w:bottom w:val="single" w:color="auto" w:sz="4" w:space="0"/>
              <w:right w:val="single" w:color="auto" w:sz="4" w:space="0"/>
            </w:tcBorders>
            <w:vAlign w:val="center"/>
          </w:tcPr>
          <w:p w14:paraId="0F5195E2">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0</w:t>
            </w:r>
          </w:p>
        </w:tc>
        <w:tc>
          <w:tcPr>
            <w:tcW w:w="613" w:type="dxa"/>
            <w:tcBorders>
              <w:left w:val="single" w:color="auto" w:sz="4" w:space="0"/>
              <w:bottom w:val="single" w:color="auto" w:sz="4" w:space="0"/>
            </w:tcBorders>
            <w:vAlign w:val="center"/>
          </w:tcPr>
          <w:p w14:paraId="13BBCE7E">
            <w:pPr>
              <w:keepNext w:val="0"/>
              <w:keepLines w:val="0"/>
              <w:pageBreakBefore w:val="0"/>
              <w:widowControl w:val="0"/>
              <w:kinsoku/>
              <w:wordWrap/>
              <w:overflowPunct/>
              <w:topLinePunct w:val="0"/>
              <w:bidi w:val="0"/>
              <w:adjustRightInd w:val="0"/>
              <w:snapToGrid w:val="0"/>
              <w:jc w:val="center"/>
              <w:textAlignment w:val="auto"/>
              <w:outlineLvl w:val="9"/>
              <w:rPr>
                <w:rFonts w:hint="eastAsia" w:eastAsia="宋体"/>
                <w:color w:val="auto"/>
                <w:highlight w:val="none"/>
                <w:lang w:val="en-US" w:eastAsia="zh-CN"/>
              </w:rPr>
            </w:pPr>
            <w:r>
              <w:rPr>
                <w:rFonts w:hint="eastAsia"/>
                <w:color w:val="auto"/>
                <w:highlight w:val="none"/>
                <w:lang w:val="en-US" w:eastAsia="zh-CN"/>
              </w:rPr>
              <w:t>106</w:t>
            </w:r>
          </w:p>
        </w:tc>
        <w:tc>
          <w:tcPr>
            <w:tcW w:w="887" w:type="dxa"/>
            <w:tcBorders>
              <w:bottom w:val="single" w:color="auto" w:sz="4" w:space="0"/>
              <w:right w:val="single" w:color="auto" w:sz="4" w:space="0"/>
            </w:tcBorders>
            <w:vAlign w:val="center"/>
          </w:tcPr>
          <w:p w14:paraId="63233DFE">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行政机关</w:t>
            </w:r>
          </w:p>
        </w:tc>
        <w:tc>
          <w:tcPr>
            <w:tcW w:w="1088" w:type="dxa"/>
            <w:tcBorders>
              <w:left w:val="single" w:color="auto" w:sz="4" w:space="0"/>
              <w:right w:val="single" w:color="auto" w:sz="4" w:space="0"/>
            </w:tcBorders>
            <w:vAlign w:val="center"/>
          </w:tcPr>
          <w:p w14:paraId="5486EB81">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val="en-US" w:eastAsia="zh-CN"/>
              </w:rPr>
            </w:pPr>
            <w:r>
              <w:rPr>
                <w:rFonts w:hint="eastAsia"/>
                <w:color w:val="FF0000"/>
                <w:highlight w:val="none"/>
                <w:lang w:val="en-US" w:eastAsia="zh-CN"/>
              </w:rPr>
              <w:t>/</w:t>
            </w:r>
          </w:p>
        </w:tc>
        <w:tc>
          <w:tcPr>
            <w:tcW w:w="1112" w:type="dxa"/>
            <w:vMerge w:val="continue"/>
            <w:tcBorders>
              <w:left w:val="single" w:color="auto" w:sz="4" w:space="0"/>
              <w:right w:val="single" w:color="auto" w:sz="4" w:space="0"/>
            </w:tcBorders>
            <w:vAlign w:val="center"/>
          </w:tcPr>
          <w:p w14:paraId="4E4D506B">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50" w:type="dxa"/>
            <w:vMerge w:val="continue"/>
            <w:tcBorders>
              <w:left w:val="single" w:color="auto" w:sz="4" w:space="0"/>
              <w:right w:val="single" w:color="auto" w:sz="4" w:space="0"/>
            </w:tcBorders>
            <w:vAlign w:val="center"/>
          </w:tcPr>
          <w:p w14:paraId="5CE3F395">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75" w:type="dxa"/>
            <w:tcBorders>
              <w:left w:val="single" w:color="auto" w:sz="4" w:space="0"/>
              <w:bottom w:val="single" w:color="auto" w:sz="4" w:space="0"/>
            </w:tcBorders>
            <w:vAlign w:val="center"/>
          </w:tcPr>
          <w:p w14:paraId="1DD09B59">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北</w:t>
            </w:r>
          </w:p>
        </w:tc>
        <w:tc>
          <w:tcPr>
            <w:tcW w:w="822" w:type="dxa"/>
            <w:tcBorders>
              <w:left w:val="single" w:color="auto" w:sz="4" w:space="0"/>
              <w:bottom w:val="single" w:color="auto" w:sz="4" w:space="0"/>
            </w:tcBorders>
            <w:vAlign w:val="center"/>
          </w:tcPr>
          <w:p w14:paraId="00C270D7">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67</w:t>
            </w:r>
          </w:p>
        </w:tc>
      </w:tr>
      <w:tr w14:paraId="406F981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106" w:hRule="atLeast"/>
          <w:jc w:val="center"/>
        </w:trPr>
        <w:tc>
          <w:tcPr>
            <w:tcW w:w="689" w:type="dxa"/>
            <w:vMerge w:val="continue"/>
            <w:vAlign w:val="center"/>
          </w:tcPr>
          <w:p w14:paraId="66C1947F">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1662" w:type="dxa"/>
            <w:tcBorders>
              <w:top w:val="single" w:color="auto" w:sz="4" w:space="0"/>
              <w:bottom w:val="single" w:color="auto" w:sz="4" w:space="0"/>
            </w:tcBorders>
            <w:vAlign w:val="center"/>
          </w:tcPr>
          <w:p w14:paraId="6791A68D">
            <w:pPr>
              <w:keepNext w:val="0"/>
              <w:keepLines w:val="0"/>
              <w:pageBreakBefore w:val="0"/>
              <w:widowControl w:val="0"/>
              <w:kinsoku/>
              <w:wordWrap/>
              <w:overflowPunct/>
              <w:topLinePunct w:val="0"/>
              <w:bidi w:val="0"/>
              <w:adjustRightInd w:val="0"/>
              <w:snapToGrid w:val="0"/>
              <w:jc w:val="center"/>
              <w:textAlignment w:val="auto"/>
              <w:outlineLvl w:val="9"/>
              <w:rPr>
                <w:rFonts w:hint="eastAsia" w:ascii="Times New Roman" w:hAnsi="Times New Roman" w:eastAsia="宋体" w:cs="Times New Roman"/>
                <w:color w:val="auto"/>
                <w:highlight w:val="none"/>
                <w:lang w:val="zh-CN"/>
              </w:rPr>
            </w:pPr>
            <w:r>
              <w:rPr>
                <w:rFonts w:hint="eastAsia" w:ascii="Times New Roman" w:hAnsi="Times New Roman" w:eastAsia="宋体" w:cs="Times New Roman"/>
                <w:color w:val="auto"/>
                <w:highlight w:val="none"/>
                <w:lang w:val="zh-CN" w:eastAsia="zh-CN"/>
              </w:rPr>
              <w:t>仕仁社区居民</w:t>
            </w:r>
          </w:p>
        </w:tc>
        <w:tc>
          <w:tcPr>
            <w:tcW w:w="650" w:type="dxa"/>
            <w:tcBorders>
              <w:top w:val="single" w:color="auto" w:sz="4" w:space="0"/>
              <w:bottom w:val="single" w:color="auto" w:sz="4" w:space="0"/>
              <w:right w:val="single" w:color="auto" w:sz="4" w:space="0"/>
            </w:tcBorders>
            <w:vAlign w:val="center"/>
          </w:tcPr>
          <w:p w14:paraId="3EFE7760">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-684</w:t>
            </w:r>
          </w:p>
        </w:tc>
        <w:tc>
          <w:tcPr>
            <w:tcW w:w="613" w:type="dxa"/>
            <w:tcBorders>
              <w:top w:val="single" w:color="auto" w:sz="4" w:space="0"/>
              <w:left w:val="single" w:color="auto" w:sz="4" w:space="0"/>
              <w:bottom w:val="single" w:color="auto" w:sz="4" w:space="0"/>
            </w:tcBorders>
            <w:vAlign w:val="center"/>
          </w:tcPr>
          <w:p w14:paraId="4414F793">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368</w:t>
            </w:r>
          </w:p>
        </w:tc>
        <w:tc>
          <w:tcPr>
            <w:tcW w:w="887" w:type="dxa"/>
            <w:tcBorders>
              <w:top w:val="single" w:color="auto" w:sz="4" w:space="0"/>
              <w:bottom w:val="single" w:color="auto" w:sz="4" w:space="0"/>
              <w:right w:val="single" w:color="auto" w:sz="4" w:space="0"/>
            </w:tcBorders>
            <w:vAlign w:val="center"/>
          </w:tcPr>
          <w:p w14:paraId="2974D99C">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居民</w:t>
            </w:r>
          </w:p>
        </w:tc>
        <w:tc>
          <w:tcPr>
            <w:tcW w:w="1088" w:type="dxa"/>
            <w:tcBorders>
              <w:left w:val="single" w:color="auto" w:sz="4" w:space="0"/>
              <w:right w:val="single" w:color="auto" w:sz="4" w:space="0"/>
            </w:tcBorders>
            <w:vAlign w:val="center"/>
          </w:tcPr>
          <w:p w14:paraId="670BF7BE">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val="en-US" w:eastAsia="zh-CN"/>
              </w:rPr>
            </w:pPr>
            <w:r>
              <w:rPr>
                <w:rFonts w:hint="eastAsia"/>
                <w:color w:val="FF0000"/>
                <w:highlight w:val="none"/>
                <w:lang w:val="en-US" w:eastAsia="zh-CN"/>
              </w:rPr>
              <w:t>400/100</w:t>
            </w:r>
          </w:p>
        </w:tc>
        <w:tc>
          <w:tcPr>
            <w:tcW w:w="1112" w:type="dxa"/>
            <w:vMerge w:val="continue"/>
            <w:tcBorders>
              <w:left w:val="single" w:color="auto" w:sz="4" w:space="0"/>
              <w:right w:val="single" w:color="auto" w:sz="4" w:space="0"/>
            </w:tcBorders>
            <w:vAlign w:val="center"/>
          </w:tcPr>
          <w:p w14:paraId="10A66353">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50" w:type="dxa"/>
            <w:vMerge w:val="continue"/>
            <w:tcBorders>
              <w:left w:val="single" w:color="auto" w:sz="4" w:space="0"/>
              <w:right w:val="single" w:color="auto" w:sz="4" w:space="0"/>
            </w:tcBorders>
            <w:vAlign w:val="center"/>
          </w:tcPr>
          <w:p w14:paraId="61E8EE2B">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75" w:type="dxa"/>
            <w:tcBorders>
              <w:top w:val="single" w:color="auto" w:sz="4" w:space="0"/>
              <w:left w:val="single" w:color="auto" w:sz="4" w:space="0"/>
              <w:bottom w:val="single" w:color="auto" w:sz="4" w:space="0"/>
            </w:tcBorders>
            <w:vAlign w:val="center"/>
          </w:tcPr>
          <w:p w14:paraId="42FCC25E">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西</w:t>
            </w:r>
          </w:p>
        </w:tc>
        <w:tc>
          <w:tcPr>
            <w:tcW w:w="822" w:type="dxa"/>
            <w:tcBorders>
              <w:top w:val="single" w:color="auto" w:sz="4" w:space="0"/>
              <w:left w:val="single" w:color="auto" w:sz="4" w:space="0"/>
              <w:bottom w:val="single" w:color="auto" w:sz="4" w:space="0"/>
            </w:tcBorders>
            <w:vAlign w:val="center"/>
          </w:tcPr>
          <w:p w14:paraId="1772C0DE">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780</w:t>
            </w:r>
          </w:p>
        </w:tc>
      </w:tr>
      <w:tr w14:paraId="0FEA322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145" w:hRule="atLeast"/>
          <w:jc w:val="center"/>
        </w:trPr>
        <w:tc>
          <w:tcPr>
            <w:tcW w:w="689" w:type="dxa"/>
            <w:vMerge w:val="continue"/>
            <w:vAlign w:val="center"/>
          </w:tcPr>
          <w:p w14:paraId="562F6C31">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1662" w:type="dxa"/>
            <w:tcBorders>
              <w:top w:val="single" w:color="auto" w:sz="4" w:space="0"/>
            </w:tcBorders>
            <w:vAlign w:val="center"/>
          </w:tcPr>
          <w:p w14:paraId="18E8DF1E">
            <w:pPr>
              <w:keepNext w:val="0"/>
              <w:keepLines w:val="0"/>
              <w:pageBreakBefore w:val="0"/>
              <w:widowControl w:val="0"/>
              <w:kinsoku/>
              <w:wordWrap/>
              <w:overflowPunct/>
              <w:topLinePunct w:val="0"/>
              <w:bidi w:val="0"/>
              <w:adjustRightInd w:val="0"/>
              <w:snapToGrid w:val="0"/>
              <w:jc w:val="center"/>
              <w:textAlignment w:val="auto"/>
              <w:outlineLvl w:val="9"/>
              <w:rPr>
                <w:rFonts w:hint="eastAsia" w:ascii="Times New Roman" w:hAnsi="Times New Roman" w:eastAsia="宋体" w:cs="Times New Roman"/>
                <w:color w:val="auto"/>
                <w:highlight w:val="none"/>
                <w:lang w:val="zh-CN"/>
              </w:rPr>
            </w:pPr>
            <w:r>
              <w:rPr>
                <w:rFonts w:hint="eastAsia" w:ascii="Times New Roman" w:hAnsi="Times New Roman" w:eastAsia="宋体" w:cs="Times New Roman"/>
                <w:color w:val="auto"/>
                <w:highlight w:val="none"/>
                <w:lang w:val="zh-CN" w:eastAsia="zh-CN"/>
              </w:rPr>
              <w:t>立新社区居民</w:t>
            </w:r>
          </w:p>
        </w:tc>
        <w:tc>
          <w:tcPr>
            <w:tcW w:w="650" w:type="dxa"/>
            <w:tcBorders>
              <w:top w:val="single" w:color="auto" w:sz="4" w:space="0"/>
              <w:right w:val="single" w:color="auto" w:sz="4" w:space="0"/>
            </w:tcBorders>
            <w:vAlign w:val="center"/>
          </w:tcPr>
          <w:p w14:paraId="676BA9C4">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883</w:t>
            </w:r>
          </w:p>
        </w:tc>
        <w:tc>
          <w:tcPr>
            <w:tcW w:w="613" w:type="dxa"/>
            <w:tcBorders>
              <w:top w:val="single" w:color="auto" w:sz="4" w:space="0"/>
              <w:left w:val="single" w:color="auto" w:sz="4" w:space="0"/>
            </w:tcBorders>
            <w:vAlign w:val="center"/>
          </w:tcPr>
          <w:p w14:paraId="0B8B42D5">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-267</w:t>
            </w:r>
          </w:p>
        </w:tc>
        <w:tc>
          <w:tcPr>
            <w:tcW w:w="887" w:type="dxa"/>
            <w:tcBorders>
              <w:top w:val="single" w:color="auto" w:sz="4" w:space="0"/>
              <w:right w:val="single" w:color="auto" w:sz="4" w:space="0"/>
            </w:tcBorders>
            <w:vAlign w:val="center"/>
          </w:tcPr>
          <w:p w14:paraId="212047A3">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居民</w:t>
            </w:r>
          </w:p>
        </w:tc>
        <w:tc>
          <w:tcPr>
            <w:tcW w:w="1088" w:type="dxa"/>
            <w:tcBorders>
              <w:left w:val="single" w:color="auto" w:sz="4" w:space="0"/>
              <w:right w:val="single" w:color="auto" w:sz="4" w:space="0"/>
            </w:tcBorders>
            <w:vAlign w:val="center"/>
          </w:tcPr>
          <w:p w14:paraId="09E94D9B">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val="en-US" w:eastAsia="zh-CN"/>
              </w:rPr>
            </w:pPr>
            <w:r>
              <w:rPr>
                <w:rFonts w:hint="eastAsia"/>
                <w:color w:val="FF0000"/>
                <w:highlight w:val="none"/>
                <w:lang w:val="en-US" w:eastAsia="zh-CN"/>
              </w:rPr>
              <w:t>900/225</w:t>
            </w:r>
          </w:p>
        </w:tc>
        <w:tc>
          <w:tcPr>
            <w:tcW w:w="1112" w:type="dxa"/>
            <w:vMerge w:val="continue"/>
            <w:tcBorders>
              <w:left w:val="single" w:color="auto" w:sz="4" w:space="0"/>
              <w:right w:val="single" w:color="auto" w:sz="4" w:space="0"/>
            </w:tcBorders>
            <w:vAlign w:val="center"/>
          </w:tcPr>
          <w:p w14:paraId="388BA19A">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50" w:type="dxa"/>
            <w:vMerge w:val="continue"/>
            <w:tcBorders>
              <w:left w:val="single" w:color="auto" w:sz="4" w:space="0"/>
              <w:right w:val="single" w:color="auto" w:sz="4" w:space="0"/>
            </w:tcBorders>
            <w:vAlign w:val="center"/>
          </w:tcPr>
          <w:p w14:paraId="7D74F257">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75" w:type="dxa"/>
            <w:tcBorders>
              <w:top w:val="single" w:color="auto" w:sz="4" w:space="0"/>
              <w:left w:val="single" w:color="auto" w:sz="4" w:space="0"/>
            </w:tcBorders>
            <w:vAlign w:val="center"/>
          </w:tcPr>
          <w:p w14:paraId="757F78F2">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东</w:t>
            </w:r>
          </w:p>
        </w:tc>
        <w:tc>
          <w:tcPr>
            <w:tcW w:w="822" w:type="dxa"/>
            <w:tcBorders>
              <w:top w:val="single" w:color="auto" w:sz="4" w:space="0"/>
              <w:left w:val="single" w:color="auto" w:sz="4" w:space="0"/>
            </w:tcBorders>
            <w:vAlign w:val="center"/>
          </w:tcPr>
          <w:p w14:paraId="17981E0F">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860</w:t>
            </w:r>
          </w:p>
        </w:tc>
      </w:tr>
      <w:tr w14:paraId="2CF8B4E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156" w:hRule="atLeast"/>
          <w:jc w:val="center"/>
        </w:trPr>
        <w:tc>
          <w:tcPr>
            <w:tcW w:w="689" w:type="dxa"/>
            <w:vMerge w:val="restart"/>
            <w:vAlign w:val="center"/>
          </w:tcPr>
          <w:p w14:paraId="66B3CFB2">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default" w:ascii="Times New Roman" w:hAnsi="Times New Roman" w:eastAsia="宋体" w:cs="Times New Roman"/>
                <w:color w:val="auto"/>
                <w:kern w:val="2"/>
                <w:sz w:val="21"/>
                <w:szCs w:val="21"/>
                <w:highlight w:val="none"/>
              </w:rPr>
              <w:t>噪声</w:t>
            </w:r>
          </w:p>
        </w:tc>
        <w:tc>
          <w:tcPr>
            <w:tcW w:w="1662" w:type="dxa"/>
            <w:vMerge w:val="restart"/>
            <w:vAlign w:val="center"/>
          </w:tcPr>
          <w:p w14:paraId="752554FE">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zh-CN"/>
              </w:rPr>
              <w:t>站前社区居民</w:t>
            </w:r>
          </w:p>
        </w:tc>
        <w:tc>
          <w:tcPr>
            <w:tcW w:w="650" w:type="dxa"/>
            <w:tcBorders>
              <w:bottom w:val="single" w:color="auto" w:sz="4" w:space="0"/>
              <w:right w:val="single" w:color="auto" w:sz="4" w:space="0"/>
            </w:tcBorders>
            <w:vAlign w:val="center"/>
          </w:tcPr>
          <w:p w14:paraId="3A1ADB23">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en-US" w:eastAsia="zh-CN"/>
              </w:rPr>
              <w:t>41</w:t>
            </w:r>
          </w:p>
        </w:tc>
        <w:tc>
          <w:tcPr>
            <w:tcW w:w="613" w:type="dxa"/>
            <w:tcBorders>
              <w:left w:val="single" w:color="auto" w:sz="4" w:space="0"/>
              <w:bottom w:val="single" w:color="auto" w:sz="4" w:space="0"/>
            </w:tcBorders>
            <w:vAlign w:val="center"/>
          </w:tcPr>
          <w:p w14:paraId="1A815879">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en-US" w:eastAsia="zh-CN"/>
              </w:rPr>
              <w:t>0</w:t>
            </w:r>
          </w:p>
        </w:tc>
        <w:tc>
          <w:tcPr>
            <w:tcW w:w="887" w:type="dxa"/>
            <w:vMerge w:val="restart"/>
            <w:tcBorders>
              <w:right w:val="single" w:color="auto" w:sz="4" w:space="0"/>
            </w:tcBorders>
            <w:vAlign w:val="center"/>
          </w:tcPr>
          <w:p w14:paraId="02753242">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eastAsia="zh-CN"/>
              </w:rPr>
              <w:t>居民</w:t>
            </w:r>
          </w:p>
        </w:tc>
        <w:tc>
          <w:tcPr>
            <w:tcW w:w="1088" w:type="dxa"/>
            <w:tcBorders>
              <w:left w:val="single" w:color="auto" w:sz="4" w:space="0"/>
            </w:tcBorders>
            <w:vAlign w:val="center"/>
          </w:tcPr>
          <w:p w14:paraId="39673A07">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eastAsia="zh-CN"/>
              </w:rPr>
            </w:pPr>
            <w:r>
              <w:rPr>
                <w:rFonts w:hint="eastAsia"/>
                <w:color w:val="FF0000"/>
                <w:highlight w:val="none"/>
                <w:lang w:val="en-US" w:eastAsia="zh-CN"/>
              </w:rPr>
              <w:t>300/75</w:t>
            </w:r>
          </w:p>
        </w:tc>
        <w:tc>
          <w:tcPr>
            <w:tcW w:w="1112" w:type="dxa"/>
            <w:vMerge w:val="restart"/>
            <w:tcBorders>
              <w:left w:val="single" w:color="auto" w:sz="4" w:space="0"/>
            </w:tcBorders>
            <w:vAlign w:val="center"/>
          </w:tcPr>
          <w:p w14:paraId="5DC79EE5">
            <w:pPr>
              <w:pStyle w:val="21"/>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olor w:val="auto"/>
                <w:highlight w:val="none"/>
                <w:lang w:val="en-US" w:eastAsia="zh-CN"/>
              </w:rPr>
            </w:pPr>
            <w:r>
              <w:rPr>
                <w:rFonts w:hint="eastAsia" w:ascii="Times New Roman" w:hAnsi="Times New Roman" w:cs="Times New Roman"/>
                <w:color w:val="auto"/>
                <w:kern w:val="2"/>
                <w:sz w:val="21"/>
                <w:szCs w:val="21"/>
                <w:highlight w:val="none"/>
                <w:lang w:eastAsia="zh-CN"/>
              </w:rPr>
              <w:t>满足</w:t>
            </w:r>
            <w:r>
              <w:rPr>
                <w:rFonts w:hint="default" w:ascii="Times New Roman" w:hAnsi="Times New Roman" w:eastAsia="宋体" w:cs="Times New Roman"/>
                <w:color w:val="auto"/>
                <w:kern w:val="2"/>
                <w:sz w:val="21"/>
                <w:szCs w:val="21"/>
                <w:highlight w:val="none"/>
              </w:rPr>
              <w:t>《声环境质量标准》</w:t>
            </w:r>
            <w:r>
              <w:rPr>
                <w:color w:val="auto"/>
                <w:spacing w:val="4"/>
                <w:sz w:val="21"/>
                <w:szCs w:val="21"/>
                <w:highlight w:val="none"/>
              </w:rPr>
              <w:t>（GB3096-2008）</w:t>
            </w:r>
            <w:r>
              <w:rPr>
                <w:rFonts w:hint="eastAsia"/>
                <w:color w:val="auto"/>
                <w:spacing w:val="4"/>
                <w:sz w:val="21"/>
                <w:szCs w:val="21"/>
                <w:highlight w:val="none"/>
              </w:rPr>
              <w:t>2</w:t>
            </w:r>
            <w:r>
              <w:rPr>
                <w:color w:val="auto"/>
                <w:spacing w:val="4"/>
                <w:sz w:val="21"/>
                <w:szCs w:val="21"/>
                <w:highlight w:val="none"/>
              </w:rPr>
              <w:t>类标准</w:t>
            </w:r>
          </w:p>
        </w:tc>
        <w:tc>
          <w:tcPr>
            <w:tcW w:w="850" w:type="dxa"/>
            <w:vMerge w:val="restart"/>
            <w:tcBorders>
              <w:right w:val="single" w:color="auto" w:sz="4" w:space="0"/>
            </w:tcBorders>
            <w:vAlign w:val="center"/>
          </w:tcPr>
          <w:p w14:paraId="603E7DC3">
            <w:pPr>
              <w:keepNext w:val="0"/>
              <w:keepLines w:val="0"/>
              <w:pageBreakBefore w:val="0"/>
              <w:kinsoku/>
              <w:wordWrap/>
              <w:overflowPunct/>
              <w:topLinePunct w:val="0"/>
              <w:bidi w:val="0"/>
              <w:adjustRightInd w:val="0"/>
              <w:snapToGrid w:val="0"/>
              <w:spacing w:beforeAutospacing="0" w:afterAutospacing="0" w:line="240" w:lineRule="auto"/>
              <w:jc w:val="center"/>
              <w:textAlignment w:val="auto"/>
              <w:rPr>
                <w:rFonts w:hint="eastAsia"/>
                <w:color w:val="auto"/>
                <w:highlight w:val="none"/>
                <w:lang w:val="en-US" w:eastAsia="zh-CN"/>
              </w:rPr>
            </w:pPr>
            <w:r>
              <w:rPr>
                <w:rFonts w:hint="default" w:ascii="Times New Roman" w:hAnsi="Times New Roman" w:eastAsia="宋体" w:cs="Times New Roman"/>
                <w:color w:val="auto"/>
                <w:kern w:val="2"/>
                <w:sz w:val="21"/>
                <w:szCs w:val="21"/>
                <w:highlight w:val="none"/>
              </w:rPr>
              <w:t>声环境质量</w:t>
            </w:r>
            <w:r>
              <w:rPr>
                <w:rFonts w:hint="eastAsia" w:ascii="Times New Roman" w:hAnsi="Times New Roman" w:eastAsia="宋体" w:cs="Times New Roman"/>
                <w:color w:val="auto"/>
                <w:kern w:val="2"/>
                <w:sz w:val="21"/>
                <w:szCs w:val="21"/>
                <w:highlight w:val="none"/>
                <w:lang w:val="en-US" w:eastAsia="zh-CN"/>
              </w:rPr>
              <w:t>2</w:t>
            </w:r>
            <w:r>
              <w:rPr>
                <w:rFonts w:hint="default" w:ascii="Times New Roman" w:hAnsi="Times New Roman" w:eastAsia="宋体" w:cs="Times New Roman"/>
                <w:color w:val="auto"/>
                <w:kern w:val="2"/>
                <w:sz w:val="21"/>
                <w:szCs w:val="21"/>
                <w:highlight w:val="none"/>
              </w:rPr>
              <w:t>类功能区</w:t>
            </w:r>
          </w:p>
        </w:tc>
        <w:tc>
          <w:tcPr>
            <w:tcW w:w="875" w:type="dxa"/>
            <w:tcBorders>
              <w:left w:val="single" w:color="auto" w:sz="4" w:space="0"/>
              <w:bottom w:val="single" w:color="auto" w:sz="4" w:space="0"/>
            </w:tcBorders>
            <w:vAlign w:val="center"/>
          </w:tcPr>
          <w:p w14:paraId="348DFF8F">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东</w:t>
            </w:r>
          </w:p>
        </w:tc>
        <w:tc>
          <w:tcPr>
            <w:tcW w:w="822" w:type="dxa"/>
            <w:tcBorders>
              <w:left w:val="single" w:color="auto" w:sz="4" w:space="0"/>
              <w:bottom w:val="single" w:color="auto" w:sz="4" w:space="0"/>
            </w:tcBorders>
            <w:vAlign w:val="center"/>
          </w:tcPr>
          <w:p w14:paraId="242FCA8C">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相邻</w:t>
            </w:r>
          </w:p>
        </w:tc>
      </w:tr>
      <w:tr w14:paraId="62B027D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278" w:hRule="atLeast"/>
          <w:jc w:val="center"/>
        </w:trPr>
        <w:tc>
          <w:tcPr>
            <w:tcW w:w="689" w:type="dxa"/>
            <w:vMerge w:val="continue"/>
            <w:vAlign w:val="center"/>
          </w:tcPr>
          <w:p w14:paraId="794F9505">
            <w:pPr>
              <w:keepNext w:val="0"/>
              <w:keepLines w:val="0"/>
              <w:pageBreakBefore w:val="0"/>
              <w:widowControl w:val="0"/>
              <w:kinsoku/>
              <w:wordWrap/>
              <w:overflowPunct/>
              <w:topLinePunct w:val="0"/>
              <w:bidi w:val="0"/>
              <w:adjustRightInd w:val="0"/>
              <w:snapToGrid w:val="0"/>
              <w:jc w:val="center"/>
              <w:textAlignment w:val="auto"/>
              <w:outlineLvl w:val="9"/>
              <w:rPr>
                <w:rFonts w:hint="default" w:ascii="Times New Roman" w:hAnsi="Times New Roman" w:eastAsia="宋体" w:cs="Times New Roman"/>
                <w:color w:val="auto"/>
                <w:kern w:val="2"/>
                <w:sz w:val="21"/>
                <w:szCs w:val="21"/>
                <w:highlight w:val="none"/>
              </w:rPr>
            </w:pPr>
          </w:p>
        </w:tc>
        <w:tc>
          <w:tcPr>
            <w:tcW w:w="1662" w:type="dxa"/>
            <w:vMerge w:val="continue"/>
            <w:vAlign w:val="center"/>
          </w:tcPr>
          <w:p w14:paraId="5BFA4AA7">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p>
        </w:tc>
        <w:tc>
          <w:tcPr>
            <w:tcW w:w="650" w:type="dxa"/>
            <w:tcBorders>
              <w:top w:val="single" w:color="auto" w:sz="4" w:space="0"/>
              <w:right w:val="single" w:color="auto" w:sz="4" w:space="0"/>
            </w:tcBorders>
            <w:vAlign w:val="center"/>
          </w:tcPr>
          <w:p w14:paraId="59F337ED">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-25</w:t>
            </w:r>
          </w:p>
        </w:tc>
        <w:tc>
          <w:tcPr>
            <w:tcW w:w="613" w:type="dxa"/>
            <w:tcBorders>
              <w:top w:val="single" w:color="auto" w:sz="4" w:space="0"/>
              <w:left w:val="single" w:color="auto" w:sz="4" w:space="0"/>
            </w:tcBorders>
            <w:vAlign w:val="center"/>
          </w:tcPr>
          <w:p w14:paraId="0B449576">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0</w:t>
            </w:r>
          </w:p>
        </w:tc>
        <w:tc>
          <w:tcPr>
            <w:tcW w:w="887" w:type="dxa"/>
            <w:vMerge w:val="continue"/>
            <w:tcBorders>
              <w:right w:val="single" w:color="auto" w:sz="4" w:space="0"/>
            </w:tcBorders>
            <w:vAlign w:val="center"/>
          </w:tcPr>
          <w:p w14:paraId="2CA3D111">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p>
        </w:tc>
        <w:tc>
          <w:tcPr>
            <w:tcW w:w="1088" w:type="dxa"/>
            <w:tcBorders>
              <w:left w:val="single" w:color="auto" w:sz="4" w:space="0"/>
            </w:tcBorders>
            <w:vAlign w:val="center"/>
          </w:tcPr>
          <w:p w14:paraId="5744EEDB">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eastAsia="zh-CN"/>
              </w:rPr>
            </w:pPr>
            <w:r>
              <w:rPr>
                <w:rFonts w:hint="eastAsia"/>
                <w:color w:val="FF0000"/>
                <w:highlight w:val="none"/>
                <w:lang w:val="en-US" w:eastAsia="zh-CN"/>
              </w:rPr>
              <w:t>300/75</w:t>
            </w:r>
          </w:p>
        </w:tc>
        <w:tc>
          <w:tcPr>
            <w:tcW w:w="1112" w:type="dxa"/>
            <w:vMerge w:val="continue"/>
            <w:tcBorders>
              <w:left w:val="single" w:color="auto" w:sz="4" w:space="0"/>
            </w:tcBorders>
            <w:vAlign w:val="center"/>
          </w:tcPr>
          <w:p w14:paraId="68B61046">
            <w:pPr>
              <w:pStyle w:val="21"/>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color w:val="auto"/>
                <w:kern w:val="2"/>
                <w:sz w:val="21"/>
                <w:szCs w:val="21"/>
                <w:highlight w:val="none"/>
                <w:lang w:eastAsia="zh-CN"/>
              </w:rPr>
            </w:pPr>
          </w:p>
        </w:tc>
        <w:tc>
          <w:tcPr>
            <w:tcW w:w="850" w:type="dxa"/>
            <w:vMerge w:val="continue"/>
            <w:tcBorders>
              <w:right w:val="single" w:color="auto" w:sz="4" w:space="0"/>
            </w:tcBorders>
            <w:vAlign w:val="center"/>
          </w:tcPr>
          <w:p w14:paraId="1217E7B1">
            <w:pPr>
              <w:keepNext w:val="0"/>
              <w:keepLines w:val="0"/>
              <w:pageBreakBefore w:val="0"/>
              <w:kinsoku/>
              <w:wordWrap/>
              <w:overflowPunct/>
              <w:topLinePunct w:val="0"/>
              <w:bidi w:val="0"/>
              <w:adjustRightInd w:val="0"/>
              <w:snapToGrid w:val="0"/>
              <w:spacing w:beforeAutospacing="0" w:afterAutospacing="0" w:line="240" w:lineRule="auto"/>
              <w:jc w:val="center"/>
              <w:textAlignment w:val="auto"/>
              <w:rPr>
                <w:rFonts w:hint="default" w:ascii="Times New Roman" w:hAnsi="Times New Roman" w:eastAsia="宋体" w:cs="Times New Roman"/>
                <w:color w:val="auto"/>
                <w:kern w:val="2"/>
                <w:sz w:val="21"/>
                <w:szCs w:val="21"/>
                <w:highlight w:val="none"/>
              </w:rPr>
            </w:pPr>
          </w:p>
        </w:tc>
        <w:tc>
          <w:tcPr>
            <w:tcW w:w="875" w:type="dxa"/>
            <w:tcBorders>
              <w:top w:val="single" w:color="auto" w:sz="4" w:space="0"/>
              <w:left w:val="single" w:color="auto" w:sz="4" w:space="0"/>
            </w:tcBorders>
            <w:vAlign w:val="center"/>
          </w:tcPr>
          <w:p w14:paraId="58178062">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eastAsia="zh-CN"/>
              </w:rPr>
            </w:pPr>
            <w:r>
              <w:rPr>
                <w:rFonts w:hint="eastAsia"/>
                <w:color w:val="auto"/>
                <w:highlight w:val="none"/>
                <w:lang w:val="en-US" w:eastAsia="zh-CN"/>
              </w:rPr>
              <w:t>西</w:t>
            </w:r>
          </w:p>
        </w:tc>
        <w:tc>
          <w:tcPr>
            <w:tcW w:w="822" w:type="dxa"/>
            <w:tcBorders>
              <w:top w:val="single" w:color="auto" w:sz="4" w:space="0"/>
              <w:left w:val="single" w:color="auto" w:sz="4" w:space="0"/>
            </w:tcBorders>
            <w:vAlign w:val="center"/>
          </w:tcPr>
          <w:p w14:paraId="7A7897B8">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25</w:t>
            </w:r>
          </w:p>
        </w:tc>
      </w:tr>
      <w:tr w14:paraId="46242C9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0" w:hRule="atLeast"/>
          <w:jc w:val="center"/>
        </w:trPr>
        <w:tc>
          <w:tcPr>
            <w:tcW w:w="689" w:type="dxa"/>
            <w:vMerge w:val="continue"/>
            <w:vAlign w:val="center"/>
          </w:tcPr>
          <w:p w14:paraId="463C6D27">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1662" w:type="dxa"/>
            <w:vAlign w:val="center"/>
          </w:tcPr>
          <w:p w14:paraId="5130D859">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zh-CN"/>
              </w:rPr>
              <w:t>本溪市公安局溪湖分局</w:t>
            </w:r>
          </w:p>
        </w:tc>
        <w:tc>
          <w:tcPr>
            <w:tcW w:w="650" w:type="dxa"/>
            <w:tcBorders>
              <w:right w:val="single" w:color="auto" w:sz="4" w:space="0"/>
            </w:tcBorders>
            <w:vAlign w:val="center"/>
          </w:tcPr>
          <w:p w14:paraId="6380762E">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en-US" w:eastAsia="zh-CN"/>
              </w:rPr>
              <w:t>9</w:t>
            </w:r>
          </w:p>
        </w:tc>
        <w:tc>
          <w:tcPr>
            <w:tcW w:w="613" w:type="dxa"/>
            <w:tcBorders>
              <w:left w:val="single" w:color="auto" w:sz="4" w:space="0"/>
            </w:tcBorders>
            <w:vAlign w:val="center"/>
          </w:tcPr>
          <w:p w14:paraId="38DF1223">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en-US" w:eastAsia="zh-CN"/>
              </w:rPr>
              <w:t>40</w:t>
            </w:r>
          </w:p>
        </w:tc>
        <w:tc>
          <w:tcPr>
            <w:tcW w:w="887" w:type="dxa"/>
            <w:tcBorders>
              <w:right w:val="single" w:color="auto" w:sz="4" w:space="0"/>
            </w:tcBorders>
            <w:vAlign w:val="center"/>
          </w:tcPr>
          <w:p w14:paraId="2D594B49">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行政机关</w:t>
            </w:r>
          </w:p>
        </w:tc>
        <w:tc>
          <w:tcPr>
            <w:tcW w:w="1088" w:type="dxa"/>
            <w:tcBorders>
              <w:left w:val="single" w:color="auto" w:sz="4" w:space="0"/>
            </w:tcBorders>
            <w:vAlign w:val="center"/>
          </w:tcPr>
          <w:p w14:paraId="6E653511">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val="en-US" w:eastAsia="zh-CN"/>
              </w:rPr>
            </w:pPr>
            <w:r>
              <w:rPr>
                <w:rFonts w:hint="eastAsia"/>
                <w:color w:val="FF0000"/>
                <w:highlight w:val="none"/>
                <w:lang w:val="en-US" w:eastAsia="zh-CN"/>
              </w:rPr>
              <w:t>/</w:t>
            </w:r>
          </w:p>
        </w:tc>
        <w:tc>
          <w:tcPr>
            <w:tcW w:w="1112" w:type="dxa"/>
            <w:vMerge w:val="continue"/>
            <w:tcBorders>
              <w:left w:val="single" w:color="auto" w:sz="4" w:space="0"/>
            </w:tcBorders>
            <w:vAlign w:val="center"/>
          </w:tcPr>
          <w:p w14:paraId="6975ACF6">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50" w:type="dxa"/>
            <w:vMerge w:val="continue"/>
            <w:tcBorders>
              <w:right w:val="single" w:color="auto" w:sz="4" w:space="0"/>
            </w:tcBorders>
            <w:vAlign w:val="center"/>
          </w:tcPr>
          <w:p w14:paraId="21CC15FB">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75" w:type="dxa"/>
            <w:tcBorders>
              <w:left w:val="single" w:color="auto" w:sz="4" w:space="0"/>
            </w:tcBorders>
            <w:vAlign w:val="center"/>
          </w:tcPr>
          <w:p w14:paraId="265B9E37">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北</w:t>
            </w:r>
          </w:p>
        </w:tc>
        <w:tc>
          <w:tcPr>
            <w:tcW w:w="822" w:type="dxa"/>
            <w:tcBorders>
              <w:left w:val="single" w:color="auto" w:sz="4" w:space="0"/>
            </w:tcBorders>
            <w:vAlign w:val="center"/>
          </w:tcPr>
          <w:p w14:paraId="1AE67FB2">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相邻</w:t>
            </w:r>
          </w:p>
        </w:tc>
      </w:tr>
      <w:tr w14:paraId="5B8494F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0" w:hRule="atLeast"/>
          <w:jc w:val="center"/>
        </w:trPr>
        <w:tc>
          <w:tcPr>
            <w:tcW w:w="689" w:type="dxa"/>
            <w:vMerge w:val="continue"/>
            <w:vAlign w:val="center"/>
          </w:tcPr>
          <w:p w14:paraId="7112A6B0">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1662" w:type="dxa"/>
            <w:vAlign w:val="center"/>
          </w:tcPr>
          <w:p w14:paraId="78070D36">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zh-CN"/>
              </w:rPr>
              <w:t>溪湖区人民法院</w:t>
            </w:r>
          </w:p>
        </w:tc>
        <w:tc>
          <w:tcPr>
            <w:tcW w:w="650" w:type="dxa"/>
            <w:tcBorders>
              <w:right w:val="single" w:color="auto" w:sz="4" w:space="0"/>
            </w:tcBorders>
            <w:vAlign w:val="center"/>
          </w:tcPr>
          <w:p w14:paraId="3E873F4F">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en-US" w:eastAsia="zh-CN"/>
              </w:rPr>
              <w:t>-18</w:t>
            </w:r>
          </w:p>
        </w:tc>
        <w:tc>
          <w:tcPr>
            <w:tcW w:w="613" w:type="dxa"/>
            <w:tcBorders>
              <w:left w:val="single" w:color="auto" w:sz="4" w:space="0"/>
            </w:tcBorders>
            <w:vAlign w:val="center"/>
          </w:tcPr>
          <w:p w14:paraId="75D86FC9">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en-US" w:eastAsia="zh-CN"/>
              </w:rPr>
              <w:t>58</w:t>
            </w:r>
          </w:p>
        </w:tc>
        <w:tc>
          <w:tcPr>
            <w:tcW w:w="887" w:type="dxa"/>
            <w:tcBorders>
              <w:right w:val="single" w:color="auto" w:sz="4" w:space="0"/>
            </w:tcBorders>
            <w:vAlign w:val="center"/>
          </w:tcPr>
          <w:p w14:paraId="6711B4A4">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行政机关</w:t>
            </w:r>
          </w:p>
        </w:tc>
        <w:tc>
          <w:tcPr>
            <w:tcW w:w="1088" w:type="dxa"/>
            <w:tcBorders>
              <w:left w:val="single" w:color="auto" w:sz="4" w:space="0"/>
            </w:tcBorders>
            <w:vAlign w:val="center"/>
          </w:tcPr>
          <w:p w14:paraId="28017F62">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val="en-US" w:eastAsia="zh-CN"/>
              </w:rPr>
            </w:pPr>
            <w:r>
              <w:rPr>
                <w:rFonts w:hint="eastAsia"/>
                <w:color w:val="FF0000"/>
                <w:highlight w:val="none"/>
                <w:lang w:val="en-US" w:eastAsia="zh-CN"/>
              </w:rPr>
              <w:t>/</w:t>
            </w:r>
          </w:p>
        </w:tc>
        <w:tc>
          <w:tcPr>
            <w:tcW w:w="1112" w:type="dxa"/>
            <w:vMerge w:val="continue"/>
            <w:tcBorders>
              <w:left w:val="single" w:color="auto" w:sz="4" w:space="0"/>
            </w:tcBorders>
            <w:vAlign w:val="center"/>
          </w:tcPr>
          <w:p w14:paraId="2502017A">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50" w:type="dxa"/>
            <w:vMerge w:val="continue"/>
            <w:tcBorders>
              <w:right w:val="single" w:color="auto" w:sz="4" w:space="0"/>
            </w:tcBorders>
            <w:vAlign w:val="center"/>
          </w:tcPr>
          <w:p w14:paraId="05A99F43">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75" w:type="dxa"/>
            <w:tcBorders>
              <w:left w:val="single" w:color="auto" w:sz="4" w:space="0"/>
            </w:tcBorders>
            <w:vAlign w:val="center"/>
          </w:tcPr>
          <w:p w14:paraId="4A056F7F">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西北</w:t>
            </w:r>
          </w:p>
        </w:tc>
        <w:tc>
          <w:tcPr>
            <w:tcW w:w="822" w:type="dxa"/>
            <w:tcBorders>
              <w:left w:val="single" w:color="auto" w:sz="4" w:space="0"/>
            </w:tcBorders>
            <w:vAlign w:val="center"/>
          </w:tcPr>
          <w:p w14:paraId="02893FF9">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32</w:t>
            </w:r>
          </w:p>
        </w:tc>
      </w:tr>
      <w:tr w14:paraId="2A9A11C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gridAfter w:val="1"/>
          <w:wAfter w:w="1" w:type="dxa"/>
          <w:trHeight w:val="0" w:hRule="atLeast"/>
          <w:jc w:val="center"/>
        </w:trPr>
        <w:tc>
          <w:tcPr>
            <w:tcW w:w="689" w:type="dxa"/>
            <w:vMerge w:val="continue"/>
            <w:vAlign w:val="center"/>
          </w:tcPr>
          <w:p w14:paraId="5BE99A9C">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1662" w:type="dxa"/>
            <w:vAlign w:val="center"/>
          </w:tcPr>
          <w:p w14:paraId="0C37138F">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zh-CN"/>
              </w:rPr>
              <w:t>溪湖区政府</w:t>
            </w:r>
          </w:p>
        </w:tc>
        <w:tc>
          <w:tcPr>
            <w:tcW w:w="650" w:type="dxa"/>
            <w:tcBorders>
              <w:right w:val="single" w:color="auto" w:sz="4" w:space="0"/>
            </w:tcBorders>
            <w:vAlign w:val="center"/>
          </w:tcPr>
          <w:p w14:paraId="0840A833">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en-US" w:eastAsia="zh-CN"/>
              </w:rPr>
              <w:t>0</w:t>
            </w:r>
          </w:p>
        </w:tc>
        <w:tc>
          <w:tcPr>
            <w:tcW w:w="613" w:type="dxa"/>
            <w:tcBorders>
              <w:left w:val="single" w:color="auto" w:sz="4" w:space="0"/>
            </w:tcBorders>
            <w:vAlign w:val="center"/>
          </w:tcPr>
          <w:p w14:paraId="516C58B9">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zh-CN"/>
              </w:rPr>
            </w:pPr>
            <w:r>
              <w:rPr>
                <w:rFonts w:hint="eastAsia"/>
                <w:color w:val="auto"/>
                <w:highlight w:val="none"/>
                <w:lang w:val="en-US" w:eastAsia="zh-CN"/>
              </w:rPr>
              <w:t>106</w:t>
            </w:r>
          </w:p>
        </w:tc>
        <w:tc>
          <w:tcPr>
            <w:tcW w:w="887" w:type="dxa"/>
            <w:tcBorders>
              <w:right w:val="single" w:color="auto" w:sz="4" w:space="0"/>
            </w:tcBorders>
            <w:vAlign w:val="center"/>
          </w:tcPr>
          <w:p w14:paraId="1C83F085">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行政机关</w:t>
            </w:r>
          </w:p>
        </w:tc>
        <w:tc>
          <w:tcPr>
            <w:tcW w:w="1088" w:type="dxa"/>
            <w:tcBorders>
              <w:left w:val="single" w:color="auto" w:sz="4" w:space="0"/>
            </w:tcBorders>
            <w:vAlign w:val="center"/>
          </w:tcPr>
          <w:p w14:paraId="4FC106EE">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FF0000"/>
                <w:highlight w:val="none"/>
                <w:lang w:val="en-US" w:eastAsia="zh-CN"/>
              </w:rPr>
            </w:pPr>
            <w:r>
              <w:rPr>
                <w:rFonts w:hint="eastAsia"/>
                <w:color w:val="FF0000"/>
                <w:highlight w:val="none"/>
                <w:lang w:val="en-US" w:eastAsia="zh-CN"/>
              </w:rPr>
              <w:t>/</w:t>
            </w:r>
          </w:p>
        </w:tc>
        <w:tc>
          <w:tcPr>
            <w:tcW w:w="1112" w:type="dxa"/>
            <w:vMerge w:val="continue"/>
            <w:tcBorders>
              <w:left w:val="single" w:color="auto" w:sz="4" w:space="0"/>
            </w:tcBorders>
            <w:vAlign w:val="center"/>
          </w:tcPr>
          <w:p w14:paraId="06C506A3">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50" w:type="dxa"/>
            <w:vMerge w:val="continue"/>
            <w:tcBorders>
              <w:right w:val="single" w:color="auto" w:sz="4" w:space="0"/>
            </w:tcBorders>
            <w:vAlign w:val="center"/>
          </w:tcPr>
          <w:p w14:paraId="40B944AB">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p>
        </w:tc>
        <w:tc>
          <w:tcPr>
            <w:tcW w:w="875" w:type="dxa"/>
            <w:tcBorders>
              <w:left w:val="single" w:color="auto" w:sz="4" w:space="0"/>
            </w:tcBorders>
            <w:vAlign w:val="center"/>
          </w:tcPr>
          <w:p w14:paraId="463060BA">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北</w:t>
            </w:r>
          </w:p>
        </w:tc>
        <w:tc>
          <w:tcPr>
            <w:tcW w:w="822" w:type="dxa"/>
            <w:tcBorders>
              <w:left w:val="single" w:color="auto" w:sz="4" w:space="0"/>
            </w:tcBorders>
            <w:vAlign w:val="center"/>
          </w:tcPr>
          <w:p w14:paraId="00DEEF1A">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67</w:t>
            </w:r>
          </w:p>
        </w:tc>
      </w:tr>
      <w:tr w14:paraId="33DD000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0" w:hRule="atLeast"/>
          <w:jc w:val="center"/>
        </w:trPr>
        <w:tc>
          <w:tcPr>
            <w:tcW w:w="689" w:type="dxa"/>
            <w:vAlign w:val="center"/>
          </w:tcPr>
          <w:p w14:paraId="0695D858">
            <w:pPr>
              <w:keepNext w:val="0"/>
              <w:keepLines w:val="0"/>
              <w:pageBreakBefore w:val="0"/>
              <w:widowControl w:val="0"/>
              <w:kinsoku/>
              <w:wordWrap/>
              <w:overflowPunct/>
              <w:topLinePunct w:val="0"/>
              <w:bidi w:val="0"/>
              <w:adjustRightInd w:val="0"/>
              <w:snapToGrid w:val="0"/>
              <w:jc w:val="center"/>
              <w:textAlignment w:val="auto"/>
              <w:outlineLvl w:val="9"/>
              <w:rPr>
                <w:rFonts w:hint="eastAsia"/>
                <w:color w:val="auto"/>
                <w:highlight w:val="none"/>
                <w:lang w:val="en-US" w:eastAsia="zh-CN"/>
              </w:rPr>
            </w:pPr>
            <w:r>
              <w:rPr>
                <w:rFonts w:hint="eastAsia"/>
                <w:color w:val="auto"/>
                <w:highlight w:val="none"/>
                <w:lang w:val="en-US" w:eastAsia="zh-CN"/>
              </w:rPr>
              <w:t>地表水</w:t>
            </w:r>
          </w:p>
        </w:tc>
        <w:tc>
          <w:tcPr>
            <w:tcW w:w="1662" w:type="dxa"/>
            <w:vAlign w:val="center"/>
          </w:tcPr>
          <w:p w14:paraId="31BDBDA1">
            <w:pPr>
              <w:pStyle w:val="21"/>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highlight w:val="none"/>
                <w:lang w:eastAsia="zh-CN"/>
              </w:rPr>
            </w:pPr>
            <w:r>
              <w:rPr>
                <w:rFonts w:hint="eastAsia" w:ascii="Times New Roman" w:hAnsi="Times New Roman" w:cs="Times New Roman"/>
                <w:color w:val="auto"/>
                <w:kern w:val="2"/>
                <w:sz w:val="21"/>
                <w:szCs w:val="21"/>
                <w:highlight w:val="none"/>
                <w:lang w:eastAsia="zh-CN"/>
              </w:rPr>
              <w:t>火连寨河</w:t>
            </w:r>
          </w:p>
        </w:tc>
        <w:tc>
          <w:tcPr>
            <w:tcW w:w="1263" w:type="dxa"/>
            <w:gridSpan w:val="2"/>
            <w:vAlign w:val="center"/>
          </w:tcPr>
          <w:p w14:paraId="26ACD131">
            <w:pPr>
              <w:pStyle w:val="21"/>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w:t>
            </w:r>
          </w:p>
        </w:tc>
        <w:tc>
          <w:tcPr>
            <w:tcW w:w="887" w:type="dxa"/>
            <w:tcBorders>
              <w:right w:val="single" w:color="auto" w:sz="4" w:space="0"/>
            </w:tcBorders>
            <w:vAlign w:val="center"/>
          </w:tcPr>
          <w:p w14:paraId="649CF48D">
            <w:pPr>
              <w:pStyle w:val="21"/>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highlight w:val="none"/>
                <w:lang w:eastAsia="zh-CN"/>
              </w:rPr>
            </w:pPr>
            <w:r>
              <w:rPr>
                <w:rFonts w:hint="eastAsia" w:ascii="Times New Roman" w:hAnsi="Times New Roman" w:cs="Times New Roman"/>
                <w:color w:val="auto"/>
                <w:kern w:val="2"/>
                <w:sz w:val="21"/>
                <w:szCs w:val="21"/>
                <w:highlight w:val="none"/>
                <w:lang w:eastAsia="zh-CN"/>
              </w:rPr>
              <w:t>地表水环境</w:t>
            </w:r>
          </w:p>
        </w:tc>
        <w:tc>
          <w:tcPr>
            <w:tcW w:w="1088" w:type="dxa"/>
            <w:tcBorders>
              <w:left w:val="single" w:color="auto" w:sz="4" w:space="0"/>
            </w:tcBorders>
            <w:vAlign w:val="center"/>
          </w:tcPr>
          <w:p w14:paraId="1428BCB5">
            <w:pPr>
              <w:pStyle w:val="21"/>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color w:val="FF0000"/>
                <w:kern w:val="2"/>
                <w:sz w:val="21"/>
                <w:szCs w:val="21"/>
                <w:highlight w:val="none"/>
                <w:lang w:val="en-US" w:eastAsia="zh-CN"/>
              </w:rPr>
            </w:pPr>
            <w:r>
              <w:rPr>
                <w:rFonts w:hint="eastAsia" w:ascii="Times New Roman" w:hAnsi="Times New Roman" w:cs="Times New Roman"/>
                <w:color w:val="FF0000"/>
                <w:kern w:val="2"/>
                <w:sz w:val="21"/>
                <w:szCs w:val="21"/>
                <w:highlight w:val="none"/>
                <w:lang w:val="en-US" w:eastAsia="zh-CN"/>
              </w:rPr>
              <w:t>/</w:t>
            </w:r>
          </w:p>
        </w:tc>
        <w:tc>
          <w:tcPr>
            <w:tcW w:w="1112" w:type="dxa"/>
            <w:tcBorders>
              <w:left w:val="single" w:color="auto" w:sz="4" w:space="0"/>
            </w:tcBorders>
            <w:vAlign w:val="center"/>
          </w:tcPr>
          <w:p w14:paraId="4364DEBC">
            <w:pPr>
              <w:pStyle w:val="21"/>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color w:val="auto"/>
                <w:kern w:val="2"/>
                <w:sz w:val="21"/>
                <w:szCs w:val="21"/>
                <w:highlight w:val="none"/>
                <w:lang w:eastAsia="zh-CN"/>
              </w:rPr>
            </w:pPr>
            <w:r>
              <w:rPr>
                <w:rFonts w:hint="eastAsia" w:ascii="Times New Roman" w:hAnsi="Times New Roman" w:cs="Times New Roman"/>
                <w:color w:val="auto"/>
                <w:kern w:val="2"/>
                <w:sz w:val="21"/>
                <w:szCs w:val="21"/>
                <w:highlight w:val="none"/>
                <w:lang w:eastAsia="zh-CN"/>
              </w:rPr>
              <w:t>满足</w:t>
            </w:r>
            <w:r>
              <w:rPr>
                <w:rFonts w:hint="default" w:ascii="Times New Roman" w:hAnsi="Times New Roman" w:eastAsia="宋体" w:cs="Times New Roman"/>
                <w:color w:val="auto"/>
                <w:kern w:val="2"/>
                <w:sz w:val="21"/>
                <w:szCs w:val="21"/>
                <w:highlight w:val="none"/>
              </w:rPr>
              <w:t>《</w:t>
            </w:r>
            <w:r>
              <w:rPr>
                <w:rFonts w:hint="eastAsia" w:ascii="Times New Roman" w:hAnsi="Times New Roman" w:cs="Times New Roman"/>
                <w:color w:val="auto"/>
                <w:kern w:val="2"/>
                <w:sz w:val="21"/>
                <w:szCs w:val="21"/>
                <w:highlight w:val="none"/>
                <w:lang w:eastAsia="zh-CN"/>
              </w:rPr>
              <w:t>地表水环境</w:t>
            </w:r>
            <w:r>
              <w:rPr>
                <w:rFonts w:hint="default" w:ascii="Times New Roman" w:hAnsi="Times New Roman" w:eastAsia="宋体" w:cs="Times New Roman"/>
                <w:color w:val="auto"/>
                <w:kern w:val="2"/>
                <w:sz w:val="21"/>
                <w:szCs w:val="21"/>
                <w:highlight w:val="none"/>
              </w:rPr>
              <w:t xml:space="preserve">质量标准》（GB </w:t>
            </w:r>
            <w:r>
              <w:rPr>
                <w:rFonts w:hint="eastAsia" w:ascii="Times New Roman" w:hAnsi="Times New Roman" w:cs="Times New Roman"/>
                <w:color w:val="auto"/>
                <w:kern w:val="2"/>
                <w:sz w:val="21"/>
                <w:szCs w:val="21"/>
                <w:highlight w:val="none"/>
                <w:lang w:val="en-US" w:eastAsia="zh-CN"/>
              </w:rPr>
              <w:t>3838</w:t>
            </w:r>
            <w:r>
              <w:rPr>
                <w:rFonts w:hint="default" w:ascii="Times New Roman" w:hAnsi="Times New Roman" w:eastAsia="宋体" w:cs="Times New Roman"/>
                <w:color w:val="auto"/>
                <w:kern w:val="2"/>
                <w:sz w:val="21"/>
                <w:szCs w:val="21"/>
                <w:highlight w:val="none"/>
              </w:rPr>
              <w:t>-20</w:t>
            </w:r>
            <w:r>
              <w:rPr>
                <w:rFonts w:hint="eastAsia" w:ascii="Times New Roman" w:hAnsi="Times New Roman" w:cs="Times New Roman"/>
                <w:color w:val="auto"/>
                <w:kern w:val="2"/>
                <w:sz w:val="21"/>
                <w:szCs w:val="21"/>
                <w:highlight w:val="none"/>
                <w:lang w:val="en-US" w:eastAsia="zh-CN"/>
              </w:rPr>
              <w:t>02</w:t>
            </w:r>
            <w:r>
              <w:rPr>
                <w:rFonts w:hint="default" w:ascii="Times New Roman" w:hAnsi="Times New Roman" w:eastAsia="宋体" w:cs="Times New Roman"/>
                <w:color w:val="auto"/>
                <w:kern w:val="2"/>
                <w:sz w:val="21"/>
                <w:szCs w:val="21"/>
                <w:highlight w:val="none"/>
              </w:rPr>
              <w:t>）中的</w:t>
            </w:r>
            <w:r>
              <w:rPr>
                <w:rFonts w:hint="eastAsia" w:ascii="宋体" w:hAnsi="宋体" w:eastAsia="宋体" w:cs="宋体"/>
                <w:color w:val="auto"/>
                <w:kern w:val="2"/>
                <w:sz w:val="21"/>
                <w:szCs w:val="21"/>
                <w:highlight w:val="none"/>
              </w:rPr>
              <w:t>Ⅲ</w:t>
            </w:r>
            <w:r>
              <w:rPr>
                <w:rFonts w:hint="default" w:ascii="Times New Roman" w:hAnsi="Times New Roman" w:eastAsia="宋体" w:cs="Times New Roman"/>
                <w:color w:val="auto"/>
                <w:kern w:val="2"/>
                <w:sz w:val="21"/>
                <w:szCs w:val="21"/>
                <w:highlight w:val="none"/>
              </w:rPr>
              <w:t>类标准</w:t>
            </w:r>
          </w:p>
        </w:tc>
        <w:tc>
          <w:tcPr>
            <w:tcW w:w="850" w:type="dxa"/>
            <w:tcBorders>
              <w:right w:val="single" w:color="auto" w:sz="4" w:space="0"/>
            </w:tcBorders>
            <w:vAlign w:val="center"/>
          </w:tcPr>
          <w:p w14:paraId="273780A9">
            <w:pPr>
              <w:pStyle w:val="21"/>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highlight w:val="none"/>
                <w:lang w:eastAsia="zh-CN"/>
              </w:rPr>
            </w:pPr>
            <w:r>
              <w:rPr>
                <w:rFonts w:hint="eastAsia" w:ascii="Times New Roman" w:hAnsi="Times New Roman" w:cs="Times New Roman"/>
                <w:color w:val="auto"/>
                <w:kern w:val="2"/>
                <w:sz w:val="21"/>
                <w:szCs w:val="21"/>
                <w:highlight w:val="none"/>
                <w:lang w:eastAsia="zh-CN"/>
              </w:rPr>
              <w:t>地表水</w:t>
            </w:r>
            <w:r>
              <w:rPr>
                <w:rFonts w:hint="eastAsia" w:ascii="宋体" w:hAnsi="宋体" w:eastAsia="宋体" w:cs="宋体"/>
                <w:color w:val="auto"/>
                <w:kern w:val="2"/>
                <w:sz w:val="21"/>
                <w:szCs w:val="21"/>
                <w:highlight w:val="none"/>
                <w:lang w:eastAsia="zh-CN"/>
              </w:rPr>
              <w:t>Ⅲ</w:t>
            </w:r>
            <w:r>
              <w:rPr>
                <w:rFonts w:hint="default" w:ascii="Times New Roman" w:hAnsi="Times New Roman" w:eastAsia="宋体" w:cs="Times New Roman"/>
                <w:color w:val="auto"/>
                <w:kern w:val="2"/>
                <w:sz w:val="21"/>
                <w:szCs w:val="21"/>
                <w:highlight w:val="none"/>
              </w:rPr>
              <w:t>类功能区</w:t>
            </w:r>
          </w:p>
        </w:tc>
        <w:tc>
          <w:tcPr>
            <w:tcW w:w="875" w:type="dxa"/>
            <w:tcBorders>
              <w:left w:val="single" w:color="auto" w:sz="4" w:space="0"/>
              <w:right w:val="single" w:color="auto" w:sz="4" w:space="0"/>
            </w:tcBorders>
            <w:vAlign w:val="center"/>
          </w:tcPr>
          <w:p w14:paraId="3DC64F75">
            <w:pPr>
              <w:pStyle w:val="21"/>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color w:val="auto"/>
                <w:kern w:val="2"/>
                <w:sz w:val="21"/>
                <w:szCs w:val="21"/>
                <w:highlight w:val="none"/>
                <w:lang w:eastAsia="zh-CN"/>
              </w:rPr>
            </w:pPr>
            <w:r>
              <w:rPr>
                <w:rFonts w:hint="eastAsia" w:ascii="Times New Roman" w:hAnsi="Times New Roman" w:cs="Times New Roman"/>
                <w:color w:val="auto"/>
                <w:kern w:val="2"/>
                <w:sz w:val="21"/>
                <w:szCs w:val="21"/>
                <w:highlight w:val="none"/>
                <w:lang w:eastAsia="zh-CN"/>
              </w:rPr>
              <w:t>南</w:t>
            </w:r>
          </w:p>
        </w:tc>
        <w:tc>
          <w:tcPr>
            <w:tcW w:w="823" w:type="dxa"/>
            <w:gridSpan w:val="2"/>
            <w:tcBorders>
              <w:left w:val="single" w:color="auto" w:sz="4" w:space="0"/>
            </w:tcBorders>
            <w:vAlign w:val="center"/>
          </w:tcPr>
          <w:p w14:paraId="68AD08CD">
            <w:pPr>
              <w:pStyle w:val="21"/>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160</w:t>
            </w:r>
          </w:p>
        </w:tc>
      </w:tr>
    </w:tbl>
    <w:p w14:paraId="570548DB">
      <w:pPr>
        <w:tabs>
          <w:tab w:val="left" w:pos="5040"/>
        </w:tabs>
        <w:spacing w:line="360" w:lineRule="auto"/>
        <w:rPr>
          <w:rFonts w:hint="default" w:ascii="Times New Roman" w:hAnsi="Times New Roman" w:cs="Times New Roman"/>
          <w:color w:val="auto"/>
          <w:sz w:val="24"/>
          <w:szCs w:val="24"/>
          <w:highlight w:val="none"/>
        </w:rPr>
      </w:pPr>
    </w:p>
    <w:p w14:paraId="3CA48FF2">
      <w:pPr>
        <w:ind w:firstLine="480" w:firstLineChars="200"/>
        <w:rPr>
          <w:rFonts w:hint="default" w:ascii="Times New Roman" w:hAnsi="Times New Roman" w:cs="Times New Roman"/>
          <w:color w:val="auto"/>
          <w:sz w:val="24"/>
          <w:szCs w:val="24"/>
          <w:highlight w:val="none"/>
        </w:rPr>
        <w:sectPr>
          <w:pgSz w:w="11906" w:h="16838"/>
          <w:pgMar w:top="1418" w:right="1418" w:bottom="1559" w:left="1418" w:header="907" w:footer="907" w:gutter="0"/>
          <w:pgBorders w:display="notFirstPage">
            <w:top w:val="single" w:color="auto" w:sz="4" w:space="4"/>
            <w:left w:val="single" w:color="auto" w:sz="4" w:space="10"/>
            <w:bottom w:val="single" w:color="auto" w:sz="4" w:space="4"/>
            <w:right w:val="single" w:color="auto" w:sz="4" w:space="10"/>
          </w:pgBorders>
          <w:pgNumType w:fmt="decimal"/>
          <w:cols w:space="720" w:num="1"/>
          <w:docGrid w:type="lines" w:linePitch="312" w:charSpace="0"/>
        </w:sectPr>
      </w:pPr>
    </w:p>
    <w:p w14:paraId="2637BB1D">
      <w:pPr>
        <w:pStyle w:val="3"/>
        <w:numPr>
          <w:ilvl w:val="0"/>
          <w:numId w:val="0"/>
        </w:numPr>
        <w:adjustRightInd w:val="0"/>
        <w:snapToGrid w:val="0"/>
        <w:spacing w:before="0" w:after="0" w:line="240" w:lineRule="auto"/>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评价适用标准</w:t>
      </w:r>
    </w:p>
    <w:tbl>
      <w:tblPr>
        <w:tblStyle w:val="24"/>
        <w:tblW w:w="9493"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8959"/>
      </w:tblGrid>
      <w:tr w14:paraId="34B2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12" w:space="0"/>
            </w:tcBorders>
            <w:vAlign w:val="center"/>
          </w:tcPr>
          <w:p w14:paraId="39E0031A">
            <w:pPr>
              <w:spacing w:line="360" w:lineRule="auto"/>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环境质量标准</w:t>
            </w:r>
          </w:p>
        </w:tc>
        <w:tc>
          <w:tcPr>
            <w:tcW w:w="8959" w:type="dxa"/>
            <w:tcBorders>
              <w:top w:val="single" w:color="auto" w:sz="12" w:space="0"/>
              <w:bottom w:val="single" w:color="auto" w:sz="8" w:space="0"/>
            </w:tcBorders>
            <w:vAlign w:val="center"/>
          </w:tcPr>
          <w:p w14:paraId="4485255D">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1.环境空气：环境空气质量执行《环境空气质量标准》（GB3095-2012）二级标准</w:t>
            </w:r>
            <w:r>
              <w:rPr>
                <w:rFonts w:hint="eastAsia" w:cs="Times New Roman"/>
                <w:color w:val="auto"/>
                <w:sz w:val="24"/>
                <w:szCs w:val="24"/>
                <w:highlight w:val="none"/>
                <w:lang w:eastAsia="zh-CN"/>
              </w:rPr>
              <w:t>；</w:t>
            </w:r>
            <w:r>
              <w:rPr>
                <w:rFonts w:hint="eastAsia"/>
                <w:color w:val="auto"/>
                <w:sz w:val="24"/>
                <w:szCs w:val="24"/>
                <w:highlight w:val="none"/>
                <w:lang w:eastAsia="zh-CN"/>
              </w:rPr>
              <w:t>硫化氢、氨参照执行《环境影响评价技术导则 大气环境》（HJ2.2-2018）中附录D的标准限值，</w:t>
            </w:r>
            <w:r>
              <w:rPr>
                <w:rFonts w:hint="default" w:ascii="Times New Roman" w:hAnsi="Times New Roman" w:cs="Times New Roman"/>
                <w:color w:val="auto"/>
                <w:sz w:val="24"/>
                <w:szCs w:val="24"/>
                <w:highlight w:val="none"/>
              </w:rPr>
              <w:t>如下表所示：</w:t>
            </w:r>
          </w:p>
          <w:p w14:paraId="0AEE2EA8">
            <w:pPr>
              <w:adjustRightInd w:val="0"/>
              <w:snapToGrid w:val="0"/>
              <w:spacing w:line="360" w:lineRule="auto"/>
              <w:jc w:val="both"/>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w:t>
            </w:r>
            <w:r>
              <w:rPr>
                <w:rFonts w:hint="eastAsia" w:cs="Times New Roman"/>
                <w:b/>
                <w:bCs/>
                <w:color w:val="auto"/>
                <w:highlight w:val="none"/>
                <w:lang w:val="en-US" w:eastAsia="zh-CN"/>
              </w:rPr>
              <w:t xml:space="preserve">11                      </w:t>
            </w:r>
            <w:r>
              <w:rPr>
                <w:rFonts w:hint="default" w:ascii="Times New Roman" w:hAnsi="Times New Roman" w:cs="Times New Roman"/>
                <w:b/>
                <w:bCs/>
                <w:color w:val="auto"/>
                <w:highlight w:val="none"/>
              </w:rPr>
              <w:t>环境空气污染物基本项目浓度限值</w:t>
            </w:r>
          </w:p>
          <w:tbl>
            <w:tblPr>
              <w:tblStyle w:val="24"/>
              <w:tblW w:w="851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37"/>
              <w:gridCol w:w="2838"/>
              <w:gridCol w:w="2838"/>
            </w:tblGrid>
            <w:tr w14:paraId="48CB06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37" w:type="dxa"/>
                  <w:tcBorders>
                    <w:top w:val="single" w:color="auto" w:sz="12" w:space="0"/>
                    <w:bottom w:val="single" w:color="auto" w:sz="4" w:space="0"/>
                    <w:right w:val="single" w:color="auto" w:sz="4" w:space="0"/>
                  </w:tcBorders>
                  <w:vAlign w:val="center"/>
                </w:tcPr>
                <w:p w14:paraId="548917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污染物名称</w:t>
                  </w:r>
                </w:p>
              </w:tc>
              <w:tc>
                <w:tcPr>
                  <w:tcW w:w="2838" w:type="dxa"/>
                  <w:tcBorders>
                    <w:top w:val="single" w:color="auto" w:sz="12" w:space="0"/>
                    <w:left w:val="single" w:color="auto" w:sz="4" w:space="0"/>
                    <w:bottom w:val="single" w:color="auto" w:sz="4" w:space="0"/>
                    <w:right w:val="single" w:color="auto" w:sz="4" w:space="0"/>
                  </w:tcBorders>
                  <w:vAlign w:val="center"/>
                </w:tcPr>
                <w:p w14:paraId="0633CA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平均时间</w:t>
                  </w:r>
                </w:p>
              </w:tc>
              <w:tc>
                <w:tcPr>
                  <w:tcW w:w="2838" w:type="dxa"/>
                  <w:tcBorders>
                    <w:top w:val="single" w:color="auto" w:sz="12" w:space="0"/>
                    <w:left w:val="single" w:color="auto" w:sz="4" w:space="0"/>
                    <w:bottom w:val="single" w:color="auto" w:sz="4" w:space="0"/>
                  </w:tcBorders>
                  <w:vAlign w:val="center"/>
                </w:tcPr>
                <w:p w14:paraId="241CF6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浓度限值mg/m</w:t>
                  </w:r>
                  <w:r>
                    <w:rPr>
                      <w:rFonts w:hint="default" w:ascii="Times New Roman" w:hAnsi="Times New Roman" w:cs="Times New Roman"/>
                      <w:color w:val="auto"/>
                      <w:highlight w:val="none"/>
                      <w:vertAlign w:val="superscript"/>
                    </w:rPr>
                    <w:t>3</w:t>
                  </w:r>
                </w:p>
              </w:tc>
            </w:tr>
            <w:tr w14:paraId="06ED3B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837" w:type="dxa"/>
                  <w:vMerge w:val="restart"/>
                  <w:tcBorders>
                    <w:top w:val="single" w:color="auto" w:sz="4" w:space="0"/>
                    <w:right w:val="single" w:color="auto" w:sz="4" w:space="0"/>
                  </w:tcBorders>
                  <w:vAlign w:val="center"/>
                </w:tcPr>
                <w:p w14:paraId="6F0DC1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SO</w:t>
                  </w:r>
                  <w:r>
                    <w:rPr>
                      <w:rFonts w:hint="default" w:ascii="Times New Roman" w:hAnsi="Times New Roman" w:cs="Times New Roman"/>
                      <w:color w:val="auto"/>
                      <w:highlight w:val="none"/>
                      <w:vertAlign w:val="subscript"/>
                    </w:rPr>
                    <w:t>2</w:t>
                  </w:r>
                </w:p>
              </w:tc>
              <w:tc>
                <w:tcPr>
                  <w:tcW w:w="2838" w:type="dxa"/>
                  <w:tcBorders>
                    <w:top w:val="single" w:color="auto" w:sz="4" w:space="0"/>
                    <w:left w:val="single" w:color="auto" w:sz="4" w:space="0"/>
                    <w:bottom w:val="single" w:color="auto" w:sz="4" w:space="0"/>
                    <w:right w:val="single" w:color="auto" w:sz="4" w:space="0"/>
                  </w:tcBorders>
                  <w:vAlign w:val="center"/>
                </w:tcPr>
                <w:p w14:paraId="239D77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eastAsia" w:cs="Times New Roman"/>
                      <w:color w:val="auto"/>
                      <w:highlight w:val="none"/>
                      <w:lang w:eastAsia="zh-CN"/>
                    </w:rPr>
                    <w:t>年</w:t>
                  </w:r>
                  <w:r>
                    <w:rPr>
                      <w:rFonts w:hint="default" w:ascii="Times New Roman" w:hAnsi="Times New Roman" w:cs="Times New Roman"/>
                      <w:color w:val="auto"/>
                      <w:highlight w:val="none"/>
                    </w:rPr>
                    <w:t>平均</w:t>
                  </w:r>
                </w:p>
              </w:tc>
              <w:tc>
                <w:tcPr>
                  <w:tcW w:w="2838" w:type="dxa"/>
                  <w:tcBorders>
                    <w:top w:val="single" w:color="auto" w:sz="4" w:space="0"/>
                    <w:left w:val="single" w:color="auto" w:sz="4" w:space="0"/>
                    <w:bottom w:val="single" w:color="auto" w:sz="4" w:space="0"/>
                  </w:tcBorders>
                  <w:vAlign w:val="center"/>
                </w:tcPr>
                <w:p w14:paraId="67176F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0.</w:t>
                  </w:r>
                  <w:r>
                    <w:rPr>
                      <w:rFonts w:hint="default" w:ascii="Times New Roman" w:hAnsi="Times New Roman" w:cs="Times New Roman"/>
                      <w:color w:val="auto"/>
                      <w:highlight w:val="none"/>
                      <w:lang w:val="en-US" w:eastAsia="zh-CN"/>
                    </w:rPr>
                    <w:t>06</w:t>
                  </w:r>
                </w:p>
              </w:tc>
            </w:tr>
            <w:tr w14:paraId="038302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2837" w:type="dxa"/>
                  <w:vMerge w:val="continue"/>
                  <w:tcBorders>
                    <w:bottom w:val="single" w:color="auto" w:sz="4" w:space="0"/>
                    <w:right w:val="single" w:color="auto" w:sz="4" w:space="0"/>
                  </w:tcBorders>
                  <w:vAlign w:val="center"/>
                </w:tcPr>
                <w:p w14:paraId="39DE32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p>
              </w:tc>
              <w:tc>
                <w:tcPr>
                  <w:tcW w:w="2838" w:type="dxa"/>
                  <w:tcBorders>
                    <w:top w:val="single" w:color="auto" w:sz="4" w:space="0"/>
                    <w:left w:val="single" w:color="auto" w:sz="4" w:space="0"/>
                    <w:bottom w:val="single" w:color="auto" w:sz="4" w:space="0"/>
                    <w:right w:val="single" w:color="auto" w:sz="4" w:space="0"/>
                  </w:tcBorders>
                  <w:vAlign w:val="center"/>
                </w:tcPr>
                <w:p w14:paraId="233DA1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eastAsia="zh-CN"/>
                    </w:rPr>
                  </w:pPr>
                  <w:r>
                    <w:rPr>
                      <w:rFonts w:hint="eastAsia" w:cs="Times New Roman"/>
                      <w:color w:val="auto"/>
                      <w:highlight w:val="none"/>
                      <w:lang w:val="en-US" w:eastAsia="zh-CN"/>
                    </w:rPr>
                    <w:t>24小时</w:t>
                  </w:r>
                  <w:r>
                    <w:rPr>
                      <w:rFonts w:hint="default" w:ascii="Times New Roman" w:hAnsi="Times New Roman" w:cs="Times New Roman"/>
                      <w:color w:val="auto"/>
                      <w:highlight w:val="none"/>
                    </w:rPr>
                    <w:t>平均</w:t>
                  </w:r>
                </w:p>
              </w:tc>
              <w:tc>
                <w:tcPr>
                  <w:tcW w:w="2838" w:type="dxa"/>
                  <w:tcBorders>
                    <w:top w:val="single" w:color="auto" w:sz="4" w:space="0"/>
                    <w:left w:val="single" w:color="auto" w:sz="4" w:space="0"/>
                    <w:bottom w:val="single" w:color="auto" w:sz="4" w:space="0"/>
                  </w:tcBorders>
                  <w:vAlign w:val="center"/>
                </w:tcPr>
                <w:p w14:paraId="5B16C7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0.15</w:t>
                  </w:r>
                </w:p>
              </w:tc>
            </w:tr>
            <w:tr w14:paraId="72F204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2837" w:type="dxa"/>
                  <w:vMerge w:val="continue"/>
                  <w:tcBorders>
                    <w:bottom w:val="single" w:color="auto" w:sz="4" w:space="0"/>
                    <w:right w:val="single" w:color="auto" w:sz="4" w:space="0"/>
                  </w:tcBorders>
                  <w:vAlign w:val="center"/>
                </w:tcPr>
                <w:p w14:paraId="1D42B4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p>
              </w:tc>
              <w:tc>
                <w:tcPr>
                  <w:tcW w:w="2838" w:type="dxa"/>
                  <w:tcBorders>
                    <w:top w:val="single" w:color="auto" w:sz="4" w:space="0"/>
                    <w:left w:val="single" w:color="auto" w:sz="4" w:space="0"/>
                    <w:bottom w:val="single" w:color="auto" w:sz="4" w:space="0"/>
                    <w:right w:val="single" w:color="auto" w:sz="4" w:space="0"/>
                  </w:tcBorders>
                  <w:vAlign w:val="center"/>
                </w:tcPr>
                <w:p w14:paraId="0B9548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eastAsia="zh-CN"/>
                    </w:rPr>
                  </w:pPr>
                  <w:r>
                    <w:rPr>
                      <w:rFonts w:hint="eastAsia" w:cs="Times New Roman"/>
                      <w:color w:val="auto"/>
                      <w:highlight w:val="none"/>
                      <w:lang w:val="en-US" w:eastAsia="zh-CN"/>
                    </w:rPr>
                    <w:t>1h平均</w:t>
                  </w:r>
                </w:p>
              </w:tc>
              <w:tc>
                <w:tcPr>
                  <w:tcW w:w="2838" w:type="dxa"/>
                  <w:tcBorders>
                    <w:top w:val="single" w:color="auto" w:sz="4" w:space="0"/>
                    <w:left w:val="single" w:color="auto" w:sz="4" w:space="0"/>
                    <w:bottom w:val="single" w:color="auto" w:sz="4" w:space="0"/>
                  </w:tcBorders>
                  <w:vAlign w:val="center"/>
                </w:tcPr>
                <w:p w14:paraId="14A1D1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0.5</w:t>
                  </w:r>
                </w:p>
              </w:tc>
            </w:tr>
            <w:tr w14:paraId="5A8E2B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2837" w:type="dxa"/>
                  <w:vMerge w:val="restart"/>
                  <w:tcBorders>
                    <w:top w:val="single" w:color="auto" w:sz="4" w:space="0"/>
                    <w:right w:val="single" w:color="auto" w:sz="4" w:space="0"/>
                  </w:tcBorders>
                  <w:vAlign w:val="center"/>
                </w:tcPr>
                <w:p w14:paraId="08736D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NO</w:t>
                  </w:r>
                  <w:r>
                    <w:rPr>
                      <w:rFonts w:hint="default" w:ascii="Times New Roman" w:hAnsi="Times New Roman" w:cs="Times New Roman"/>
                      <w:color w:val="auto"/>
                      <w:highlight w:val="none"/>
                      <w:vertAlign w:val="subscript"/>
                    </w:rPr>
                    <w:t>2</w:t>
                  </w:r>
                </w:p>
              </w:tc>
              <w:tc>
                <w:tcPr>
                  <w:tcW w:w="2838" w:type="dxa"/>
                  <w:tcBorders>
                    <w:top w:val="single" w:color="auto" w:sz="4" w:space="0"/>
                    <w:left w:val="single" w:color="auto" w:sz="4" w:space="0"/>
                    <w:bottom w:val="single" w:color="auto" w:sz="4" w:space="0"/>
                    <w:right w:val="single" w:color="auto" w:sz="4" w:space="0"/>
                  </w:tcBorders>
                  <w:vAlign w:val="center"/>
                </w:tcPr>
                <w:p w14:paraId="1580C9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eastAsia" w:cs="Times New Roman"/>
                      <w:color w:val="auto"/>
                      <w:highlight w:val="none"/>
                      <w:lang w:eastAsia="zh-CN"/>
                    </w:rPr>
                    <w:t>年</w:t>
                  </w:r>
                  <w:r>
                    <w:rPr>
                      <w:rFonts w:hint="default" w:ascii="Times New Roman" w:hAnsi="Times New Roman" w:cs="Times New Roman"/>
                      <w:color w:val="auto"/>
                      <w:highlight w:val="none"/>
                    </w:rPr>
                    <w:t>平均</w:t>
                  </w:r>
                </w:p>
              </w:tc>
              <w:tc>
                <w:tcPr>
                  <w:tcW w:w="2838" w:type="dxa"/>
                  <w:tcBorders>
                    <w:top w:val="single" w:color="auto" w:sz="4" w:space="0"/>
                    <w:left w:val="single" w:color="auto" w:sz="4" w:space="0"/>
                    <w:bottom w:val="single" w:color="auto" w:sz="4" w:space="0"/>
                  </w:tcBorders>
                  <w:vAlign w:val="center"/>
                </w:tcPr>
                <w:p w14:paraId="65AEE9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0.0</w:t>
                  </w:r>
                  <w:r>
                    <w:rPr>
                      <w:rFonts w:hint="default" w:ascii="Times New Roman" w:hAnsi="Times New Roman" w:cs="Times New Roman"/>
                      <w:color w:val="auto"/>
                      <w:highlight w:val="none"/>
                      <w:lang w:val="en-US" w:eastAsia="zh-CN"/>
                    </w:rPr>
                    <w:t>4</w:t>
                  </w:r>
                </w:p>
              </w:tc>
            </w:tr>
            <w:tr w14:paraId="192856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2837" w:type="dxa"/>
                  <w:vMerge w:val="continue"/>
                  <w:tcBorders>
                    <w:bottom w:val="single" w:color="auto" w:sz="4" w:space="0"/>
                    <w:right w:val="single" w:color="auto" w:sz="4" w:space="0"/>
                  </w:tcBorders>
                  <w:vAlign w:val="center"/>
                </w:tcPr>
                <w:p w14:paraId="52D8D3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p>
              </w:tc>
              <w:tc>
                <w:tcPr>
                  <w:tcW w:w="2838" w:type="dxa"/>
                  <w:tcBorders>
                    <w:top w:val="single" w:color="auto" w:sz="4" w:space="0"/>
                    <w:left w:val="single" w:color="auto" w:sz="4" w:space="0"/>
                    <w:bottom w:val="single" w:color="auto" w:sz="4" w:space="0"/>
                    <w:right w:val="single" w:color="auto" w:sz="4" w:space="0"/>
                  </w:tcBorders>
                  <w:vAlign w:val="center"/>
                </w:tcPr>
                <w:p w14:paraId="7B65F3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eastAsia="zh-CN"/>
                    </w:rPr>
                  </w:pPr>
                  <w:r>
                    <w:rPr>
                      <w:rFonts w:hint="eastAsia" w:cs="Times New Roman"/>
                      <w:color w:val="auto"/>
                      <w:highlight w:val="none"/>
                      <w:lang w:val="en-US" w:eastAsia="zh-CN"/>
                    </w:rPr>
                    <w:t>24小时</w:t>
                  </w:r>
                  <w:r>
                    <w:rPr>
                      <w:rFonts w:hint="default" w:ascii="Times New Roman" w:hAnsi="Times New Roman" w:cs="Times New Roman"/>
                      <w:color w:val="auto"/>
                      <w:highlight w:val="none"/>
                    </w:rPr>
                    <w:t>平均</w:t>
                  </w:r>
                </w:p>
              </w:tc>
              <w:tc>
                <w:tcPr>
                  <w:tcW w:w="2838" w:type="dxa"/>
                  <w:tcBorders>
                    <w:top w:val="single" w:color="auto" w:sz="4" w:space="0"/>
                    <w:left w:val="single" w:color="auto" w:sz="4" w:space="0"/>
                    <w:bottom w:val="single" w:color="auto" w:sz="4" w:space="0"/>
                  </w:tcBorders>
                  <w:vAlign w:val="center"/>
                </w:tcPr>
                <w:p w14:paraId="19D9FC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0.08</w:t>
                  </w:r>
                </w:p>
              </w:tc>
            </w:tr>
            <w:tr w14:paraId="50D42E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2837" w:type="dxa"/>
                  <w:vMerge w:val="continue"/>
                  <w:tcBorders>
                    <w:bottom w:val="single" w:color="auto" w:sz="4" w:space="0"/>
                    <w:right w:val="single" w:color="auto" w:sz="4" w:space="0"/>
                  </w:tcBorders>
                  <w:vAlign w:val="center"/>
                </w:tcPr>
                <w:p w14:paraId="4F9EEA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p>
              </w:tc>
              <w:tc>
                <w:tcPr>
                  <w:tcW w:w="2838" w:type="dxa"/>
                  <w:tcBorders>
                    <w:top w:val="single" w:color="auto" w:sz="4" w:space="0"/>
                    <w:left w:val="single" w:color="auto" w:sz="4" w:space="0"/>
                    <w:bottom w:val="single" w:color="auto" w:sz="4" w:space="0"/>
                    <w:right w:val="single" w:color="auto" w:sz="4" w:space="0"/>
                  </w:tcBorders>
                  <w:vAlign w:val="center"/>
                </w:tcPr>
                <w:p w14:paraId="5437CA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eastAsia="zh-CN"/>
                    </w:rPr>
                  </w:pPr>
                  <w:r>
                    <w:rPr>
                      <w:rFonts w:hint="eastAsia" w:cs="Times New Roman"/>
                      <w:color w:val="auto"/>
                      <w:highlight w:val="none"/>
                      <w:lang w:val="en-US" w:eastAsia="zh-CN"/>
                    </w:rPr>
                    <w:t>1h平均</w:t>
                  </w:r>
                </w:p>
              </w:tc>
              <w:tc>
                <w:tcPr>
                  <w:tcW w:w="2838" w:type="dxa"/>
                  <w:tcBorders>
                    <w:top w:val="single" w:color="auto" w:sz="4" w:space="0"/>
                    <w:left w:val="single" w:color="auto" w:sz="4" w:space="0"/>
                    <w:bottom w:val="single" w:color="auto" w:sz="4" w:space="0"/>
                  </w:tcBorders>
                  <w:vAlign w:val="center"/>
                </w:tcPr>
                <w:p w14:paraId="693236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0.2</w:t>
                  </w:r>
                </w:p>
              </w:tc>
            </w:tr>
            <w:tr w14:paraId="13BA89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837" w:type="dxa"/>
                  <w:vMerge w:val="restart"/>
                  <w:tcBorders>
                    <w:top w:val="single" w:color="auto" w:sz="4" w:space="0"/>
                    <w:right w:val="single" w:color="auto" w:sz="4" w:space="0"/>
                  </w:tcBorders>
                  <w:vAlign w:val="center"/>
                </w:tcPr>
                <w:p w14:paraId="60C028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PM</w:t>
                  </w:r>
                  <w:r>
                    <w:rPr>
                      <w:rFonts w:hint="default" w:ascii="Times New Roman" w:hAnsi="Times New Roman" w:cs="Times New Roman"/>
                      <w:color w:val="auto"/>
                      <w:highlight w:val="none"/>
                      <w:vertAlign w:val="subscript"/>
                    </w:rPr>
                    <w:t>10</w:t>
                  </w:r>
                </w:p>
              </w:tc>
              <w:tc>
                <w:tcPr>
                  <w:tcW w:w="2838" w:type="dxa"/>
                  <w:tcBorders>
                    <w:top w:val="single" w:color="auto" w:sz="4" w:space="0"/>
                    <w:left w:val="single" w:color="auto" w:sz="4" w:space="0"/>
                    <w:bottom w:val="single" w:color="auto" w:sz="4" w:space="0"/>
                    <w:right w:val="single" w:color="auto" w:sz="4" w:space="0"/>
                  </w:tcBorders>
                  <w:vAlign w:val="center"/>
                </w:tcPr>
                <w:p w14:paraId="3E233C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eastAsia" w:cs="Times New Roman"/>
                      <w:color w:val="auto"/>
                      <w:highlight w:val="none"/>
                      <w:lang w:eastAsia="zh-CN"/>
                    </w:rPr>
                    <w:t>年</w:t>
                  </w:r>
                  <w:r>
                    <w:rPr>
                      <w:rFonts w:hint="default" w:ascii="Times New Roman" w:hAnsi="Times New Roman" w:cs="Times New Roman"/>
                      <w:color w:val="auto"/>
                      <w:highlight w:val="none"/>
                    </w:rPr>
                    <w:t>平均</w:t>
                  </w:r>
                </w:p>
              </w:tc>
              <w:tc>
                <w:tcPr>
                  <w:tcW w:w="2838" w:type="dxa"/>
                  <w:tcBorders>
                    <w:top w:val="single" w:color="auto" w:sz="4" w:space="0"/>
                    <w:left w:val="single" w:color="auto" w:sz="4" w:space="0"/>
                    <w:bottom w:val="single" w:color="auto" w:sz="4" w:space="0"/>
                  </w:tcBorders>
                  <w:vAlign w:val="center"/>
                </w:tcPr>
                <w:p w14:paraId="7BD1F0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0.</w:t>
                  </w:r>
                  <w:r>
                    <w:rPr>
                      <w:rFonts w:hint="default" w:ascii="Times New Roman" w:hAnsi="Times New Roman" w:cs="Times New Roman"/>
                      <w:color w:val="auto"/>
                      <w:highlight w:val="none"/>
                      <w:lang w:val="en-US" w:eastAsia="zh-CN"/>
                    </w:rPr>
                    <w:t>07</w:t>
                  </w:r>
                </w:p>
              </w:tc>
            </w:tr>
            <w:tr w14:paraId="0D0C08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37" w:type="dxa"/>
                  <w:vMerge w:val="continue"/>
                  <w:tcBorders>
                    <w:bottom w:val="single" w:color="auto" w:sz="4" w:space="0"/>
                    <w:right w:val="single" w:color="auto" w:sz="4" w:space="0"/>
                  </w:tcBorders>
                  <w:vAlign w:val="center"/>
                </w:tcPr>
                <w:p w14:paraId="3AF0BC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p>
              </w:tc>
              <w:tc>
                <w:tcPr>
                  <w:tcW w:w="2838" w:type="dxa"/>
                  <w:tcBorders>
                    <w:top w:val="single" w:color="auto" w:sz="4" w:space="0"/>
                    <w:left w:val="single" w:color="auto" w:sz="4" w:space="0"/>
                    <w:bottom w:val="single" w:color="auto" w:sz="4" w:space="0"/>
                    <w:right w:val="single" w:color="auto" w:sz="4" w:space="0"/>
                  </w:tcBorders>
                  <w:vAlign w:val="center"/>
                </w:tcPr>
                <w:p w14:paraId="53EA17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eastAsia="zh-CN"/>
                    </w:rPr>
                  </w:pPr>
                  <w:r>
                    <w:rPr>
                      <w:rFonts w:hint="eastAsia" w:cs="Times New Roman"/>
                      <w:color w:val="auto"/>
                      <w:highlight w:val="none"/>
                      <w:lang w:val="en-US" w:eastAsia="zh-CN"/>
                    </w:rPr>
                    <w:t>24小时</w:t>
                  </w:r>
                  <w:r>
                    <w:rPr>
                      <w:rFonts w:hint="default" w:ascii="Times New Roman" w:hAnsi="Times New Roman" w:cs="Times New Roman"/>
                      <w:color w:val="auto"/>
                      <w:highlight w:val="none"/>
                    </w:rPr>
                    <w:t>平均</w:t>
                  </w:r>
                </w:p>
              </w:tc>
              <w:tc>
                <w:tcPr>
                  <w:tcW w:w="2838" w:type="dxa"/>
                  <w:tcBorders>
                    <w:top w:val="single" w:color="auto" w:sz="4" w:space="0"/>
                    <w:left w:val="single" w:color="auto" w:sz="4" w:space="0"/>
                    <w:bottom w:val="single" w:color="auto" w:sz="4" w:space="0"/>
                  </w:tcBorders>
                  <w:vAlign w:val="center"/>
                </w:tcPr>
                <w:p w14:paraId="344962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0.15</w:t>
                  </w:r>
                </w:p>
              </w:tc>
            </w:tr>
            <w:tr w14:paraId="5BF7B7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37" w:type="dxa"/>
                  <w:vMerge w:val="restart"/>
                  <w:tcBorders>
                    <w:top w:val="single" w:color="auto" w:sz="4" w:space="0"/>
                    <w:right w:val="single" w:color="auto" w:sz="4" w:space="0"/>
                  </w:tcBorders>
                  <w:vAlign w:val="center"/>
                </w:tcPr>
                <w:p w14:paraId="1D7D53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PM</w:t>
                  </w:r>
                  <w:r>
                    <w:rPr>
                      <w:rFonts w:hint="eastAsia" w:cs="Times New Roman"/>
                      <w:color w:val="auto"/>
                      <w:highlight w:val="none"/>
                      <w:vertAlign w:val="subscript"/>
                      <w:lang w:val="en-US" w:eastAsia="zh-CN"/>
                    </w:rPr>
                    <w:t>2.5</w:t>
                  </w:r>
                </w:p>
              </w:tc>
              <w:tc>
                <w:tcPr>
                  <w:tcW w:w="2838" w:type="dxa"/>
                  <w:tcBorders>
                    <w:top w:val="single" w:color="auto" w:sz="4" w:space="0"/>
                    <w:left w:val="single" w:color="auto" w:sz="4" w:space="0"/>
                    <w:bottom w:val="single" w:color="auto" w:sz="4" w:space="0"/>
                    <w:right w:val="single" w:color="auto" w:sz="4" w:space="0"/>
                  </w:tcBorders>
                  <w:vAlign w:val="center"/>
                </w:tcPr>
                <w:p w14:paraId="7F5331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eastAsia="zh-CN"/>
                    </w:rPr>
                  </w:pPr>
                  <w:r>
                    <w:rPr>
                      <w:rFonts w:hint="eastAsia" w:cs="Times New Roman"/>
                      <w:color w:val="auto"/>
                      <w:highlight w:val="none"/>
                      <w:lang w:eastAsia="zh-CN"/>
                    </w:rPr>
                    <w:t>年</w:t>
                  </w:r>
                  <w:r>
                    <w:rPr>
                      <w:rFonts w:hint="default" w:ascii="Times New Roman" w:hAnsi="Times New Roman" w:cs="Times New Roman"/>
                      <w:color w:val="auto"/>
                      <w:highlight w:val="none"/>
                    </w:rPr>
                    <w:t>平均</w:t>
                  </w:r>
                </w:p>
              </w:tc>
              <w:tc>
                <w:tcPr>
                  <w:tcW w:w="2838" w:type="dxa"/>
                  <w:tcBorders>
                    <w:top w:val="single" w:color="auto" w:sz="4" w:space="0"/>
                    <w:left w:val="single" w:color="auto" w:sz="4" w:space="0"/>
                    <w:bottom w:val="single" w:color="auto" w:sz="4" w:space="0"/>
                  </w:tcBorders>
                  <w:vAlign w:val="center"/>
                </w:tcPr>
                <w:p w14:paraId="1E3444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0.035</w:t>
                  </w:r>
                </w:p>
              </w:tc>
            </w:tr>
            <w:tr w14:paraId="54B500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37" w:type="dxa"/>
                  <w:vMerge w:val="continue"/>
                  <w:tcBorders>
                    <w:bottom w:val="single" w:color="auto" w:sz="4" w:space="0"/>
                    <w:right w:val="single" w:color="auto" w:sz="4" w:space="0"/>
                  </w:tcBorders>
                  <w:vAlign w:val="center"/>
                </w:tcPr>
                <w:p w14:paraId="3F2046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val="en-US" w:eastAsia="zh-CN"/>
                    </w:rPr>
                  </w:pPr>
                </w:p>
              </w:tc>
              <w:tc>
                <w:tcPr>
                  <w:tcW w:w="2838" w:type="dxa"/>
                  <w:tcBorders>
                    <w:top w:val="single" w:color="auto" w:sz="4" w:space="0"/>
                    <w:left w:val="single" w:color="auto" w:sz="4" w:space="0"/>
                    <w:bottom w:val="single" w:color="auto" w:sz="4" w:space="0"/>
                    <w:right w:val="single" w:color="auto" w:sz="4" w:space="0"/>
                  </w:tcBorders>
                  <w:vAlign w:val="center"/>
                </w:tcPr>
                <w:p w14:paraId="7163E3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eastAsia="zh-CN"/>
                    </w:rPr>
                  </w:pPr>
                  <w:r>
                    <w:rPr>
                      <w:rFonts w:hint="eastAsia" w:cs="Times New Roman"/>
                      <w:color w:val="auto"/>
                      <w:highlight w:val="none"/>
                      <w:lang w:val="en-US" w:eastAsia="zh-CN"/>
                    </w:rPr>
                    <w:t>24小时</w:t>
                  </w:r>
                  <w:r>
                    <w:rPr>
                      <w:rFonts w:hint="default" w:ascii="Times New Roman" w:hAnsi="Times New Roman" w:cs="Times New Roman"/>
                      <w:color w:val="auto"/>
                      <w:highlight w:val="none"/>
                    </w:rPr>
                    <w:t>平均</w:t>
                  </w:r>
                </w:p>
              </w:tc>
              <w:tc>
                <w:tcPr>
                  <w:tcW w:w="2838" w:type="dxa"/>
                  <w:tcBorders>
                    <w:top w:val="single" w:color="auto" w:sz="4" w:space="0"/>
                    <w:left w:val="single" w:color="auto" w:sz="4" w:space="0"/>
                    <w:bottom w:val="single" w:color="auto" w:sz="4" w:space="0"/>
                  </w:tcBorders>
                  <w:vAlign w:val="center"/>
                </w:tcPr>
                <w:p w14:paraId="4DC273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0.075</w:t>
                  </w:r>
                </w:p>
              </w:tc>
            </w:tr>
            <w:tr w14:paraId="705EE4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2837" w:type="dxa"/>
                  <w:vMerge w:val="restart"/>
                  <w:tcBorders>
                    <w:top w:val="single" w:color="auto" w:sz="4" w:space="0"/>
                    <w:right w:val="single" w:color="auto" w:sz="4" w:space="0"/>
                  </w:tcBorders>
                  <w:vAlign w:val="center"/>
                </w:tcPr>
                <w:p w14:paraId="23D403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O</w:t>
                  </w:r>
                  <w:r>
                    <w:rPr>
                      <w:rFonts w:hint="eastAsia" w:cs="Times New Roman"/>
                      <w:color w:val="auto"/>
                      <w:highlight w:val="none"/>
                      <w:vertAlign w:val="subscript"/>
                      <w:lang w:val="en-US" w:eastAsia="zh-CN"/>
                    </w:rPr>
                    <w:t>3</w:t>
                  </w:r>
                </w:p>
              </w:tc>
              <w:tc>
                <w:tcPr>
                  <w:tcW w:w="2838" w:type="dxa"/>
                  <w:tcBorders>
                    <w:top w:val="single" w:color="auto" w:sz="4" w:space="0"/>
                    <w:left w:val="single" w:color="auto" w:sz="4" w:space="0"/>
                    <w:bottom w:val="single" w:color="auto" w:sz="4" w:space="0"/>
                    <w:right w:val="single" w:color="auto" w:sz="4" w:space="0"/>
                  </w:tcBorders>
                  <w:vAlign w:val="center"/>
                </w:tcPr>
                <w:p w14:paraId="7B278B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val="en-US" w:eastAsia="zh-CN"/>
                    </w:rPr>
                  </w:pPr>
                  <w:r>
                    <w:rPr>
                      <w:rFonts w:hint="eastAsia" w:cs="Times New Roman"/>
                      <w:color w:val="auto"/>
                      <w:highlight w:val="none"/>
                      <w:lang w:eastAsia="zh-CN"/>
                    </w:rPr>
                    <w:t>日最大</w:t>
                  </w:r>
                  <w:r>
                    <w:rPr>
                      <w:rFonts w:hint="eastAsia" w:cs="Times New Roman"/>
                      <w:color w:val="auto"/>
                      <w:highlight w:val="none"/>
                      <w:lang w:val="en-US" w:eastAsia="zh-CN"/>
                    </w:rPr>
                    <w:t>8小时平均</w:t>
                  </w:r>
                </w:p>
              </w:tc>
              <w:tc>
                <w:tcPr>
                  <w:tcW w:w="2838" w:type="dxa"/>
                  <w:tcBorders>
                    <w:top w:val="single" w:color="auto" w:sz="4" w:space="0"/>
                    <w:left w:val="single" w:color="auto" w:sz="4" w:space="0"/>
                    <w:bottom w:val="single" w:color="auto" w:sz="4" w:space="0"/>
                  </w:tcBorders>
                  <w:vAlign w:val="center"/>
                </w:tcPr>
                <w:p w14:paraId="67BEC6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0.16</w:t>
                  </w:r>
                </w:p>
              </w:tc>
            </w:tr>
            <w:tr w14:paraId="456469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2837" w:type="dxa"/>
                  <w:vMerge w:val="continue"/>
                  <w:tcBorders>
                    <w:bottom w:val="single" w:color="auto" w:sz="4" w:space="0"/>
                    <w:right w:val="single" w:color="auto" w:sz="4" w:space="0"/>
                  </w:tcBorders>
                  <w:vAlign w:val="center"/>
                </w:tcPr>
                <w:p w14:paraId="535E1C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val="en-US" w:eastAsia="zh-CN"/>
                    </w:rPr>
                  </w:pPr>
                </w:p>
              </w:tc>
              <w:tc>
                <w:tcPr>
                  <w:tcW w:w="2838" w:type="dxa"/>
                  <w:tcBorders>
                    <w:top w:val="single" w:color="auto" w:sz="4" w:space="0"/>
                    <w:left w:val="single" w:color="auto" w:sz="4" w:space="0"/>
                    <w:bottom w:val="single" w:color="auto" w:sz="4" w:space="0"/>
                    <w:right w:val="single" w:color="auto" w:sz="4" w:space="0"/>
                  </w:tcBorders>
                  <w:vAlign w:val="center"/>
                </w:tcPr>
                <w:p w14:paraId="04C8A8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eastAsia="zh-CN"/>
                    </w:rPr>
                  </w:pPr>
                  <w:r>
                    <w:rPr>
                      <w:rFonts w:hint="eastAsia" w:cs="Times New Roman"/>
                      <w:color w:val="auto"/>
                      <w:highlight w:val="none"/>
                      <w:lang w:val="en-US" w:eastAsia="zh-CN"/>
                    </w:rPr>
                    <w:t>1h平均</w:t>
                  </w:r>
                </w:p>
              </w:tc>
              <w:tc>
                <w:tcPr>
                  <w:tcW w:w="2838" w:type="dxa"/>
                  <w:tcBorders>
                    <w:top w:val="single" w:color="auto" w:sz="4" w:space="0"/>
                    <w:left w:val="single" w:color="auto" w:sz="4" w:space="0"/>
                    <w:bottom w:val="single" w:color="auto" w:sz="4" w:space="0"/>
                  </w:tcBorders>
                  <w:vAlign w:val="center"/>
                </w:tcPr>
                <w:p w14:paraId="54C64F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0.2</w:t>
                  </w:r>
                </w:p>
              </w:tc>
            </w:tr>
            <w:tr w14:paraId="610C71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2837" w:type="dxa"/>
                  <w:vMerge w:val="restart"/>
                  <w:tcBorders>
                    <w:top w:val="single" w:color="auto" w:sz="4" w:space="0"/>
                    <w:right w:val="single" w:color="auto" w:sz="4" w:space="0"/>
                  </w:tcBorders>
                  <w:vAlign w:val="center"/>
                </w:tcPr>
                <w:p w14:paraId="7AFD19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CO</w:t>
                  </w:r>
                </w:p>
              </w:tc>
              <w:tc>
                <w:tcPr>
                  <w:tcW w:w="2838" w:type="dxa"/>
                  <w:tcBorders>
                    <w:top w:val="single" w:color="auto" w:sz="4" w:space="0"/>
                    <w:left w:val="single" w:color="auto" w:sz="4" w:space="0"/>
                    <w:bottom w:val="single" w:color="auto" w:sz="4" w:space="0"/>
                    <w:right w:val="single" w:color="auto" w:sz="4" w:space="0"/>
                  </w:tcBorders>
                  <w:vAlign w:val="center"/>
                </w:tcPr>
                <w:p w14:paraId="0CE607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eastAsia="zh-CN"/>
                    </w:rPr>
                  </w:pPr>
                  <w:r>
                    <w:rPr>
                      <w:rFonts w:hint="eastAsia" w:cs="Times New Roman"/>
                      <w:color w:val="auto"/>
                      <w:highlight w:val="none"/>
                      <w:lang w:val="en-US" w:eastAsia="zh-CN"/>
                    </w:rPr>
                    <w:t>24小时</w:t>
                  </w:r>
                  <w:r>
                    <w:rPr>
                      <w:rFonts w:hint="default" w:ascii="Times New Roman" w:hAnsi="Times New Roman" w:cs="Times New Roman"/>
                      <w:color w:val="auto"/>
                      <w:highlight w:val="none"/>
                    </w:rPr>
                    <w:t>平均</w:t>
                  </w:r>
                </w:p>
              </w:tc>
              <w:tc>
                <w:tcPr>
                  <w:tcW w:w="2838" w:type="dxa"/>
                  <w:tcBorders>
                    <w:top w:val="single" w:color="auto" w:sz="4" w:space="0"/>
                    <w:left w:val="single" w:color="auto" w:sz="4" w:space="0"/>
                    <w:bottom w:val="single" w:color="auto" w:sz="4" w:space="0"/>
                  </w:tcBorders>
                  <w:vAlign w:val="center"/>
                </w:tcPr>
                <w:p w14:paraId="48738F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eastAsia" w:cs="Times New Roman"/>
                      <w:color w:val="auto"/>
                      <w:highlight w:val="none"/>
                      <w:lang w:val="en-US" w:eastAsia="zh-CN"/>
                    </w:rPr>
                    <w:t>4</w:t>
                  </w:r>
                </w:p>
              </w:tc>
            </w:tr>
            <w:tr w14:paraId="6EA4C2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2837" w:type="dxa"/>
                  <w:vMerge w:val="continue"/>
                  <w:tcBorders>
                    <w:bottom w:val="single" w:color="auto" w:sz="4" w:space="0"/>
                    <w:right w:val="single" w:color="auto" w:sz="4" w:space="0"/>
                  </w:tcBorders>
                  <w:vAlign w:val="center"/>
                </w:tcPr>
                <w:p w14:paraId="39BD4A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val="en-US" w:eastAsia="zh-CN"/>
                    </w:rPr>
                  </w:pPr>
                </w:p>
              </w:tc>
              <w:tc>
                <w:tcPr>
                  <w:tcW w:w="2838" w:type="dxa"/>
                  <w:tcBorders>
                    <w:top w:val="single" w:color="auto" w:sz="4" w:space="0"/>
                    <w:left w:val="single" w:color="auto" w:sz="4" w:space="0"/>
                    <w:bottom w:val="single" w:color="auto" w:sz="4" w:space="0"/>
                    <w:right w:val="single" w:color="auto" w:sz="4" w:space="0"/>
                  </w:tcBorders>
                  <w:vAlign w:val="center"/>
                </w:tcPr>
                <w:p w14:paraId="273584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1h平均</w:t>
                  </w:r>
                </w:p>
              </w:tc>
              <w:tc>
                <w:tcPr>
                  <w:tcW w:w="2838" w:type="dxa"/>
                  <w:tcBorders>
                    <w:top w:val="single" w:color="auto" w:sz="4" w:space="0"/>
                    <w:left w:val="single" w:color="auto" w:sz="4" w:space="0"/>
                    <w:bottom w:val="single" w:color="auto" w:sz="4" w:space="0"/>
                  </w:tcBorders>
                  <w:vAlign w:val="center"/>
                </w:tcPr>
                <w:p w14:paraId="58E791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10</w:t>
                  </w:r>
                </w:p>
              </w:tc>
            </w:tr>
            <w:tr w14:paraId="37185B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37" w:type="dxa"/>
                  <w:tcBorders>
                    <w:top w:val="single" w:color="auto" w:sz="4" w:space="0"/>
                    <w:bottom w:val="single" w:color="auto" w:sz="4" w:space="0"/>
                    <w:right w:val="single" w:color="auto" w:sz="4" w:space="0"/>
                  </w:tcBorders>
                  <w:vAlign w:val="center"/>
                </w:tcPr>
                <w:p w14:paraId="25D154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NH</w:t>
                  </w:r>
                  <w:r>
                    <w:rPr>
                      <w:rFonts w:hint="eastAsia" w:cs="Times New Roman"/>
                      <w:color w:val="auto"/>
                      <w:highlight w:val="none"/>
                      <w:vertAlign w:val="subscript"/>
                      <w:lang w:val="en-US" w:eastAsia="zh-CN"/>
                    </w:rPr>
                    <w:t>3</w:t>
                  </w:r>
                </w:p>
              </w:tc>
              <w:tc>
                <w:tcPr>
                  <w:tcW w:w="2838" w:type="dxa"/>
                  <w:tcBorders>
                    <w:top w:val="single" w:color="auto" w:sz="4" w:space="0"/>
                    <w:left w:val="single" w:color="auto" w:sz="4" w:space="0"/>
                    <w:bottom w:val="single" w:color="auto" w:sz="4" w:space="0"/>
                    <w:right w:val="single" w:color="auto" w:sz="4" w:space="0"/>
                  </w:tcBorders>
                  <w:vAlign w:val="center"/>
                </w:tcPr>
                <w:p w14:paraId="22DF07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1h平均</w:t>
                  </w:r>
                </w:p>
              </w:tc>
              <w:tc>
                <w:tcPr>
                  <w:tcW w:w="2838" w:type="dxa"/>
                  <w:tcBorders>
                    <w:top w:val="single" w:color="auto" w:sz="4" w:space="0"/>
                    <w:left w:val="single" w:color="auto" w:sz="4" w:space="0"/>
                    <w:bottom w:val="single" w:color="auto" w:sz="4" w:space="0"/>
                  </w:tcBorders>
                  <w:vAlign w:val="center"/>
                </w:tcPr>
                <w:p w14:paraId="189217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0.2</w:t>
                  </w:r>
                </w:p>
              </w:tc>
            </w:tr>
            <w:tr w14:paraId="34ADE7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37" w:type="dxa"/>
                  <w:tcBorders>
                    <w:top w:val="single" w:color="auto" w:sz="4" w:space="0"/>
                    <w:bottom w:val="single" w:color="auto" w:sz="4" w:space="0"/>
                    <w:right w:val="single" w:color="auto" w:sz="4" w:space="0"/>
                  </w:tcBorders>
                  <w:vAlign w:val="center"/>
                </w:tcPr>
                <w:p w14:paraId="157D93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H</w:t>
                  </w:r>
                  <w:r>
                    <w:rPr>
                      <w:rFonts w:hint="eastAsia" w:cs="Times New Roman"/>
                      <w:color w:val="auto"/>
                      <w:highlight w:val="none"/>
                      <w:vertAlign w:val="subscript"/>
                      <w:lang w:val="en-US" w:eastAsia="zh-CN"/>
                    </w:rPr>
                    <w:t>2</w:t>
                  </w:r>
                  <w:r>
                    <w:rPr>
                      <w:rFonts w:hint="eastAsia" w:cs="Times New Roman"/>
                      <w:color w:val="auto"/>
                      <w:highlight w:val="none"/>
                      <w:lang w:val="en-US" w:eastAsia="zh-CN"/>
                    </w:rPr>
                    <w:t>S</w:t>
                  </w:r>
                </w:p>
              </w:tc>
              <w:tc>
                <w:tcPr>
                  <w:tcW w:w="2838" w:type="dxa"/>
                  <w:tcBorders>
                    <w:top w:val="single" w:color="auto" w:sz="4" w:space="0"/>
                    <w:left w:val="single" w:color="auto" w:sz="4" w:space="0"/>
                    <w:bottom w:val="single" w:color="auto" w:sz="4" w:space="0"/>
                    <w:right w:val="single" w:color="auto" w:sz="4" w:space="0"/>
                  </w:tcBorders>
                  <w:vAlign w:val="center"/>
                </w:tcPr>
                <w:p w14:paraId="42FE9E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eastAsia="zh-CN"/>
                    </w:rPr>
                  </w:pPr>
                  <w:r>
                    <w:rPr>
                      <w:rFonts w:hint="eastAsia" w:cs="Times New Roman"/>
                      <w:color w:val="auto"/>
                      <w:highlight w:val="none"/>
                      <w:lang w:val="en-US" w:eastAsia="zh-CN"/>
                    </w:rPr>
                    <w:t>1h平均</w:t>
                  </w:r>
                </w:p>
              </w:tc>
              <w:tc>
                <w:tcPr>
                  <w:tcW w:w="2838" w:type="dxa"/>
                  <w:tcBorders>
                    <w:top w:val="single" w:color="auto" w:sz="4" w:space="0"/>
                    <w:left w:val="single" w:color="auto" w:sz="4" w:space="0"/>
                    <w:bottom w:val="single" w:color="auto" w:sz="4" w:space="0"/>
                  </w:tcBorders>
                  <w:vAlign w:val="center"/>
                </w:tcPr>
                <w:p w14:paraId="3280D2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0.01</w:t>
                  </w:r>
                </w:p>
              </w:tc>
            </w:tr>
          </w:tbl>
          <w:p w14:paraId="66140AFE">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、声环境：</w:t>
            </w:r>
            <w:r>
              <w:rPr>
                <w:rFonts w:hint="eastAsia" w:cs="Times New Roman"/>
                <w:color w:val="auto"/>
                <w:sz w:val="24"/>
                <w:szCs w:val="24"/>
                <w:highlight w:val="none"/>
                <w:lang w:eastAsia="zh-CN"/>
              </w:rPr>
              <w:t>本项目所在区域为居住、商业混杂区，根据声环境功能区分类标准，</w:t>
            </w:r>
            <w:r>
              <w:rPr>
                <w:rFonts w:hint="default" w:ascii="Times New Roman" w:hAnsi="Times New Roman" w:cs="Times New Roman"/>
                <w:color w:val="auto"/>
                <w:sz w:val="24"/>
                <w:szCs w:val="24"/>
                <w:highlight w:val="none"/>
              </w:rPr>
              <w:t>执行《声环境质量标准》（GB3096—2008）</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类标准，（昼间</w:t>
            </w:r>
            <w:r>
              <w:rPr>
                <w:rFonts w:hint="eastAsia" w:cs="Times New Roman"/>
                <w:color w:val="auto"/>
                <w:sz w:val="24"/>
                <w:szCs w:val="24"/>
                <w:highlight w:val="none"/>
                <w:lang w:val="en-US" w:eastAsia="zh-CN"/>
              </w:rPr>
              <w:t>60</w:t>
            </w:r>
            <w:r>
              <w:rPr>
                <w:rFonts w:hint="default" w:ascii="Times New Roman" w:hAnsi="Times New Roman" w:cs="Times New Roman"/>
                <w:color w:val="auto"/>
                <w:sz w:val="24"/>
                <w:szCs w:val="24"/>
                <w:highlight w:val="none"/>
              </w:rPr>
              <w:t>dB，夜间</w:t>
            </w:r>
            <w:r>
              <w:rPr>
                <w:rFonts w:hint="eastAsia" w:cs="Times New Roman"/>
                <w:color w:val="auto"/>
                <w:sz w:val="24"/>
                <w:szCs w:val="24"/>
                <w:highlight w:val="none"/>
                <w:lang w:val="en-US" w:eastAsia="zh-CN"/>
              </w:rPr>
              <w:t>50</w:t>
            </w:r>
            <w:r>
              <w:rPr>
                <w:rFonts w:hint="default" w:ascii="Times New Roman" w:hAnsi="Times New Roman" w:cs="Times New Roman"/>
                <w:color w:val="auto"/>
                <w:sz w:val="24"/>
                <w:szCs w:val="24"/>
                <w:highlight w:val="none"/>
              </w:rPr>
              <w:t>dB）</w:t>
            </w:r>
            <w:r>
              <w:rPr>
                <w:rFonts w:hint="eastAsia" w:cs="Times New Roman"/>
                <w:color w:val="auto"/>
                <w:sz w:val="24"/>
                <w:szCs w:val="24"/>
                <w:highlight w:val="none"/>
                <w:lang w:eastAsia="zh-CN"/>
              </w:rPr>
              <w:t>，项目南侧临路，</w:t>
            </w:r>
            <w:r>
              <w:rPr>
                <w:rFonts w:hint="default" w:ascii="Times New Roman" w:hAnsi="Times New Roman" w:cs="Times New Roman"/>
                <w:color w:val="auto"/>
                <w:sz w:val="24"/>
                <w:szCs w:val="24"/>
                <w:highlight w:val="none"/>
              </w:rPr>
              <w:t>执行4a类标准（昼</w:t>
            </w:r>
            <w:r>
              <w:rPr>
                <w:rFonts w:hint="eastAsia" w:cs="Times New Roman"/>
                <w:color w:val="auto"/>
                <w:sz w:val="24"/>
                <w:szCs w:val="24"/>
                <w:highlight w:val="none"/>
                <w:lang w:eastAsia="zh-CN"/>
              </w:rPr>
              <w:t>间</w:t>
            </w:r>
            <w:r>
              <w:rPr>
                <w:rFonts w:hint="default" w:ascii="Times New Roman" w:hAnsi="Times New Roman" w:cs="Times New Roman"/>
                <w:color w:val="auto"/>
                <w:sz w:val="24"/>
                <w:szCs w:val="24"/>
                <w:highlight w:val="none"/>
              </w:rPr>
              <w:t>70dB，夜间55dB）。</w:t>
            </w:r>
          </w:p>
        </w:tc>
      </w:tr>
      <w:tr w14:paraId="5158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7A88D119">
            <w:pPr>
              <w:spacing w:line="360" w:lineRule="auto"/>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污染物排放标准</w:t>
            </w:r>
          </w:p>
        </w:tc>
        <w:tc>
          <w:tcPr>
            <w:tcW w:w="8959" w:type="dxa"/>
            <w:vAlign w:val="center"/>
          </w:tcPr>
          <w:p w14:paraId="7C7B468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both"/>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1、大气：</w:t>
            </w:r>
          </w:p>
          <w:p w14:paraId="5038317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施工期</w:t>
            </w:r>
          </w:p>
          <w:p w14:paraId="392C0AB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该项目施工期扬尘执行</w:t>
            </w:r>
            <w:r>
              <w:rPr>
                <w:rFonts w:hint="default" w:ascii="Times New Roman" w:hAnsi="Times New Roman" w:cs="Times New Roman"/>
                <w:color w:val="auto"/>
                <w:sz w:val="24"/>
                <w:highlight w:val="none"/>
                <w:lang w:eastAsia="zh-CN"/>
              </w:rPr>
              <w:t>《施工及堆料场地扬尘排放标准》</w:t>
            </w:r>
            <w:r>
              <w:rPr>
                <w:rFonts w:hint="default" w:ascii="Times New Roman" w:hAnsi="Times New Roman" w:cs="Times New Roman"/>
                <w:color w:val="auto"/>
                <w:sz w:val="24"/>
                <w:highlight w:val="none"/>
              </w:rPr>
              <w:t>DB21/2642-2016</w:t>
            </w:r>
            <w:r>
              <w:rPr>
                <w:rFonts w:hint="default" w:ascii="Times New Roman" w:hAnsi="Times New Roman" w:cs="Times New Roman"/>
                <w:color w:val="auto"/>
                <w:sz w:val="24"/>
                <w:highlight w:val="none"/>
                <w:lang w:eastAsia="zh-CN"/>
              </w:rPr>
              <w:t>表</w:t>
            </w:r>
            <w:r>
              <w:rPr>
                <w:rFonts w:hint="default" w:ascii="Times New Roman" w:hAnsi="Times New Roman" w:cs="Times New Roman"/>
                <w:color w:val="auto"/>
                <w:sz w:val="24"/>
                <w:highlight w:val="none"/>
                <w:lang w:val="en-US" w:eastAsia="zh-CN"/>
              </w:rPr>
              <w:t>1中城镇建成区扬尘排放浓度限值</w:t>
            </w:r>
            <w:r>
              <w:rPr>
                <w:rFonts w:hint="default" w:ascii="Times New Roman" w:hAnsi="Times New Roman" w:cs="Times New Roman"/>
                <w:color w:val="auto"/>
                <w:sz w:val="24"/>
                <w:highlight w:val="none"/>
              </w:rPr>
              <w:t>，详见</w:t>
            </w:r>
            <w:r>
              <w:rPr>
                <w:rFonts w:hint="eastAsia" w:cs="Times New Roman"/>
                <w:color w:val="auto"/>
                <w:sz w:val="24"/>
                <w:highlight w:val="none"/>
                <w:lang w:eastAsia="zh-CN"/>
              </w:rPr>
              <w:t>下表</w:t>
            </w:r>
            <w:r>
              <w:rPr>
                <w:rFonts w:hint="default" w:ascii="Times New Roman" w:hAnsi="Times New Roman" w:cs="Times New Roman"/>
                <w:color w:val="auto"/>
                <w:sz w:val="24"/>
                <w:highlight w:val="none"/>
              </w:rPr>
              <w:t>。</w:t>
            </w:r>
          </w:p>
          <w:p w14:paraId="5C2B2F5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both"/>
              <w:textAlignment w:val="auto"/>
              <w:outlineLvl w:val="9"/>
              <w:rPr>
                <w:rFonts w:hint="default" w:ascii="Times New Roman" w:hAnsi="Times New Roman" w:cs="Times New Roman"/>
                <w:b/>
                <w:color w:val="auto"/>
                <w:sz w:val="21"/>
                <w:szCs w:val="21"/>
                <w:highlight w:val="none"/>
                <w:vertAlign w:val="superscript"/>
              </w:rPr>
            </w:pPr>
            <w:r>
              <w:rPr>
                <w:rFonts w:hint="default" w:ascii="Times New Roman" w:hAnsi="Times New Roman" w:eastAsia="宋体" w:cs="Times New Roman"/>
                <w:b/>
                <w:bCs/>
                <w:color w:val="auto"/>
                <w:sz w:val="21"/>
                <w:szCs w:val="21"/>
                <w:highlight w:val="none"/>
                <w:lang w:eastAsia="zh-CN"/>
              </w:rPr>
              <w:t>表</w:t>
            </w:r>
            <w:r>
              <w:rPr>
                <w:rFonts w:hint="default" w:ascii="Times New Roman" w:hAnsi="Times New Roman" w:eastAsia="宋体" w:cs="Times New Roman"/>
                <w:b/>
                <w:bCs/>
                <w:color w:val="auto"/>
                <w:sz w:val="21"/>
                <w:szCs w:val="21"/>
                <w:highlight w:val="none"/>
                <w:lang w:val="en-US" w:eastAsia="zh-CN"/>
              </w:rPr>
              <w:t>1</w:t>
            </w:r>
            <w:r>
              <w:rPr>
                <w:rFonts w:hint="eastAsia"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 xml:space="preserve"> </w:t>
            </w:r>
            <w:r>
              <w:rPr>
                <w:rFonts w:hint="eastAsia" w:cs="Times New Roman"/>
                <w:b/>
                <w:bCs/>
                <w:color w:val="auto"/>
                <w:sz w:val="21"/>
                <w:szCs w:val="21"/>
                <w:highlight w:val="none"/>
                <w:lang w:val="en-US" w:eastAsia="zh-CN"/>
              </w:rPr>
              <w:t xml:space="preserve">                             </w:t>
            </w:r>
            <w:r>
              <w:rPr>
                <w:rFonts w:hint="default" w:ascii="Times New Roman" w:hAnsi="Times New Roman" w:eastAsia="宋体" w:cs="Times New Roman"/>
                <w:b/>
                <w:bCs/>
                <w:color w:val="auto"/>
                <w:sz w:val="21"/>
                <w:szCs w:val="21"/>
                <w:highlight w:val="none"/>
                <w:lang w:val="en-US" w:eastAsia="zh-CN"/>
              </w:rPr>
              <w:t xml:space="preserve">扬尘排放浓度限值 </w:t>
            </w:r>
            <w:r>
              <w:rPr>
                <w:rFonts w:hint="eastAsia" w:cs="Times New Roman"/>
                <w:b/>
                <w:bCs/>
                <w:color w:val="auto"/>
                <w:sz w:val="21"/>
                <w:szCs w:val="21"/>
                <w:highlight w:val="none"/>
                <w:lang w:val="en-US" w:eastAsia="zh-CN"/>
              </w:rPr>
              <w:t xml:space="preserve">                     </w:t>
            </w:r>
            <w:r>
              <w:rPr>
                <w:rFonts w:hint="default" w:ascii="Times New Roman" w:hAnsi="Times New Roman" w:cs="Times New Roman"/>
                <w:b/>
                <w:color w:val="auto"/>
                <w:sz w:val="21"/>
                <w:szCs w:val="21"/>
                <w:highlight w:val="none"/>
              </w:rPr>
              <w:t>单位：mg/m</w:t>
            </w:r>
            <w:r>
              <w:rPr>
                <w:rFonts w:hint="default" w:ascii="Times New Roman" w:hAnsi="Times New Roman" w:cs="Times New Roman"/>
                <w:b/>
                <w:color w:val="auto"/>
                <w:sz w:val="21"/>
                <w:szCs w:val="21"/>
                <w:highlight w:val="none"/>
                <w:vertAlign w:val="superscript"/>
              </w:rPr>
              <w:t>3</w:t>
            </w:r>
          </w:p>
          <w:tbl>
            <w:tblPr>
              <w:tblStyle w:val="25"/>
              <w:tblW w:w="874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65"/>
              <w:gridCol w:w="2151"/>
              <w:gridCol w:w="4627"/>
            </w:tblGrid>
            <w:tr w14:paraId="43BD11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965" w:type="dxa"/>
                  <w:tcBorders>
                    <w:tl2br w:val="nil"/>
                    <w:tr2bl w:val="nil"/>
                  </w:tcBorders>
                  <w:vAlign w:val="center"/>
                </w:tcPr>
                <w:p w14:paraId="7710F33B">
                  <w:pPr>
                    <w:pStyle w:val="31"/>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监测项目</w:t>
                  </w:r>
                </w:p>
              </w:tc>
              <w:tc>
                <w:tcPr>
                  <w:tcW w:w="2151" w:type="dxa"/>
                  <w:tcBorders>
                    <w:tl2br w:val="nil"/>
                    <w:tr2bl w:val="nil"/>
                  </w:tcBorders>
                  <w:vAlign w:val="center"/>
                </w:tcPr>
                <w:p w14:paraId="3E380706">
                  <w:pPr>
                    <w:pStyle w:val="31"/>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区域</w:t>
                  </w:r>
                </w:p>
              </w:tc>
              <w:tc>
                <w:tcPr>
                  <w:tcW w:w="4627" w:type="dxa"/>
                  <w:tcBorders>
                    <w:tl2br w:val="nil"/>
                    <w:tr2bl w:val="nil"/>
                  </w:tcBorders>
                  <w:vAlign w:val="center"/>
                </w:tcPr>
                <w:p w14:paraId="26F8A7C8">
                  <w:pPr>
                    <w:pStyle w:val="31"/>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浓度限值（连续 5 min 平均浓度）</w:t>
                  </w:r>
                </w:p>
              </w:tc>
            </w:tr>
            <w:tr w14:paraId="5E9FE0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965" w:type="dxa"/>
                  <w:tcBorders>
                    <w:tl2br w:val="nil"/>
                    <w:tr2bl w:val="nil"/>
                  </w:tcBorders>
                  <w:vAlign w:val="center"/>
                </w:tcPr>
                <w:p w14:paraId="76A104B3">
                  <w:pPr>
                    <w:pStyle w:val="31"/>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颗粒物</w:t>
                  </w:r>
                </w:p>
              </w:tc>
              <w:tc>
                <w:tcPr>
                  <w:tcW w:w="2151" w:type="dxa"/>
                  <w:tcBorders>
                    <w:tl2br w:val="nil"/>
                    <w:tr2bl w:val="nil"/>
                  </w:tcBorders>
                  <w:vAlign w:val="center"/>
                </w:tcPr>
                <w:p w14:paraId="36578BB9">
                  <w:pPr>
                    <w:pStyle w:val="31"/>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val="en-US" w:eastAsia="zh-CN"/>
                    </w:rPr>
                    <w:t>城镇建成区</w:t>
                  </w:r>
                </w:p>
              </w:tc>
              <w:tc>
                <w:tcPr>
                  <w:tcW w:w="4627" w:type="dxa"/>
                  <w:tcBorders>
                    <w:tl2br w:val="nil"/>
                    <w:tr2bl w:val="nil"/>
                  </w:tcBorders>
                  <w:vAlign w:val="center"/>
                </w:tcPr>
                <w:p w14:paraId="0544FC6C">
                  <w:pPr>
                    <w:pStyle w:val="31"/>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0.8</w:t>
                  </w:r>
                </w:p>
              </w:tc>
            </w:tr>
          </w:tbl>
          <w:p w14:paraId="0211E5A1">
            <w:pPr>
              <w:adjustRightInd w:val="0"/>
              <w:snapToGrid w:val="0"/>
              <w:spacing w:line="360" w:lineRule="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 xml:space="preserve">    营运期</w:t>
            </w:r>
          </w:p>
          <w:p w14:paraId="5EE3AC41">
            <w:pPr>
              <w:adjustRightInd w:val="0"/>
              <w:snapToGrid w:val="0"/>
              <w:spacing w:line="360" w:lineRule="auto"/>
              <w:ind w:firstLine="480" w:firstLineChars="200"/>
              <w:rPr>
                <w:rFonts w:hint="eastAsia"/>
                <w:color w:val="auto"/>
                <w:sz w:val="24"/>
                <w:highlight w:val="none"/>
              </w:rPr>
            </w:pPr>
            <w:r>
              <w:rPr>
                <w:rFonts w:hint="eastAsia"/>
                <w:color w:val="auto"/>
                <w:sz w:val="24"/>
                <w:highlight w:val="none"/>
              </w:rPr>
              <w:t>污水处理站周边大气污染物排放标准执行</w:t>
            </w:r>
            <w:r>
              <w:rPr>
                <w:color w:val="auto"/>
                <w:sz w:val="24"/>
                <w:highlight w:val="none"/>
              </w:rPr>
              <w:t>《</w:t>
            </w:r>
            <w:r>
              <w:rPr>
                <w:rFonts w:hint="eastAsia"/>
                <w:color w:val="auto"/>
                <w:sz w:val="24"/>
                <w:highlight w:val="none"/>
              </w:rPr>
              <w:t>医疗机构水污染物排放</w:t>
            </w:r>
            <w:r>
              <w:rPr>
                <w:color w:val="auto"/>
                <w:sz w:val="24"/>
                <w:highlight w:val="none"/>
              </w:rPr>
              <w:t>标准》（</w:t>
            </w:r>
            <w:r>
              <w:rPr>
                <w:rFonts w:hint="eastAsia"/>
                <w:color w:val="auto"/>
                <w:sz w:val="24"/>
                <w:highlight w:val="none"/>
              </w:rPr>
              <w:t>GB18466-2005</w:t>
            </w:r>
            <w:r>
              <w:rPr>
                <w:color w:val="auto"/>
                <w:sz w:val="24"/>
                <w:highlight w:val="none"/>
              </w:rPr>
              <w:t>）</w:t>
            </w:r>
            <w:r>
              <w:rPr>
                <w:rFonts w:hint="eastAsia"/>
                <w:color w:val="auto"/>
                <w:sz w:val="24"/>
                <w:highlight w:val="none"/>
              </w:rPr>
              <w:t>要求中“污水处理站周边大气污染物最高允许浓度”标准，见</w:t>
            </w:r>
            <w:r>
              <w:rPr>
                <w:rFonts w:hint="eastAsia"/>
                <w:color w:val="auto"/>
                <w:sz w:val="24"/>
                <w:highlight w:val="none"/>
                <w:lang w:eastAsia="zh-CN"/>
              </w:rPr>
              <w:t>下表</w:t>
            </w:r>
            <w:r>
              <w:rPr>
                <w:rFonts w:hint="eastAsia"/>
                <w:color w:val="auto"/>
                <w:sz w:val="24"/>
                <w:highlight w:val="none"/>
              </w:rPr>
              <w:t>。</w:t>
            </w:r>
          </w:p>
          <w:p w14:paraId="1620248E">
            <w:pPr>
              <w:adjustRightInd w:val="0"/>
              <w:snapToGrid w:val="0"/>
              <w:spacing w:line="360" w:lineRule="auto"/>
              <w:jc w:val="both"/>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表</w:t>
            </w:r>
            <w:r>
              <w:rPr>
                <w:rFonts w:hint="eastAsia" w:cs="Times New Roman"/>
                <w:b/>
                <w:color w:val="auto"/>
                <w:szCs w:val="21"/>
                <w:highlight w:val="none"/>
                <w:lang w:val="en-US" w:eastAsia="zh-CN"/>
              </w:rPr>
              <w:t>13</w:t>
            </w:r>
            <w:r>
              <w:rPr>
                <w:rFonts w:hint="default" w:ascii="Times New Roman" w:hAnsi="Times New Roman" w:eastAsia="宋体" w:cs="Times New Roman"/>
                <w:b/>
                <w:color w:val="auto"/>
                <w:szCs w:val="21"/>
                <w:highlight w:val="none"/>
              </w:rPr>
              <w:t xml:space="preserve"> </w:t>
            </w:r>
            <w:r>
              <w:rPr>
                <w:rFonts w:hint="eastAsia" w:cs="Times New Roman"/>
                <w:b/>
                <w:color w:val="auto"/>
                <w:szCs w:val="21"/>
                <w:highlight w:val="none"/>
                <w:lang w:val="en-US" w:eastAsia="zh-CN"/>
              </w:rPr>
              <w:t xml:space="preserve">                   </w:t>
            </w:r>
            <w:r>
              <w:rPr>
                <w:rFonts w:hint="default" w:ascii="Times New Roman" w:hAnsi="Times New Roman" w:eastAsia="宋体" w:cs="Times New Roman"/>
                <w:b/>
                <w:color w:val="auto"/>
                <w:szCs w:val="21"/>
                <w:highlight w:val="none"/>
              </w:rPr>
              <w:t>污水处理站周边大气污染物最高允许浓度</w:t>
            </w:r>
          </w:p>
          <w:tbl>
            <w:tblPr>
              <w:tblStyle w:val="24"/>
              <w:tblW w:w="838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06"/>
              <w:gridCol w:w="5482"/>
            </w:tblGrid>
            <w:tr w14:paraId="117CAE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2906" w:type="dxa"/>
                  <w:tcBorders>
                    <w:tl2br w:val="nil"/>
                    <w:tr2bl w:val="nil"/>
                  </w:tcBorders>
                  <w:vAlign w:val="center"/>
                </w:tcPr>
                <w:p w14:paraId="5B5C9E63">
                  <w:pPr>
                    <w:adjustRightInd w:val="0"/>
                    <w:snapToGrid w:val="0"/>
                    <w:spacing w:line="360" w:lineRule="auto"/>
                    <w:jc w:val="center"/>
                    <w:rPr>
                      <w:rFonts w:hint="default" w:ascii="Times New Roman" w:hAnsi="Times New Roman" w:eastAsia="宋体" w:cs="Times New Roman"/>
                      <w:b w:val="0"/>
                      <w:bCs/>
                      <w:color w:val="auto"/>
                      <w:szCs w:val="21"/>
                      <w:highlight w:val="none"/>
                    </w:rPr>
                  </w:pPr>
                  <w:r>
                    <w:rPr>
                      <w:rFonts w:hint="eastAsia" w:ascii="Times New Roman" w:hAnsi="Times New Roman" w:eastAsia="宋体" w:cs="Times New Roman"/>
                      <w:b w:val="0"/>
                      <w:bCs/>
                      <w:color w:val="auto"/>
                      <w:szCs w:val="21"/>
                      <w:highlight w:val="none"/>
                    </w:rPr>
                    <w:t>控制项目</w:t>
                  </w:r>
                </w:p>
              </w:tc>
              <w:tc>
                <w:tcPr>
                  <w:tcW w:w="5482" w:type="dxa"/>
                  <w:tcBorders>
                    <w:tl2br w:val="nil"/>
                    <w:tr2bl w:val="nil"/>
                  </w:tcBorders>
                  <w:vAlign w:val="center"/>
                </w:tcPr>
                <w:p w14:paraId="20D4D5B3">
                  <w:pPr>
                    <w:adjustRightInd w:val="0"/>
                    <w:snapToGrid w:val="0"/>
                    <w:spacing w:line="360" w:lineRule="auto"/>
                    <w:jc w:val="center"/>
                    <w:rPr>
                      <w:rFonts w:hint="default" w:ascii="Times New Roman" w:hAnsi="Times New Roman" w:eastAsia="宋体" w:cs="Times New Roman"/>
                      <w:b w:val="0"/>
                      <w:bCs/>
                      <w:color w:val="auto"/>
                      <w:szCs w:val="21"/>
                      <w:highlight w:val="none"/>
                    </w:rPr>
                  </w:pPr>
                  <w:r>
                    <w:rPr>
                      <w:rFonts w:hint="eastAsia" w:ascii="Times New Roman" w:hAnsi="Times New Roman" w:eastAsia="宋体" w:cs="Times New Roman"/>
                      <w:b w:val="0"/>
                      <w:bCs/>
                      <w:color w:val="auto"/>
                      <w:szCs w:val="21"/>
                      <w:highlight w:val="none"/>
                    </w:rPr>
                    <w:t>标准值</w:t>
                  </w:r>
                </w:p>
              </w:tc>
            </w:tr>
            <w:tr w14:paraId="32F297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2906" w:type="dxa"/>
                  <w:tcBorders>
                    <w:tl2br w:val="nil"/>
                    <w:tr2bl w:val="nil"/>
                  </w:tcBorders>
                  <w:vAlign w:val="center"/>
                </w:tcPr>
                <w:p w14:paraId="0463011E">
                  <w:pPr>
                    <w:adjustRightInd w:val="0"/>
                    <w:snapToGrid w:val="0"/>
                    <w:spacing w:line="360" w:lineRule="auto"/>
                    <w:jc w:val="center"/>
                    <w:rPr>
                      <w:rFonts w:hint="default" w:ascii="Times New Roman" w:hAnsi="Times New Roman" w:eastAsia="宋体" w:cs="Times New Roman"/>
                      <w:b w:val="0"/>
                      <w:bCs/>
                      <w:color w:val="auto"/>
                      <w:szCs w:val="21"/>
                      <w:highlight w:val="none"/>
                    </w:rPr>
                  </w:pPr>
                  <w:r>
                    <w:rPr>
                      <w:rFonts w:hint="eastAsia" w:ascii="Times New Roman" w:hAnsi="Times New Roman" w:eastAsia="宋体" w:cs="Times New Roman"/>
                      <w:b w:val="0"/>
                      <w:bCs/>
                      <w:color w:val="auto"/>
                      <w:szCs w:val="21"/>
                      <w:highlight w:val="none"/>
                    </w:rPr>
                    <w:t>臭气浓度(无量纲)</w:t>
                  </w:r>
                </w:p>
              </w:tc>
              <w:tc>
                <w:tcPr>
                  <w:tcW w:w="5482" w:type="dxa"/>
                  <w:tcBorders>
                    <w:tl2br w:val="nil"/>
                    <w:tr2bl w:val="nil"/>
                  </w:tcBorders>
                  <w:vAlign w:val="center"/>
                </w:tcPr>
                <w:p w14:paraId="69084884">
                  <w:pPr>
                    <w:adjustRightInd w:val="0"/>
                    <w:snapToGrid w:val="0"/>
                    <w:spacing w:line="360" w:lineRule="auto"/>
                    <w:jc w:val="center"/>
                    <w:rPr>
                      <w:rFonts w:hint="default" w:ascii="Times New Roman" w:hAnsi="Times New Roman" w:eastAsia="宋体" w:cs="Times New Roman"/>
                      <w:b w:val="0"/>
                      <w:bCs/>
                      <w:color w:val="auto"/>
                      <w:szCs w:val="21"/>
                      <w:highlight w:val="none"/>
                    </w:rPr>
                  </w:pPr>
                  <w:r>
                    <w:rPr>
                      <w:rFonts w:hint="eastAsia" w:ascii="Times New Roman" w:hAnsi="Times New Roman" w:eastAsia="宋体" w:cs="Times New Roman"/>
                      <w:b w:val="0"/>
                      <w:bCs/>
                      <w:color w:val="auto"/>
                      <w:szCs w:val="21"/>
                      <w:highlight w:val="none"/>
                    </w:rPr>
                    <w:t>10</w:t>
                  </w:r>
                </w:p>
              </w:tc>
            </w:tr>
            <w:tr w14:paraId="36488E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2906" w:type="dxa"/>
                  <w:tcBorders>
                    <w:tl2br w:val="nil"/>
                    <w:tr2bl w:val="nil"/>
                  </w:tcBorders>
                  <w:vAlign w:val="center"/>
                </w:tcPr>
                <w:p w14:paraId="72A547BA">
                  <w:pPr>
                    <w:adjustRightInd w:val="0"/>
                    <w:snapToGrid w:val="0"/>
                    <w:spacing w:line="360" w:lineRule="auto"/>
                    <w:jc w:val="center"/>
                    <w:rPr>
                      <w:rFonts w:hint="eastAsia" w:ascii="Times New Roman" w:hAnsi="Times New Roman" w:eastAsia="宋体" w:cs="Times New Roman"/>
                      <w:b w:val="0"/>
                      <w:bCs/>
                      <w:color w:val="auto"/>
                      <w:szCs w:val="21"/>
                      <w:highlight w:val="none"/>
                      <w:lang w:eastAsia="zh-CN"/>
                    </w:rPr>
                  </w:pPr>
                  <w:r>
                    <w:rPr>
                      <w:rFonts w:hint="eastAsia" w:cs="Times New Roman"/>
                      <w:b w:val="0"/>
                      <w:bCs/>
                      <w:color w:val="auto"/>
                      <w:szCs w:val="21"/>
                      <w:highlight w:val="none"/>
                      <w:lang w:eastAsia="zh-CN"/>
                    </w:rPr>
                    <w:t>氨</w:t>
                  </w:r>
                </w:p>
              </w:tc>
              <w:tc>
                <w:tcPr>
                  <w:tcW w:w="5482" w:type="dxa"/>
                  <w:tcBorders>
                    <w:tl2br w:val="nil"/>
                    <w:tr2bl w:val="nil"/>
                  </w:tcBorders>
                  <w:vAlign w:val="center"/>
                </w:tcPr>
                <w:p w14:paraId="7570C37B">
                  <w:pPr>
                    <w:adjustRightInd w:val="0"/>
                    <w:snapToGrid w:val="0"/>
                    <w:spacing w:line="360" w:lineRule="auto"/>
                    <w:jc w:val="center"/>
                    <w:rPr>
                      <w:rFonts w:hint="eastAsia"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1.0（mg</w:t>
                  </w:r>
                  <w:r>
                    <w:rPr>
                      <w:rFonts w:hint="default" w:cs="Times New Roman"/>
                      <w:b w:val="0"/>
                      <w:bCs/>
                      <w:color w:val="auto"/>
                      <w:szCs w:val="21"/>
                      <w:highlight w:val="none"/>
                      <w:lang w:val="en-US" w:eastAsia="zh-CN"/>
                    </w:rPr>
                    <w:t>/m</w:t>
                  </w:r>
                  <w:r>
                    <w:rPr>
                      <w:rFonts w:hint="default" w:cs="Times New Roman"/>
                      <w:b w:val="0"/>
                      <w:bCs/>
                      <w:color w:val="auto"/>
                      <w:szCs w:val="21"/>
                      <w:highlight w:val="none"/>
                      <w:vertAlign w:val="superscript"/>
                      <w:lang w:val="en-US" w:eastAsia="zh-CN"/>
                    </w:rPr>
                    <w:t>3</w:t>
                  </w:r>
                  <w:r>
                    <w:rPr>
                      <w:rFonts w:hint="eastAsia" w:cs="Times New Roman"/>
                      <w:b w:val="0"/>
                      <w:bCs/>
                      <w:color w:val="auto"/>
                      <w:szCs w:val="21"/>
                      <w:highlight w:val="none"/>
                      <w:lang w:val="en-US" w:eastAsia="zh-CN"/>
                    </w:rPr>
                    <w:t>）</w:t>
                  </w:r>
                </w:p>
              </w:tc>
            </w:tr>
            <w:tr w14:paraId="3F697C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2906" w:type="dxa"/>
                  <w:tcBorders>
                    <w:tl2br w:val="nil"/>
                    <w:tr2bl w:val="nil"/>
                  </w:tcBorders>
                  <w:vAlign w:val="center"/>
                </w:tcPr>
                <w:p w14:paraId="538F6BF1">
                  <w:pPr>
                    <w:adjustRightInd w:val="0"/>
                    <w:snapToGrid w:val="0"/>
                    <w:spacing w:line="360" w:lineRule="auto"/>
                    <w:jc w:val="center"/>
                    <w:rPr>
                      <w:rFonts w:hint="eastAsia" w:ascii="Times New Roman" w:hAnsi="Times New Roman" w:eastAsia="宋体" w:cs="Times New Roman"/>
                      <w:b w:val="0"/>
                      <w:bCs/>
                      <w:color w:val="auto"/>
                      <w:szCs w:val="21"/>
                      <w:highlight w:val="none"/>
                      <w:lang w:eastAsia="zh-CN"/>
                    </w:rPr>
                  </w:pPr>
                  <w:r>
                    <w:rPr>
                      <w:rFonts w:hint="eastAsia" w:cs="Times New Roman"/>
                      <w:b w:val="0"/>
                      <w:bCs/>
                      <w:color w:val="auto"/>
                      <w:szCs w:val="21"/>
                      <w:highlight w:val="none"/>
                      <w:lang w:eastAsia="zh-CN"/>
                    </w:rPr>
                    <w:t>硫化氢</w:t>
                  </w:r>
                </w:p>
              </w:tc>
              <w:tc>
                <w:tcPr>
                  <w:tcW w:w="5482" w:type="dxa"/>
                  <w:tcBorders>
                    <w:tl2br w:val="nil"/>
                    <w:tr2bl w:val="nil"/>
                  </w:tcBorders>
                  <w:vAlign w:val="center"/>
                </w:tcPr>
                <w:p w14:paraId="15EE5CC2">
                  <w:pPr>
                    <w:adjustRightInd w:val="0"/>
                    <w:snapToGrid w:val="0"/>
                    <w:spacing w:line="360" w:lineRule="auto"/>
                    <w:jc w:val="center"/>
                    <w:rPr>
                      <w:rFonts w:hint="eastAsia"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0.03</w:t>
                  </w:r>
                  <w:r>
                    <w:rPr>
                      <w:rFonts w:hint="default" w:cs="Times New Roman"/>
                      <w:b w:val="0"/>
                      <w:bCs/>
                      <w:color w:val="auto"/>
                      <w:szCs w:val="21"/>
                      <w:highlight w:val="none"/>
                      <w:lang w:val="en-US" w:eastAsia="zh-CN"/>
                    </w:rPr>
                    <w:t>(</w:t>
                  </w:r>
                  <w:r>
                    <w:rPr>
                      <w:rFonts w:hint="eastAsia" w:cs="Times New Roman"/>
                      <w:b w:val="0"/>
                      <w:bCs/>
                      <w:color w:val="auto"/>
                      <w:szCs w:val="21"/>
                      <w:highlight w:val="none"/>
                      <w:lang w:val="en-US" w:eastAsia="zh-CN"/>
                    </w:rPr>
                    <w:t>mg</w:t>
                  </w:r>
                  <w:r>
                    <w:rPr>
                      <w:rFonts w:hint="default" w:cs="Times New Roman"/>
                      <w:b w:val="0"/>
                      <w:bCs/>
                      <w:color w:val="auto"/>
                      <w:szCs w:val="21"/>
                      <w:highlight w:val="none"/>
                      <w:lang w:val="en-US" w:eastAsia="zh-CN"/>
                    </w:rPr>
                    <w:t>/m</w:t>
                  </w:r>
                  <w:r>
                    <w:rPr>
                      <w:rFonts w:hint="default" w:cs="Times New Roman"/>
                      <w:b w:val="0"/>
                      <w:bCs/>
                      <w:color w:val="auto"/>
                      <w:szCs w:val="21"/>
                      <w:highlight w:val="none"/>
                      <w:vertAlign w:val="superscript"/>
                      <w:lang w:val="en-US" w:eastAsia="zh-CN"/>
                    </w:rPr>
                    <w:t>3</w:t>
                  </w:r>
                  <w:r>
                    <w:rPr>
                      <w:rFonts w:hint="default" w:cs="Times New Roman"/>
                      <w:b w:val="0"/>
                      <w:bCs/>
                      <w:color w:val="auto"/>
                      <w:szCs w:val="21"/>
                      <w:highlight w:val="none"/>
                      <w:lang w:val="en-US" w:eastAsia="zh-CN"/>
                    </w:rPr>
                    <w:t>)</w:t>
                  </w:r>
                </w:p>
              </w:tc>
            </w:tr>
          </w:tbl>
          <w:p w14:paraId="70C4480E">
            <w:pPr>
              <w:adjustRightInd w:val="0"/>
              <w:snapToGrid w:val="0"/>
              <w:spacing w:line="360" w:lineRule="auto"/>
              <w:ind w:firstLine="480" w:firstLineChars="200"/>
              <w:rPr>
                <w:rFonts w:hint="eastAsia"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中药异味执行</w:t>
            </w:r>
            <w:r>
              <w:rPr>
                <w:rFonts w:hint="eastAsia" w:cs="Times New Roman"/>
                <w:color w:val="auto"/>
                <w:sz w:val="24"/>
                <w:szCs w:val="24"/>
                <w:highlight w:val="none"/>
                <w:lang w:val="en-US" w:eastAsia="zh-CN"/>
              </w:rPr>
              <w:t>《恶臭污染物排放标准》（GB14554-93）表1恶臭污染物厂界标准值，具体如下：</w:t>
            </w:r>
          </w:p>
          <w:p w14:paraId="3ED524D8">
            <w:pPr>
              <w:adjustRightInd w:val="0"/>
              <w:snapToGrid w:val="0"/>
              <w:spacing w:line="360" w:lineRule="auto"/>
              <w:jc w:val="both"/>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表</w:t>
            </w:r>
            <w:r>
              <w:rPr>
                <w:rFonts w:hint="eastAsia" w:cs="Times New Roman"/>
                <w:b/>
                <w:color w:val="auto"/>
                <w:szCs w:val="21"/>
                <w:highlight w:val="none"/>
                <w:lang w:val="en-US" w:eastAsia="zh-CN"/>
              </w:rPr>
              <w:t>14</w:t>
            </w:r>
            <w:r>
              <w:rPr>
                <w:rFonts w:hint="default" w:ascii="Times New Roman" w:hAnsi="Times New Roman" w:eastAsia="宋体" w:cs="Times New Roman"/>
                <w:b/>
                <w:color w:val="auto"/>
                <w:szCs w:val="21"/>
                <w:highlight w:val="none"/>
              </w:rPr>
              <w:t xml:space="preserve"> </w:t>
            </w:r>
            <w:r>
              <w:rPr>
                <w:rFonts w:hint="eastAsia" w:cs="Times New Roman"/>
                <w:b/>
                <w:color w:val="auto"/>
                <w:szCs w:val="21"/>
                <w:highlight w:val="none"/>
                <w:lang w:val="en-US" w:eastAsia="zh-CN"/>
              </w:rPr>
              <w:t xml:space="preserve">                   </w:t>
            </w:r>
            <w:r>
              <w:rPr>
                <w:rFonts w:hint="default" w:ascii="Times New Roman" w:hAnsi="Times New Roman" w:eastAsia="宋体" w:cs="Times New Roman"/>
                <w:b/>
                <w:color w:val="auto"/>
                <w:szCs w:val="21"/>
                <w:highlight w:val="none"/>
              </w:rPr>
              <w:t>污水处理站周边大气污染物最高允许浓度</w:t>
            </w:r>
          </w:p>
          <w:tbl>
            <w:tblPr>
              <w:tblStyle w:val="24"/>
              <w:tblW w:w="838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06"/>
              <w:gridCol w:w="5482"/>
            </w:tblGrid>
            <w:tr w14:paraId="132F51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2906" w:type="dxa"/>
                  <w:tcBorders>
                    <w:tl2br w:val="nil"/>
                    <w:tr2bl w:val="nil"/>
                  </w:tcBorders>
                  <w:vAlign w:val="center"/>
                </w:tcPr>
                <w:p w14:paraId="5C62A447">
                  <w:pPr>
                    <w:adjustRightInd w:val="0"/>
                    <w:snapToGrid w:val="0"/>
                    <w:spacing w:line="360" w:lineRule="auto"/>
                    <w:jc w:val="center"/>
                    <w:rPr>
                      <w:rFonts w:hint="default" w:ascii="Times New Roman" w:hAnsi="Times New Roman" w:eastAsia="宋体" w:cs="Times New Roman"/>
                      <w:b w:val="0"/>
                      <w:bCs/>
                      <w:color w:val="auto"/>
                      <w:szCs w:val="21"/>
                      <w:highlight w:val="none"/>
                    </w:rPr>
                  </w:pPr>
                  <w:r>
                    <w:rPr>
                      <w:rFonts w:hint="eastAsia" w:ascii="Times New Roman" w:hAnsi="Times New Roman" w:eastAsia="宋体" w:cs="Times New Roman"/>
                      <w:b w:val="0"/>
                      <w:bCs/>
                      <w:color w:val="auto"/>
                      <w:szCs w:val="21"/>
                      <w:highlight w:val="none"/>
                    </w:rPr>
                    <w:t>控制项目</w:t>
                  </w:r>
                </w:p>
              </w:tc>
              <w:tc>
                <w:tcPr>
                  <w:tcW w:w="5482" w:type="dxa"/>
                  <w:tcBorders>
                    <w:tl2br w:val="nil"/>
                    <w:tr2bl w:val="nil"/>
                  </w:tcBorders>
                  <w:vAlign w:val="center"/>
                </w:tcPr>
                <w:p w14:paraId="44CFEF5F">
                  <w:pPr>
                    <w:adjustRightInd w:val="0"/>
                    <w:snapToGrid w:val="0"/>
                    <w:spacing w:line="360" w:lineRule="auto"/>
                    <w:jc w:val="center"/>
                    <w:rPr>
                      <w:rFonts w:hint="default" w:ascii="Times New Roman" w:hAnsi="Times New Roman" w:eastAsia="宋体" w:cs="Times New Roman"/>
                      <w:b w:val="0"/>
                      <w:bCs/>
                      <w:color w:val="auto"/>
                      <w:szCs w:val="21"/>
                      <w:highlight w:val="none"/>
                    </w:rPr>
                  </w:pPr>
                  <w:r>
                    <w:rPr>
                      <w:rFonts w:hint="eastAsia" w:ascii="Times New Roman" w:hAnsi="Times New Roman" w:eastAsia="宋体" w:cs="Times New Roman"/>
                      <w:b w:val="0"/>
                      <w:bCs/>
                      <w:color w:val="auto"/>
                      <w:szCs w:val="21"/>
                      <w:highlight w:val="none"/>
                    </w:rPr>
                    <w:t>标准值</w:t>
                  </w:r>
                </w:p>
              </w:tc>
            </w:tr>
            <w:tr w14:paraId="49713F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2906" w:type="dxa"/>
                  <w:tcBorders>
                    <w:tl2br w:val="nil"/>
                    <w:tr2bl w:val="nil"/>
                  </w:tcBorders>
                  <w:vAlign w:val="center"/>
                </w:tcPr>
                <w:p w14:paraId="07BFF1E3">
                  <w:pPr>
                    <w:adjustRightInd w:val="0"/>
                    <w:snapToGrid w:val="0"/>
                    <w:spacing w:line="360" w:lineRule="auto"/>
                    <w:jc w:val="center"/>
                    <w:rPr>
                      <w:rFonts w:hint="default" w:ascii="Times New Roman" w:hAnsi="Times New Roman" w:eastAsia="宋体" w:cs="Times New Roman"/>
                      <w:b w:val="0"/>
                      <w:bCs/>
                      <w:color w:val="auto"/>
                      <w:szCs w:val="21"/>
                      <w:highlight w:val="none"/>
                    </w:rPr>
                  </w:pPr>
                  <w:r>
                    <w:rPr>
                      <w:rFonts w:hint="eastAsia" w:ascii="Times New Roman" w:hAnsi="Times New Roman" w:eastAsia="宋体" w:cs="Times New Roman"/>
                      <w:b w:val="0"/>
                      <w:bCs/>
                      <w:color w:val="auto"/>
                      <w:szCs w:val="21"/>
                      <w:highlight w:val="none"/>
                    </w:rPr>
                    <w:t>臭气浓度(无量纲)</w:t>
                  </w:r>
                </w:p>
              </w:tc>
              <w:tc>
                <w:tcPr>
                  <w:tcW w:w="5482" w:type="dxa"/>
                  <w:tcBorders>
                    <w:tl2br w:val="nil"/>
                    <w:tr2bl w:val="nil"/>
                  </w:tcBorders>
                  <w:vAlign w:val="center"/>
                </w:tcPr>
                <w:p w14:paraId="41569801">
                  <w:pPr>
                    <w:adjustRightInd w:val="0"/>
                    <w:snapToGrid w:val="0"/>
                    <w:spacing w:line="360" w:lineRule="auto"/>
                    <w:jc w:val="center"/>
                    <w:rPr>
                      <w:rFonts w:hint="eastAsia"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20</w:t>
                  </w:r>
                </w:p>
              </w:tc>
            </w:tr>
          </w:tbl>
          <w:p w14:paraId="54ED8719">
            <w:pPr>
              <w:adjustRightInd w:val="0"/>
              <w:snapToGrid w:val="0"/>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2、噪声：</w:t>
            </w:r>
          </w:p>
          <w:p w14:paraId="6AF2D4F1">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施工期执行《建筑施工场界环境噪声排放标准》（GB12523-2011）即排放限值昼间70dB，夜间55dB；</w:t>
            </w:r>
          </w:p>
          <w:p w14:paraId="2E0D38E9">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运营期</w:t>
            </w:r>
            <w:r>
              <w:rPr>
                <w:rFonts w:hint="eastAsia" w:cs="Times New Roman"/>
                <w:color w:val="auto"/>
                <w:sz w:val="24"/>
                <w:szCs w:val="24"/>
                <w:highlight w:val="none"/>
                <w:lang w:eastAsia="zh-CN"/>
              </w:rPr>
              <w:t>院界噪声</w:t>
            </w:r>
            <w:r>
              <w:rPr>
                <w:rFonts w:hint="default" w:ascii="Times New Roman" w:hAnsi="Times New Roman" w:cs="Times New Roman"/>
                <w:color w:val="auto"/>
                <w:sz w:val="24"/>
                <w:szCs w:val="24"/>
                <w:highlight w:val="none"/>
              </w:rPr>
              <w:t>执行《工业企业厂界环境噪声排放标准》（GB12348-2008）的</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类标准，</w:t>
            </w:r>
            <w:r>
              <w:rPr>
                <w:rFonts w:hint="eastAsia" w:cs="Times New Roman"/>
                <w:color w:val="auto"/>
                <w:sz w:val="24"/>
                <w:szCs w:val="24"/>
                <w:highlight w:val="none"/>
                <w:lang w:eastAsia="zh-CN"/>
              </w:rPr>
              <w:t>南侧</w:t>
            </w:r>
            <w:r>
              <w:rPr>
                <w:rFonts w:hint="default" w:ascii="Times New Roman" w:hAnsi="Times New Roman" w:cs="Times New Roman"/>
                <w:color w:val="auto"/>
                <w:sz w:val="24"/>
                <w:szCs w:val="24"/>
                <w:highlight w:val="none"/>
              </w:rPr>
              <w:t>与道路相邻，执行4类标准。标准值见</w:t>
            </w:r>
            <w:r>
              <w:rPr>
                <w:rFonts w:hint="eastAsia" w:cs="Times New Roman"/>
                <w:color w:val="auto"/>
                <w:sz w:val="24"/>
                <w:szCs w:val="24"/>
                <w:highlight w:val="none"/>
                <w:lang w:eastAsia="zh-CN"/>
              </w:rPr>
              <w:t>下表</w:t>
            </w:r>
            <w:r>
              <w:rPr>
                <w:rFonts w:hint="default" w:ascii="Times New Roman" w:hAnsi="Times New Roman" w:cs="Times New Roman"/>
                <w:color w:val="auto"/>
                <w:sz w:val="24"/>
                <w:szCs w:val="24"/>
                <w:highlight w:val="none"/>
              </w:rPr>
              <w:t>。</w:t>
            </w:r>
          </w:p>
          <w:p w14:paraId="0FA06E9A">
            <w:pPr>
              <w:adjustRightInd w:val="0"/>
              <w:snapToGrid w:val="0"/>
              <w:spacing w:line="360" w:lineRule="auto"/>
              <w:jc w:val="both"/>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表1</w:t>
            </w:r>
            <w:r>
              <w:rPr>
                <w:rFonts w:hint="eastAsia" w:cs="Times New Roman"/>
                <w:b/>
                <w:bCs/>
                <w:color w:val="auto"/>
                <w:highlight w:val="none"/>
                <w:lang w:val="en-US" w:eastAsia="zh-CN"/>
              </w:rPr>
              <w:t xml:space="preserve">5                              </w:t>
            </w:r>
            <w:r>
              <w:rPr>
                <w:rFonts w:hint="default" w:ascii="Times New Roman" w:hAnsi="Times New Roman" w:cs="Times New Roman"/>
                <w:b/>
                <w:bCs/>
                <w:color w:val="auto"/>
                <w:highlight w:val="none"/>
              </w:rPr>
              <w:t>噪声排放标准</w:t>
            </w:r>
          </w:p>
          <w:tbl>
            <w:tblPr>
              <w:tblStyle w:val="24"/>
              <w:tblW w:w="8743"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2242"/>
              <w:gridCol w:w="1718"/>
              <w:gridCol w:w="667"/>
              <w:gridCol w:w="931"/>
              <w:gridCol w:w="667"/>
              <w:gridCol w:w="516"/>
              <w:gridCol w:w="2002"/>
            </w:tblGrid>
            <w:tr w14:paraId="52AFDD6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31" w:hRule="atLeast"/>
                <w:jc w:val="center"/>
              </w:trPr>
              <w:tc>
                <w:tcPr>
                  <w:tcW w:w="2242" w:type="dxa"/>
                  <w:vMerge w:val="restart"/>
                  <w:tcBorders>
                    <w:top w:val="single" w:color="auto" w:sz="12" w:space="0"/>
                    <w:bottom w:val="single" w:color="auto" w:sz="2" w:space="0"/>
                    <w:right w:val="single" w:color="auto" w:sz="2" w:space="0"/>
                  </w:tcBorders>
                  <w:tcMar>
                    <w:top w:w="57" w:type="dxa"/>
                    <w:left w:w="57" w:type="dxa"/>
                    <w:bottom w:w="57" w:type="dxa"/>
                    <w:right w:w="57" w:type="dxa"/>
                  </w:tcMar>
                  <w:vAlign w:val="center"/>
                </w:tcPr>
                <w:p w14:paraId="75FE10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标准名称</w:t>
                  </w:r>
                </w:p>
              </w:tc>
              <w:tc>
                <w:tcPr>
                  <w:tcW w:w="1718" w:type="dxa"/>
                  <w:vMerge w:val="restart"/>
                  <w:tcBorders>
                    <w:top w:val="single" w:color="auto" w:sz="12" w:space="0"/>
                    <w:left w:val="single" w:color="auto" w:sz="2" w:space="0"/>
                    <w:bottom w:val="single" w:color="auto" w:sz="2" w:space="0"/>
                    <w:right w:val="single" w:color="auto" w:sz="2" w:space="0"/>
                  </w:tcBorders>
                  <w:tcMar>
                    <w:top w:w="57" w:type="dxa"/>
                    <w:left w:w="57" w:type="dxa"/>
                    <w:bottom w:w="57" w:type="dxa"/>
                    <w:right w:w="57" w:type="dxa"/>
                  </w:tcMar>
                  <w:vAlign w:val="center"/>
                </w:tcPr>
                <w:p w14:paraId="592C0C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编号</w:t>
                  </w:r>
                </w:p>
              </w:tc>
              <w:tc>
                <w:tcPr>
                  <w:tcW w:w="667" w:type="dxa"/>
                  <w:vMerge w:val="restart"/>
                  <w:tcBorders>
                    <w:top w:val="single" w:color="auto" w:sz="12" w:space="0"/>
                    <w:left w:val="single" w:color="auto" w:sz="2" w:space="0"/>
                    <w:bottom w:val="single" w:color="auto" w:sz="2" w:space="0"/>
                    <w:right w:val="single" w:color="auto" w:sz="2" w:space="0"/>
                  </w:tcBorders>
                  <w:tcMar>
                    <w:top w:w="57" w:type="dxa"/>
                    <w:left w:w="57" w:type="dxa"/>
                    <w:bottom w:w="57" w:type="dxa"/>
                    <w:right w:w="57" w:type="dxa"/>
                  </w:tcMar>
                  <w:vAlign w:val="center"/>
                </w:tcPr>
                <w:p w14:paraId="1C203E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控制</w:t>
                  </w:r>
                </w:p>
                <w:p w14:paraId="4D1D21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类别</w:t>
                  </w:r>
                </w:p>
              </w:tc>
              <w:tc>
                <w:tcPr>
                  <w:tcW w:w="4116" w:type="dxa"/>
                  <w:gridSpan w:val="4"/>
                  <w:tcBorders>
                    <w:top w:val="single" w:color="auto" w:sz="12" w:space="0"/>
                    <w:left w:val="single" w:color="auto" w:sz="2" w:space="0"/>
                    <w:bottom w:val="single" w:color="auto" w:sz="2" w:space="0"/>
                  </w:tcBorders>
                  <w:tcMar>
                    <w:top w:w="57" w:type="dxa"/>
                    <w:left w:w="57" w:type="dxa"/>
                    <w:bottom w:w="57" w:type="dxa"/>
                    <w:right w:w="57" w:type="dxa"/>
                  </w:tcMar>
                  <w:vAlign w:val="center"/>
                </w:tcPr>
                <w:p w14:paraId="55FF81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噪声限值，dB(A)</w:t>
                  </w:r>
                </w:p>
              </w:tc>
            </w:tr>
            <w:tr w14:paraId="4D15535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78" w:hRule="atLeast"/>
                <w:jc w:val="center"/>
              </w:trPr>
              <w:tc>
                <w:tcPr>
                  <w:tcW w:w="2242" w:type="dxa"/>
                  <w:vMerge w:val="continue"/>
                  <w:tcBorders>
                    <w:top w:val="single" w:color="auto" w:sz="2" w:space="0"/>
                    <w:bottom w:val="single" w:color="auto" w:sz="2" w:space="0"/>
                    <w:right w:val="single" w:color="auto" w:sz="2" w:space="0"/>
                  </w:tcBorders>
                  <w:tcMar>
                    <w:top w:w="57" w:type="dxa"/>
                    <w:left w:w="57" w:type="dxa"/>
                    <w:bottom w:w="57" w:type="dxa"/>
                    <w:right w:w="57" w:type="dxa"/>
                  </w:tcMar>
                  <w:vAlign w:val="center"/>
                </w:tcPr>
                <w:p w14:paraId="4707A5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p>
              </w:tc>
              <w:tc>
                <w:tcPr>
                  <w:tcW w:w="1718" w:type="dxa"/>
                  <w:vMerge w:val="continue"/>
                  <w:tcBorders>
                    <w:top w:val="single" w:color="auto" w:sz="2" w:space="0"/>
                    <w:left w:val="single" w:color="auto" w:sz="2" w:space="0"/>
                    <w:bottom w:val="single" w:color="auto" w:sz="2" w:space="0"/>
                    <w:right w:val="single" w:color="auto" w:sz="2" w:space="0"/>
                  </w:tcBorders>
                  <w:tcMar>
                    <w:top w:w="57" w:type="dxa"/>
                    <w:left w:w="57" w:type="dxa"/>
                    <w:bottom w:w="57" w:type="dxa"/>
                    <w:right w:w="57" w:type="dxa"/>
                  </w:tcMar>
                  <w:vAlign w:val="center"/>
                </w:tcPr>
                <w:p w14:paraId="5495FF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p>
              </w:tc>
              <w:tc>
                <w:tcPr>
                  <w:tcW w:w="667" w:type="dxa"/>
                  <w:vMerge w:val="continue"/>
                  <w:tcBorders>
                    <w:top w:val="single" w:color="auto" w:sz="2" w:space="0"/>
                    <w:left w:val="single" w:color="auto" w:sz="2" w:space="0"/>
                    <w:bottom w:val="single" w:color="auto" w:sz="2" w:space="0"/>
                    <w:right w:val="single" w:color="auto" w:sz="2" w:space="0"/>
                  </w:tcBorders>
                  <w:tcMar>
                    <w:top w:w="57" w:type="dxa"/>
                    <w:left w:w="57" w:type="dxa"/>
                    <w:bottom w:w="57" w:type="dxa"/>
                    <w:right w:w="57" w:type="dxa"/>
                  </w:tcMar>
                  <w:vAlign w:val="center"/>
                </w:tcPr>
                <w:p w14:paraId="7D6931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p>
              </w:tc>
              <w:tc>
                <w:tcPr>
                  <w:tcW w:w="931" w:type="dxa"/>
                  <w:tcBorders>
                    <w:top w:val="single" w:color="auto" w:sz="2" w:space="0"/>
                    <w:left w:val="single" w:color="auto" w:sz="2" w:space="0"/>
                    <w:bottom w:val="single" w:color="auto" w:sz="2" w:space="0"/>
                    <w:right w:val="single" w:color="auto" w:sz="2" w:space="0"/>
                  </w:tcBorders>
                  <w:tcMar>
                    <w:top w:w="57" w:type="dxa"/>
                    <w:left w:w="57" w:type="dxa"/>
                    <w:bottom w:w="57" w:type="dxa"/>
                    <w:right w:w="57" w:type="dxa"/>
                  </w:tcMar>
                  <w:vAlign w:val="center"/>
                </w:tcPr>
                <w:p w14:paraId="2A68ED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阶段</w:t>
                  </w:r>
                </w:p>
              </w:tc>
              <w:tc>
                <w:tcPr>
                  <w:tcW w:w="667" w:type="dxa"/>
                  <w:tcBorders>
                    <w:top w:val="single" w:color="auto" w:sz="2" w:space="0"/>
                    <w:left w:val="single" w:color="auto" w:sz="2" w:space="0"/>
                    <w:bottom w:val="single" w:color="auto" w:sz="2" w:space="0"/>
                    <w:right w:val="single" w:color="auto" w:sz="2" w:space="0"/>
                  </w:tcBorders>
                  <w:tcMar>
                    <w:top w:w="57" w:type="dxa"/>
                    <w:left w:w="57" w:type="dxa"/>
                    <w:bottom w:w="57" w:type="dxa"/>
                    <w:right w:w="57" w:type="dxa"/>
                  </w:tcMar>
                  <w:vAlign w:val="center"/>
                </w:tcPr>
                <w:p w14:paraId="7FD26A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昼间</w:t>
                  </w:r>
                </w:p>
              </w:tc>
              <w:tc>
                <w:tcPr>
                  <w:tcW w:w="2518" w:type="dxa"/>
                  <w:gridSpan w:val="2"/>
                  <w:tcBorders>
                    <w:top w:val="single" w:color="auto" w:sz="2" w:space="0"/>
                    <w:left w:val="single" w:color="auto" w:sz="2" w:space="0"/>
                    <w:bottom w:val="single" w:color="auto" w:sz="2" w:space="0"/>
                  </w:tcBorders>
                  <w:tcMar>
                    <w:top w:w="57" w:type="dxa"/>
                    <w:left w:w="57" w:type="dxa"/>
                    <w:bottom w:w="57" w:type="dxa"/>
                    <w:right w:w="57" w:type="dxa"/>
                  </w:tcMar>
                  <w:vAlign w:val="center"/>
                </w:tcPr>
                <w:p w14:paraId="30CFA6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夜间</w:t>
                  </w:r>
                </w:p>
              </w:tc>
            </w:tr>
            <w:tr w14:paraId="30B17B9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65" w:hRule="atLeast"/>
                <w:jc w:val="center"/>
              </w:trPr>
              <w:tc>
                <w:tcPr>
                  <w:tcW w:w="2242" w:type="dxa"/>
                  <w:vMerge w:val="restart"/>
                  <w:tcBorders>
                    <w:top w:val="single" w:color="auto" w:sz="2" w:space="0"/>
                    <w:bottom w:val="single" w:color="auto" w:sz="2" w:space="0"/>
                    <w:right w:val="single" w:color="auto" w:sz="2" w:space="0"/>
                  </w:tcBorders>
                  <w:tcMar>
                    <w:top w:w="57" w:type="dxa"/>
                    <w:left w:w="57" w:type="dxa"/>
                    <w:bottom w:w="57" w:type="dxa"/>
                    <w:right w:w="57" w:type="dxa"/>
                  </w:tcMar>
                  <w:vAlign w:val="center"/>
                </w:tcPr>
                <w:p w14:paraId="09043F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工业企业厂界</w:t>
                  </w:r>
                </w:p>
                <w:p w14:paraId="49F83C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噪声排放标准</w:t>
                  </w:r>
                </w:p>
              </w:tc>
              <w:tc>
                <w:tcPr>
                  <w:tcW w:w="1718" w:type="dxa"/>
                  <w:vMerge w:val="restart"/>
                  <w:tcBorders>
                    <w:top w:val="single" w:color="auto" w:sz="2" w:space="0"/>
                    <w:left w:val="single" w:color="auto" w:sz="2" w:space="0"/>
                    <w:bottom w:val="single" w:color="auto" w:sz="2" w:space="0"/>
                    <w:right w:val="single" w:color="auto" w:sz="2" w:space="0"/>
                  </w:tcBorders>
                  <w:tcMar>
                    <w:top w:w="57" w:type="dxa"/>
                    <w:left w:w="57" w:type="dxa"/>
                    <w:bottom w:w="57" w:type="dxa"/>
                    <w:right w:w="57" w:type="dxa"/>
                  </w:tcMar>
                  <w:vAlign w:val="center"/>
                </w:tcPr>
                <w:p w14:paraId="34204C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GB12348-2008</w:t>
                  </w:r>
                </w:p>
              </w:tc>
              <w:tc>
                <w:tcPr>
                  <w:tcW w:w="667" w:type="dxa"/>
                  <w:tcBorders>
                    <w:top w:val="single" w:color="auto" w:sz="2" w:space="0"/>
                    <w:left w:val="single" w:color="auto" w:sz="2" w:space="0"/>
                    <w:bottom w:val="single" w:color="auto" w:sz="2" w:space="0"/>
                    <w:right w:val="single" w:color="auto" w:sz="2" w:space="0"/>
                  </w:tcBorders>
                  <w:tcMar>
                    <w:top w:w="57" w:type="dxa"/>
                    <w:left w:w="57" w:type="dxa"/>
                    <w:bottom w:w="57" w:type="dxa"/>
                    <w:right w:w="57" w:type="dxa"/>
                  </w:tcMar>
                  <w:vAlign w:val="center"/>
                </w:tcPr>
                <w:p w14:paraId="7DB6CE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2</w:t>
                  </w:r>
                </w:p>
              </w:tc>
              <w:tc>
                <w:tcPr>
                  <w:tcW w:w="931" w:type="dxa"/>
                  <w:tcBorders>
                    <w:top w:val="single" w:color="auto" w:sz="2" w:space="0"/>
                    <w:left w:val="single" w:color="auto" w:sz="2" w:space="0"/>
                    <w:bottom w:val="single" w:color="auto" w:sz="2" w:space="0"/>
                    <w:right w:val="single" w:color="auto" w:sz="2" w:space="0"/>
                  </w:tcBorders>
                  <w:tcMar>
                    <w:top w:w="57" w:type="dxa"/>
                    <w:left w:w="57" w:type="dxa"/>
                    <w:bottom w:w="57" w:type="dxa"/>
                    <w:right w:w="57" w:type="dxa"/>
                  </w:tcMar>
                  <w:vAlign w:val="center"/>
                </w:tcPr>
                <w:p w14:paraId="678C30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运营期</w:t>
                  </w:r>
                </w:p>
              </w:tc>
              <w:tc>
                <w:tcPr>
                  <w:tcW w:w="667" w:type="dxa"/>
                  <w:tcBorders>
                    <w:top w:val="single" w:color="auto" w:sz="2" w:space="0"/>
                    <w:left w:val="single" w:color="auto" w:sz="2" w:space="0"/>
                    <w:bottom w:val="single" w:color="auto" w:sz="2" w:space="0"/>
                    <w:right w:val="single" w:color="auto" w:sz="2" w:space="0"/>
                  </w:tcBorders>
                  <w:tcMar>
                    <w:top w:w="57" w:type="dxa"/>
                    <w:left w:w="57" w:type="dxa"/>
                    <w:bottom w:w="57" w:type="dxa"/>
                    <w:right w:w="57" w:type="dxa"/>
                  </w:tcMar>
                  <w:vAlign w:val="center"/>
                </w:tcPr>
                <w:p w14:paraId="1CDF86C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516" w:type="dxa"/>
                  <w:tcBorders>
                    <w:top w:val="single" w:color="auto" w:sz="2" w:space="0"/>
                    <w:left w:val="single" w:color="auto" w:sz="2" w:space="0"/>
                    <w:bottom w:val="single" w:color="auto" w:sz="2" w:space="0"/>
                    <w:right w:val="single" w:color="auto" w:sz="2" w:space="0"/>
                  </w:tcBorders>
                  <w:tcMar>
                    <w:top w:w="57" w:type="dxa"/>
                    <w:left w:w="57" w:type="dxa"/>
                    <w:bottom w:w="57" w:type="dxa"/>
                    <w:right w:w="57" w:type="dxa"/>
                  </w:tcMar>
                  <w:vAlign w:val="center"/>
                </w:tcPr>
                <w:p w14:paraId="16B8AE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c>
                <w:tcPr>
                  <w:tcW w:w="2002" w:type="dxa"/>
                  <w:tcBorders>
                    <w:top w:val="single" w:color="auto" w:sz="2" w:space="0"/>
                    <w:left w:val="single" w:color="auto" w:sz="2" w:space="0"/>
                    <w:bottom w:val="single" w:color="auto" w:sz="2" w:space="0"/>
                  </w:tcBorders>
                  <w:tcMar>
                    <w:top w:w="57" w:type="dxa"/>
                    <w:left w:w="57" w:type="dxa"/>
                    <w:bottom w:w="57" w:type="dxa"/>
                    <w:right w:w="57" w:type="dxa"/>
                  </w:tcMar>
                  <w:vAlign w:val="center"/>
                </w:tcPr>
                <w:p w14:paraId="6330E8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频繁突发噪声&lt;55</w:t>
                  </w:r>
                </w:p>
                <w:p w14:paraId="03AF7F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偶然突发噪声&lt;60</w:t>
                  </w:r>
                </w:p>
              </w:tc>
            </w:tr>
            <w:tr w14:paraId="5E6670E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668" w:hRule="atLeast"/>
                <w:jc w:val="center"/>
              </w:trPr>
              <w:tc>
                <w:tcPr>
                  <w:tcW w:w="2242" w:type="dxa"/>
                  <w:vMerge w:val="continue"/>
                  <w:tcBorders>
                    <w:top w:val="single" w:color="auto" w:sz="2" w:space="0"/>
                    <w:bottom w:val="single" w:color="auto" w:sz="12" w:space="0"/>
                    <w:right w:val="single" w:color="auto" w:sz="2" w:space="0"/>
                  </w:tcBorders>
                  <w:tcMar>
                    <w:top w:w="57" w:type="dxa"/>
                    <w:left w:w="57" w:type="dxa"/>
                    <w:bottom w:w="57" w:type="dxa"/>
                    <w:right w:w="57" w:type="dxa"/>
                  </w:tcMar>
                  <w:vAlign w:val="center"/>
                </w:tcPr>
                <w:p w14:paraId="588497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p>
              </w:tc>
              <w:tc>
                <w:tcPr>
                  <w:tcW w:w="1718" w:type="dxa"/>
                  <w:vMerge w:val="continue"/>
                  <w:tcBorders>
                    <w:top w:val="single" w:color="auto" w:sz="2" w:space="0"/>
                    <w:left w:val="single" w:color="auto" w:sz="2" w:space="0"/>
                    <w:bottom w:val="single" w:color="auto" w:sz="12" w:space="0"/>
                    <w:right w:val="single" w:color="auto" w:sz="2" w:space="0"/>
                  </w:tcBorders>
                  <w:tcMar>
                    <w:top w:w="57" w:type="dxa"/>
                    <w:left w:w="57" w:type="dxa"/>
                    <w:bottom w:w="57" w:type="dxa"/>
                    <w:right w:w="57" w:type="dxa"/>
                  </w:tcMar>
                  <w:vAlign w:val="center"/>
                </w:tcPr>
                <w:p w14:paraId="2EF9FD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p>
              </w:tc>
              <w:tc>
                <w:tcPr>
                  <w:tcW w:w="667" w:type="dxa"/>
                  <w:tcBorders>
                    <w:top w:val="single" w:color="auto" w:sz="2" w:space="0"/>
                    <w:left w:val="single" w:color="auto" w:sz="2" w:space="0"/>
                    <w:bottom w:val="single" w:color="auto" w:sz="12" w:space="0"/>
                    <w:right w:val="single" w:color="auto" w:sz="2" w:space="0"/>
                  </w:tcBorders>
                  <w:tcMar>
                    <w:top w:w="57" w:type="dxa"/>
                    <w:left w:w="57" w:type="dxa"/>
                    <w:bottom w:w="57" w:type="dxa"/>
                    <w:right w:w="57" w:type="dxa"/>
                  </w:tcMar>
                  <w:vAlign w:val="center"/>
                </w:tcPr>
                <w:p w14:paraId="3A3C45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4</w:t>
                  </w:r>
                </w:p>
              </w:tc>
              <w:tc>
                <w:tcPr>
                  <w:tcW w:w="931" w:type="dxa"/>
                  <w:tcBorders>
                    <w:top w:val="single" w:color="auto" w:sz="2" w:space="0"/>
                    <w:left w:val="single" w:color="auto" w:sz="2" w:space="0"/>
                    <w:bottom w:val="single" w:color="auto" w:sz="12" w:space="0"/>
                    <w:right w:val="single" w:color="auto" w:sz="2" w:space="0"/>
                  </w:tcBorders>
                  <w:tcMar>
                    <w:top w:w="57" w:type="dxa"/>
                    <w:left w:w="57" w:type="dxa"/>
                    <w:bottom w:w="57" w:type="dxa"/>
                    <w:right w:w="57" w:type="dxa"/>
                  </w:tcMar>
                  <w:vAlign w:val="center"/>
                </w:tcPr>
                <w:p w14:paraId="20D29B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运营期</w:t>
                  </w:r>
                </w:p>
              </w:tc>
              <w:tc>
                <w:tcPr>
                  <w:tcW w:w="667" w:type="dxa"/>
                  <w:tcBorders>
                    <w:top w:val="single" w:color="auto" w:sz="2" w:space="0"/>
                    <w:left w:val="single" w:color="auto" w:sz="2" w:space="0"/>
                    <w:bottom w:val="single" w:color="auto" w:sz="12" w:space="0"/>
                    <w:right w:val="single" w:color="auto" w:sz="2" w:space="0"/>
                  </w:tcBorders>
                  <w:tcMar>
                    <w:top w:w="57" w:type="dxa"/>
                    <w:left w:w="57" w:type="dxa"/>
                    <w:bottom w:w="57" w:type="dxa"/>
                    <w:right w:w="57" w:type="dxa"/>
                  </w:tcMar>
                  <w:vAlign w:val="center"/>
                </w:tcPr>
                <w:p w14:paraId="7D8B01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70</w:t>
                  </w:r>
                </w:p>
              </w:tc>
              <w:tc>
                <w:tcPr>
                  <w:tcW w:w="516" w:type="dxa"/>
                  <w:tcBorders>
                    <w:top w:val="single" w:color="auto" w:sz="2" w:space="0"/>
                    <w:left w:val="single" w:color="auto" w:sz="2" w:space="0"/>
                    <w:bottom w:val="single" w:color="auto" w:sz="12" w:space="0"/>
                    <w:right w:val="single" w:color="auto" w:sz="2" w:space="0"/>
                  </w:tcBorders>
                  <w:tcMar>
                    <w:top w:w="57" w:type="dxa"/>
                    <w:left w:w="57" w:type="dxa"/>
                    <w:bottom w:w="57" w:type="dxa"/>
                    <w:right w:w="57" w:type="dxa"/>
                  </w:tcMar>
                  <w:vAlign w:val="center"/>
                </w:tcPr>
                <w:p w14:paraId="3C5E44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55</w:t>
                  </w:r>
                </w:p>
              </w:tc>
              <w:tc>
                <w:tcPr>
                  <w:tcW w:w="2002" w:type="dxa"/>
                  <w:tcBorders>
                    <w:top w:val="single" w:color="auto" w:sz="2" w:space="0"/>
                    <w:left w:val="single" w:color="auto" w:sz="2" w:space="0"/>
                    <w:bottom w:val="single" w:color="auto" w:sz="12" w:space="0"/>
                  </w:tcBorders>
                  <w:tcMar>
                    <w:top w:w="57" w:type="dxa"/>
                    <w:left w:w="57" w:type="dxa"/>
                    <w:bottom w:w="57" w:type="dxa"/>
                    <w:right w:w="57" w:type="dxa"/>
                  </w:tcMar>
                  <w:vAlign w:val="center"/>
                </w:tcPr>
                <w:p w14:paraId="72D364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频繁突发噪声&lt;65</w:t>
                  </w:r>
                </w:p>
                <w:p w14:paraId="674571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偶然突发噪声&lt;70</w:t>
                  </w:r>
                </w:p>
              </w:tc>
            </w:tr>
          </w:tbl>
          <w:p w14:paraId="125AB8C5">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噪声敏感建筑物</w:t>
            </w:r>
            <w:r>
              <w:rPr>
                <w:rFonts w:hint="eastAsia" w:cs="Times New Roman"/>
                <w:color w:val="auto"/>
                <w:sz w:val="24"/>
                <w:szCs w:val="24"/>
                <w:highlight w:val="none"/>
                <w:lang w:eastAsia="zh-CN"/>
              </w:rPr>
              <w:t>病房</w:t>
            </w:r>
            <w:r>
              <w:rPr>
                <w:rFonts w:hint="eastAsia" w:ascii="Times New Roman" w:hAnsi="Times New Roman" w:cs="Times New Roman"/>
                <w:color w:val="auto"/>
                <w:sz w:val="24"/>
                <w:szCs w:val="24"/>
                <w:highlight w:val="none"/>
              </w:rPr>
              <w:t>室内等效声级执行《工业企业厂界环境噪声排放标准》（</w:t>
            </w:r>
            <w:r>
              <w:rPr>
                <w:rFonts w:hint="default" w:ascii="Times New Roman" w:hAnsi="Times New Roman" w:cs="Times New Roman"/>
                <w:color w:val="auto"/>
                <w:sz w:val="24"/>
                <w:szCs w:val="24"/>
                <w:highlight w:val="none"/>
              </w:rPr>
              <w:t>GB13248-2008</w:t>
            </w:r>
            <w:r>
              <w:rPr>
                <w:rFonts w:hint="eastAsia"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eastAsia="zh-CN"/>
              </w:rPr>
              <w:t>表2中</w:t>
            </w:r>
            <w:r>
              <w:rPr>
                <w:rFonts w:hint="eastAsia" w:cs="Times New Roman"/>
                <w:color w:val="auto"/>
                <w:sz w:val="24"/>
                <w:szCs w:val="24"/>
                <w:highlight w:val="none"/>
                <w:lang w:val="en-US" w:eastAsia="zh-CN"/>
              </w:rPr>
              <w:t>2</w:t>
            </w:r>
            <w:r>
              <w:rPr>
                <w:rFonts w:hint="eastAsia" w:ascii="Times New Roman" w:hAnsi="Times New Roman" w:cs="Times New Roman"/>
                <w:color w:val="auto"/>
                <w:sz w:val="24"/>
                <w:szCs w:val="24"/>
                <w:highlight w:val="none"/>
                <w:lang w:eastAsia="zh-CN"/>
              </w:rPr>
              <w:t>类功能区A类</w:t>
            </w:r>
            <w:r>
              <w:rPr>
                <w:rFonts w:hint="eastAsia" w:ascii="Times New Roman" w:hAnsi="Times New Roman" w:cs="Times New Roman"/>
                <w:color w:val="auto"/>
                <w:sz w:val="24"/>
                <w:szCs w:val="24"/>
                <w:highlight w:val="none"/>
              </w:rPr>
              <w:t>房间标准</w:t>
            </w:r>
            <w:r>
              <w:rPr>
                <w:rFonts w:hint="eastAsia" w:ascii="Times New Roman" w:hAnsi="Times New Roman" w:cs="Times New Roman"/>
                <w:color w:val="auto"/>
                <w:sz w:val="24"/>
                <w:szCs w:val="24"/>
                <w:highlight w:val="none"/>
                <w:lang w:eastAsia="zh-CN"/>
              </w:rPr>
              <w:t>，即昼间45dB</w:t>
            </w:r>
            <w:r>
              <w:rPr>
                <w:rFonts w:hint="default" w:ascii="Times New Roman" w:hAnsi="Times New Roman" w:cs="Times New Roman"/>
                <w:color w:val="auto"/>
                <w:sz w:val="24"/>
                <w:szCs w:val="24"/>
                <w:highlight w:val="none"/>
              </w:rPr>
              <w:t>(A)</w:t>
            </w:r>
            <w:r>
              <w:rPr>
                <w:rFonts w:hint="eastAsia"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eastAsia="zh-CN"/>
              </w:rPr>
              <w:t>夜间35dB</w:t>
            </w:r>
            <w:r>
              <w:rPr>
                <w:rFonts w:hint="default" w:ascii="Times New Roman" w:hAnsi="Times New Roman" w:cs="Times New Roman"/>
                <w:color w:val="auto"/>
                <w:sz w:val="24"/>
                <w:szCs w:val="24"/>
                <w:highlight w:val="none"/>
              </w:rPr>
              <w:t>(A)</w:t>
            </w:r>
            <w:r>
              <w:rPr>
                <w:rFonts w:hint="eastAsia" w:ascii="Times New Roman" w:hAnsi="Times New Roman" w:cs="Times New Roman"/>
                <w:color w:val="auto"/>
                <w:sz w:val="24"/>
                <w:szCs w:val="24"/>
                <w:highlight w:val="none"/>
              </w:rPr>
              <w:t>。</w:t>
            </w:r>
          </w:p>
          <w:p w14:paraId="21D21499">
            <w:pPr>
              <w:adjustRightInd w:val="0"/>
              <w:snapToGrid w:val="0"/>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3、废水</w:t>
            </w:r>
          </w:p>
          <w:p w14:paraId="1318DC96">
            <w:pPr>
              <w:adjustRightInd w:val="0"/>
              <w:snapToGrid w:val="0"/>
              <w:spacing w:line="360" w:lineRule="auto"/>
              <w:ind w:firstLine="480" w:firstLineChars="200"/>
              <w:rPr>
                <w:rFonts w:hint="eastAsia" w:cs="Times New Roman"/>
                <w:color w:val="auto"/>
                <w:sz w:val="24"/>
                <w:szCs w:val="24"/>
                <w:highlight w:val="none"/>
                <w:lang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1</w:t>
            </w:r>
            <w:r>
              <w:rPr>
                <w:rFonts w:hint="eastAsia" w:cs="Times New Roman"/>
                <w:color w:val="auto"/>
                <w:sz w:val="24"/>
                <w:szCs w:val="24"/>
                <w:highlight w:val="none"/>
                <w:lang w:eastAsia="zh-CN"/>
              </w:rPr>
              <w:t>）生活污水</w:t>
            </w:r>
          </w:p>
          <w:p w14:paraId="03A4DB57">
            <w:pPr>
              <w:adjustRightInd w:val="0"/>
              <w:snapToGrid w:val="0"/>
              <w:spacing w:line="360" w:lineRule="auto"/>
              <w:ind w:firstLine="480" w:firstLineChars="200"/>
              <w:rPr>
                <w:rFonts w:hint="default" w:ascii="Times New Roman" w:hAnsi="Times New Roman" w:cs="Times New Roman"/>
                <w:smallCaps/>
                <w:color w:val="auto"/>
                <w:sz w:val="24"/>
                <w:szCs w:val="24"/>
                <w:highlight w:val="none"/>
              </w:rPr>
            </w:pPr>
            <w:r>
              <w:rPr>
                <w:rFonts w:hint="eastAsia" w:cs="Times New Roman"/>
                <w:color w:val="auto"/>
                <w:sz w:val="24"/>
                <w:szCs w:val="24"/>
                <w:highlight w:val="none"/>
                <w:lang w:eastAsia="zh-CN"/>
              </w:rPr>
              <w:t>本项目生活污水和医疗废水分流收集，</w:t>
            </w:r>
            <w:r>
              <w:rPr>
                <w:rFonts w:hint="default" w:ascii="Times New Roman" w:hAnsi="Times New Roman" w:cs="Times New Roman"/>
                <w:color w:val="auto"/>
                <w:sz w:val="24"/>
                <w:szCs w:val="24"/>
                <w:highlight w:val="none"/>
              </w:rPr>
              <w:t>生活</w:t>
            </w:r>
            <w:r>
              <w:rPr>
                <w:rFonts w:hint="eastAsia" w:cs="Times New Roman"/>
                <w:color w:val="auto"/>
                <w:sz w:val="24"/>
                <w:szCs w:val="24"/>
                <w:highlight w:val="none"/>
                <w:lang w:eastAsia="zh-CN"/>
              </w:rPr>
              <w:t>污水</w:t>
            </w:r>
            <w:r>
              <w:rPr>
                <w:rFonts w:hint="default" w:ascii="Times New Roman" w:hAnsi="Times New Roman" w:cs="Times New Roman"/>
                <w:color w:val="auto"/>
                <w:sz w:val="24"/>
                <w:szCs w:val="24"/>
                <w:highlight w:val="none"/>
              </w:rPr>
              <w:t>执行</w:t>
            </w:r>
            <w:r>
              <w:rPr>
                <w:rFonts w:hint="default" w:ascii="Times New Roman" w:hAnsi="Times New Roman" w:cs="Times New Roman"/>
                <w:smallCaps/>
                <w:color w:val="auto"/>
                <w:sz w:val="24"/>
                <w:szCs w:val="24"/>
                <w:highlight w:val="none"/>
              </w:rPr>
              <w:t>《辽宁省污水综合排放标准》(DB21/1627-2008)表</w:t>
            </w:r>
            <w:r>
              <w:rPr>
                <w:rFonts w:hint="eastAsia" w:cs="Times New Roman"/>
                <w:smallCaps/>
                <w:color w:val="auto"/>
                <w:sz w:val="24"/>
                <w:szCs w:val="24"/>
                <w:highlight w:val="none"/>
                <w:lang w:val="en-US" w:eastAsia="zh-CN"/>
              </w:rPr>
              <w:t>2</w:t>
            </w:r>
            <w:r>
              <w:rPr>
                <w:rFonts w:hint="default" w:ascii="Times New Roman" w:hAnsi="Times New Roman" w:cs="Times New Roman"/>
                <w:smallCaps/>
                <w:color w:val="auto"/>
                <w:sz w:val="24"/>
                <w:szCs w:val="24"/>
                <w:highlight w:val="none"/>
              </w:rPr>
              <w:t>中标准，如下表所示：</w:t>
            </w:r>
          </w:p>
          <w:p w14:paraId="2C22C2C2">
            <w:pPr>
              <w:adjustRightInd w:val="0"/>
              <w:snapToGrid w:val="0"/>
              <w:spacing w:line="360" w:lineRule="auto"/>
              <w:jc w:val="both"/>
              <w:rPr>
                <w:rFonts w:hint="default" w:ascii="Times New Roman" w:hAnsi="Times New Roman" w:cs="Times New Roman"/>
                <w:b/>
                <w:bCs/>
                <w:smallCaps/>
                <w:color w:val="auto"/>
                <w:highlight w:val="none"/>
              </w:rPr>
            </w:pPr>
            <w:r>
              <w:rPr>
                <w:rFonts w:hint="default" w:ascii="Times New Roman" w:hAnsi="Times New Roman" w:cs="Times New Roman"/>
                <w:b/>
                <w:bCs/>
                <w:smallCaps/>
                <w:color w:val="auto"/>
                <w:highlight w:val="none"/>
              </w:rPr>
              <w:t>表1</w:t>
            </w:r>
            <w:r>
              <w:rPr>
                <w:rFonts w:hint="eastAsia" w:cs="Times New Roman"/>
                <w:b/>
                <w:bCs/>
                <w:smallCaps/>
                <w:color w:val="auto"/>
                <w:highlight w:val="none"/>
                <w:lang w:val="en-US" w:eastAsia="zh-CN"/>
              </w:rPr>
              <w:t xml:space="preserve">6             </w:t>
            </w:r>
            <w:r>
              <w:rPr>
                <w:rFonts w:hint="default" w:ascii="Times New Roman" w:hAnsi="Times New Roman" w:cs="Times New Roman"/>
                <w:b/>
                <w:bCs/>
                <w:color w:val="auto"/>
                <w:kern w:val="0"/>
                <w:highlight w:val="none"/>
              </w:rPr>
              <w:t>排入城镇污水处理厂的水污染物最高允许排放浓度</w:t>
            </w:r>
          </w:p>
          <w:tbl>
            <w:tblPr>
              <w:tblStyle w:val="24"/>
              <w:tblW w:w="851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4512"/>
              <w:gridCol w:w="2840"/>
            </w:tblGrid>
            <w:tr w14:paraId="3362A8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67" w:type="dxa"/>
                  <w:tcBorders>
                    <w:tl2br w:val="nil"/>
                    <w:tr2bl w:val="nil"/>
                  </w:tcBorders>
                  <w:vAlign w:val="center"/>
                </w:tcPr>
                <w:p w14:paraId="113E74C5">
                  <w:pPr>
                    <w:keepNext w:val="0"/>
                    <w:keepLines w:val="0"/>
                    <w:pageBreakBefore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4512" w:type="dxa"/>
                  <w:tcBorders>
                    <w:tl2br w:val="nil"/>
                    <w:tr2bl w:val="nil"/>
                  </w:tcBorders>
                  <w:vAlign w:val="center"/>
                </w:tcPr>
                <w:p w14:paraId="77331B5A">
                  <w:pPr>
                    <w:keepNext w:val="0"/>
                    <w:keepLines w:val="0"/>
                    <w:pageBreakBefore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污染</w:t>
                  </w:r>
                  <w:r>
                    <w:rPr>
                      <w:rFonts w:hint="default" w:ascii="Times New Roman" w:hAnsi="Times New Roman" w:cs="Times New Roman"/>
                      <w:color w:val="auto"/>
                      <w:kern w:val="0"/>
                      <w:highlight w:val="none"/>
                    </w:rPr>
                    <w:t>物或项目名称</w:t>
                  </w:r>
                </w:p>
              </w:tc>
              <w:tc>
                <w:tcPr>
                  <w:tcW w:w="2840" w:type="dxa"/>
                  <w:tcBorders>
                    <w:tl2br w:val="nil"/>
                    <w:tr2bl w:val="nil"/>
                  </w:tcBorders>
                  <w:vAlign w:val="center"/>
                </w:tcPr>
                <w:p w14:paraId="041B2ED9">
                  <w:pPr>
                    <w:keepNext w:val="0"/>
                    <w:keepLines w:val="0"/>
                    <w:pageBreakBefore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kern w:val="0"/>
                      <w:highlight w:val="none"/>
                    </w:rPr>
                    <w:t>最高允许排放浓度mg/L</w:t>
                  </w:r>
                </w:p>
              </w:tc>
            </w:tr>
            <w:tr w14:paraId="35F686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67" w:type="dxa"/>
                  <w:tcBorders>
                    <w:tl2br w:val="nil"/>
                    <w:tr2bl w:val="nil"/>
                  </w:tcBorders>
                  <w:vAlign w:val="center"/>
                </w:tcPr>
                <w:p w14:paraId="4E675FD9">
                  <w:pPr>
                    <w:keepNext w:val="0"/>
                    <w:keepLines w:val="0"/>
                    <w:pageBreakBefore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4512" w:type="dxa"/>
                  <w:tcBorders>
                    <w:tl2br w:val="nil"/>
                    <w:tr2bl w:val="nil"/>
                  </w:tcBorders>
                  <w:vAlign w:val="center"/>
                </w:tcPr>
                <w:p w14:paraId="524691E3">
                  <w:pPr>
                    <w:keepNext w:val="0"/>
                    <w:keepLines w:val="0"/>
                    <w:pageBreakBefore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kern w:val="0"/>
                      <w:highlight w:val="none"/>
                    </w:rPr>
                    <w:t>悬浮物（SS）</w:t>
                  </w:r>
                </w:p>
              </w:tc>
              <w:tc>
                <w:tcPr>
                  <w:tcW w:w="2840" w:type="dxa"/>
                  <w:tcBorders>
                    <w:tl2br w:val="nil"/>
                    <w:tr2bl w:val="nil"/>
                  </w:tcBorders>
                  <w:vAlign w:val="center"/>
                </w:tcPr>
                <w:p w14:paraId="3129348E">
                  <w:pPr>
                    <w:keepNext w:val="0"/>
                    <w:keepLines w:val="0"/>
                    <w:pageBreakBefore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300</w:t>
                  </w:r>
                </w:p>
              </w:tc>
            </w:tr>
            <w:tr w14:paraId="2206EB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1167" w:type="dxa"/>
                  <w:tcBorders>
                    <w:tl2br w:val="nil"/>
                    <w:tr2bl w:val="nil"/>
                  </w:tcBorders>
                  <w:vAlign w:val="center"/>
                </w:tcPr>
                <w:p w14:paraId="5D9B2033">
                  <w:pPr>
                    <w:keepNext w:val="0"/>
                    <w:keepLines w:val="0"/>
                    <w:pageBreakBefore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2</w:t>
                  </w:r>
                </w:p>
              </w:tc>
              <w:tc>
                <w:tcPr>
                  <w:tcW w:w="4512" w:type="dxa"/>
                  <w:tcBorders>
                    <w:tl2br w:val="nil"/>
                    <w:tr2bl w:val="nil"/>
                  </w:tcBorders>
                  <w:vAlign w:val="center"/>
                </w:tcPr>
                <w:p w14:paraId="62F6C79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化学需氧量（COD</w:t>
                  </w:r>
                  <w:r>
                    <w:rPr>
                      <w:rFonts w:hint="default" w:ascii="Times New Roman" w:hAnsi="Times New Roman" w:cs="Times New Roman"/>
                      <w:color w:val="auto"/>
                      <w:kern w:val="0"/>
                      <w:highlight w:val="none"/>
                      <w:vertAlign w:val="subscript"/>
                    </w:rPr>
                    <w:t>Cr</w:t>
                  </w:r>
                  <w:r>
                    <w:rPr>
                      <w:rFonts w:hint="default" w:ascii="Times New Roman" w:hAnsi="Times New Roman" w:cs="Times New Roman"/>
                      <w:color w:val="auto"/>
                      <w:kern w:val="0"/>
                      <w:highlight w:val="none"/>
                    </w:rPr>
                    <w:t>）</w:t>
                  </w:r>
                </w:p>
              </w:tc>
              <w:tc>
                <w:tcPr>
                  <w:tcW w:w="2840" w:type="dxa"/>
                  <w:tcBorders>
                    <w:tl2br w:val="nil"/>
                    <w:tr2bl w:val="nil"/>
                  </w:tcBorders>
                  <w:vAlign w:val="center"/>
                </w:tcPr>
                <w:p w14:paraId="306D8E0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300</w:t>
                  </w:r>
                </w:p>
              </w:tc>
            </w:tr>
            <w:tr w14:paraId="474697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67" w:type="dxa"/>
                  <w:tcBorders>
                    <w:tl2br w:val="nil"/>
                    <w:tr2bl w:val="nil"/>
                  </w:tcBorders>
                  <w:vAlign w:val="center"/>
                </w:tcPr>
                <w:p w14:paraId="6F1A9980">
                  <w:pPr>
                    <w:keepNext w:val="0"/>
                    <w:keepLines w:val="0"/>
                    <w:pageBreakBefore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3</w:t>
                  </w:r>
                </w:p>
              </w:tc>
              <w:tc>
                <w:tcPr>
                  <w:tcW w:w="4512" w:type="dxa"/>
                  <w:tcBorders>
                    <w:tl2br w:val="nil"/>
                    <w:tr2bl w:val="nil"/>
                  </w:tcBorders>
                  <w:vAlign w:val="center"/>
                </w:tcPr>
                <w:p w14:paraId="41841FF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氨氮</w:t>
                  </w:r>
                </w:p>
              </w:tc>
              <w:tc>
                <w:tcPr>
                  <w:tcW w:w="2840" w:type="dxa"/>
                  <w:tcBorders>
                    <w:tl2br w:val="nil"/>
                    <w:tr2bl w:val="nil"/>
                  </w:tcBorders>
                  <w:vAlign w:val="center"/>
                </w:tcPr>
                <w:p w14:paraId="20EC07A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30</w:t>
                  </w:r>
                </w:p>
              </w:tc>
            </w:tr>
          </w:tbl>
          <w:p w14:paraId="23C7139B">
            <w:pPr>
              <w:adjustRightInd w:val="0"/>
              <w:snapToGrid w:val="0"/>
              <w:spacing w:line="360" w:lineRule="auto"/>
              <w:ind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（2）医疗废水</w:t>
            </w:r>
          </w:p>
          <w:p w14:paraId="4EAEF3B2">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医疗废水经预处理后排入管网。按照《辽宁省污水综合排放标准》的要求，最终排入污水处理厂的医疗机构废水执行《医疗机构水污染物排放标准》（GB18466-2005）标准。本项目执行其中的“综合医疗机构和其他医疗机构水污染物排放限制(日均值)”标准中的预处理标准</w:t>
            </w:r>
            <w:r>
              <w:rPr>
                <w:rFonts w:hint="eastAsia" w:cs="Times New Roman"/>
                <w:color w:val="auto"/>
                <w:sz w:val="24"/>
                <w:szCs w:val="24"/>
                <w:highlight w:val="none"/>
                <w:lang w:eastAsia="zh-CN"/>
              </w:rPr>
              <w:t>，其中</w:t>
            </w:r>
            <w:r>
              <w:rPr>
                <w:rFonts w:hint="eastAsia" w:cs="Times New Roman"/>
                <w:color w:val="auto"/>
                <w:sz w:val="24"/>
                <w:szCs w:val="24"/>
                <w:highlight w:val="none"/>
                <w:lang w:val="en-US" w:eastAsia="zh-CN"/>
              </w:rPr>
              <w:t>氨氮未做要求，参照执行</w:t>
            </w:r>
            <w:r>
              <w:rPr>
                <w:rFonts w:hint="default" w:ascii="Times New Roman" w:hAnsi="Times New Roman" w:cs="Times New Roman"/>
                <w:smallCaps/>
                <w:color w:val="auto"/>
                <w:sz w:val="24"/>
                <w:szCs w:val="24"/>
                <w:highlight w:val="none"/>
              </w:rPr>
              <w:t>辽宁省污水综合排放标准》(DB21/1627-2008)表</w:t>
            </w:r>
            <w:r>
              <w:rPr>
                <w:rFonts w:hint="eastAsia" w:cs="Times New Roman"/>
                <w:smallCaps/>
                <w:color w:val="auto"/>
                <w:sz w:val="24"/>
                <w:szCs w:val="24"/>
                <w:highlight w:val="none"/>
                <w:lang w:val="en-US" w:eastAsia="zh-CN"/>
              </w:rPr>
              <w:t>2浓度限值</w:t>
            </w:r>
            <w:r>
              <w:rPr>
                <w:rFonts w:hint="default" w:ascii="Times New Roman" w:hAnsi="Times New Roman" w:cs="Times New Roman"/>
                <w:color w:val="auto"/>
                <w:sz w:val="24"/>
                <w:szCs w:val="24"/>
                <w:highlight w:val="none"/>
              </w:rPr>
              <w:t>。具体见</w:t>
            </w:r>
            <w:r>
              <w:rPr>
                <w:rFonts w:hint="eastAsia" w:cs="Times New Roman"/>
                <w:color w:val="auto"/>
                <w:sz w:val="24"/>
                <w:szCs w:val="24"/>
                <w:highlight w:val="none"/>
                <w:lang w:eastAsia="zh-CN"/>
              </w:rPr>
              <w:t>下表</w:t>
            </w:r>
            <w:r>
              <w:rPr>
                <w:rFonts w:hint="default" w:ascii="Times New Roman" w:hAnsi="Times New Roman" w:cs="Times New Roman"/>
                <w:color w:val="auto"/>
                <w:sz w:val="24"/>
                <w:szCs w:val="24"/>
                <w:highlight w:val="none"/>
              </w:rPr>
              <w:t>。</w:t>
            </w:r>
          </w:p>
          <w:p w14:paraId="15BE483F">
            <w:pPr>
              <w:pStyle w:val="12"/>
              <w:snapToGrid w:val="0"/>
              <w:spacing w:line="360" w:lineRule="auto"/>
              <w:ind w:firstLine="0"/>
              <w:jc w:val="both"/>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表1</w:t>
            </w:r>
            <w:r>
              <w:rPr>
                <w:rFonts w:hint="eastAsia" w:cs="Times New Roman"/>
                <w:b/>
                <w:bCs/>
                <w:color w:val="auto"/>
                <w:highlight w:val="none"/>
                <w:lang w:val="en-US" w:eastAsia="zh-CN"/>
              </w:rPr>
              <w:t xml:space="preserve">7                         </w:t>
            </w:r>
            <w:r>
              <w:rPr>
                <w:rFonts w:hint="default" w:ascii="Times New Roman" w:hAnsi="Times New Roman" w:cs="Times New Roman"/>
                <w:b/>
                <w:bCs/>
                <w:color w:val="auto"/>
                <w:highlight w:val="none"/>
              </w:rPr>
              <w:t>本项目污水排放标准</w:t>
            </w:r>
          </w:p>
          <w:tbl>
            <w:tblPr>
              <w:tblStyle w:val="24"/>
              <w:tblW w:w="8743"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963"/>
              <w:gridCol w:w="4645"/>
              <w:gridCol w:w="2135"/>
            </w:tblGrid>
            <w:tr w14:paraId="3650956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04" w:hRule="atLeast"/>
                <w:jc w:val="center"/>
              </w:trPr>
              <w:tc>
                <w:tcPr>
                  <w:tcW w:w="8743" w:type="dxa"/>
                  <w:gridSpan w:val="3"/>
                  <w:tcBorders>
                    <w:top w:val="single" w:color="auto" w:sz="12" w:space="0"/>
                    <w:bottom w:val="single" w:color="auto" w:sz="2" w:space="0"/>
                  </w:tcBorders>
                  <w:vAlign w:val="center"/>
                </w:tcPr>
                <w:p w14:paraId="19E6AADF">
                  <w:pPr>
                    <w:adjustRightInd w:val="0"/>
                    <w:snapToGrid w:val="0"/>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GB18466-2005：综合医疗机构和其他医疗机构水污染物排放限值（日均值）</w:t>
                  </w:r>
                </w:p>
              </w:tc>
            </w:tr>
            <w:tr w14:paraId="549AFD8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04" w:hRule="atLeast"/>
                <w:jc w:val="center"/>
              </w:trPr>
              <w:tc>
                <w:tcPr>
                  <w:tcW w:w="1963" w:type="dxa"/>
                  <w:tcBorders>
                    <w:top w:val="single" w:color="auto" w:sz="2" w:space="0"/>
                    <w:bottom w:val="single" w:color="auto" w:sz="2" w:space="0"/>
                    <w:right w:val="single" w:color="auto" w:sz="2" w:space="0"/>
                  </w:tcBorders>
                  <w:vAlign w:val="center"/>
                </w:tcPr>
                <w:p w14:paraId="773DE19D">
                  <w:pPr>
                    <w:adjustRightInd w:val="0"/>
                    <w:snapToGrid w:val="0"/>
                    <w:spacing w:line="36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粪大肠菌群数</w:t>
                  </w:r>
                </w:p>
              </w:tc>
              <w:tc>
                <w:tcPr>
                  <w:tcW w:w="4645" w:type="dxa"/>
                  <w:tcBorders>
                    <w:top w:val="single" w:color="auto" w:sz="2" w:space="0"/>
                    <w:left w:val="single" w:color="auto" w:sz="2" w:space="0"/>
                    <w:bottom w:val="single" w:color="auto" w:sz="2" w:space="0"/>
                    <w:right w:val="single" w:color="auto" w:sz="2" w:space="0"/>
                  </w:tcBorders>
                  <w:vAlign w:val="center"/>
                </w:tcPr>
                <w:p w14:paraId="32223E69">
                  <w:pPr>
                    <w:adjustRightInd w:val="0"/>
                    <w:snapToGrid w:val="0"/>
                    <w:spacing w:line="36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MPN/L</w:t>
                  </w:r>
                </w:p>
              </w:tc>
              <w:tc>
                <w:tcPr>
                  <w:tcW w:w="2135" w:type="dxa"/>
                  <w:tcBorders>
                    <w:top w:val="single" w:color="auto" w:sz="2" w:space="0"/>
                    <w:left w:val="single" w:color="auto" w:sz="2" w:space="0"/>
                    <w:bottom w:val="single" w:color="auto" w:sz="2" w:space="0"/>
                  </w:tcBorders>
                  <w:vAlign w:val="center"/>
                </w:tcPr>
                <w:p w14:paraId="1A2A88D8">
                  <w:pPr>
                    <w:adjustRightInd w:val="0"/>
                    <w:snapToGrid w:val="0"/>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5000</w:t>
                  </w:r>
                </w:p>
              </w:tc>
            </w:tr>
            <w:tr w14:paraId="181AA65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04" w:hRule="atLeast"/>
                <w:jc w:val="center"/>
              </w:trPr>
              <w:tc>
                <w:tcPr>
                  <w:tcW w:w="1963" w:type="dxa"/>
                  <w:tcBorders>
                    <w:top w:val="single" w:color="auto" w:sz="2" w:space="0"/>
                    <w:bottom w:val="single" w:color="auto" w:sz="2" w:space="0"/>
                    <w:right w:val="single" w:color="auto" w:sz="2" w:space="0"/>
                  </w:tcBorders>
                  <w:vAlign w:val="center"/>
                </w:tcPr>
                <w:p w14:paraId="3E0C9AD7">
                  <w:pPr>
                    <w:adjustRightInd w:val="0"/>
                    <w:snapToGrid w:val="0"/>
                    <w:spacing w:line="36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pH</w:t>
                  </w:r>
                </w:p>
              </w:tc>
              <w:tc>
                <w:tcPr>
                  <w:tcW w:w="4645" w:type="dxa"/>
                  <w:tcBorders>
                    <w:top w:val="single" w:color="auto" w:sz="2" w:space="0"/>
                    <w:left w:val="single" w:color="auto" w:sz="2" w:space="0"/>
                    <w:bottom w:val="single" w:color="auto" w:sz="2" w:space="0"/>
                    <w:right w:val="single" w:color="auto" w:sz="2" w:space="0"/>
                  </w:tcBorders>
                  <w:vAlign w:val="center"/>
                </w:tcPr>
                <w:p w14:paraId="6B40A46C">
                  <w:pPr>
                    <w:adjustRightInd w:val="0"/>
                    <w:snapToGrid w:val="0"/>
                    <w:spacing w:line="360" w:lineRule="auto"/>
                    <w:jc w:val="left"/>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w:t>
                  </w:r>
                </w:p>
              </w:tc>
              <w:tc>
                <w:tcPr>
                  <w:tcW w:w="2135" w:type="dxa"/>
                  <w:tcBorders>
                    <w:top w:val="single" w:color="auto" w:sz="2" w:space="0"/>
                    <w:left w:val="single" w:color="auto" w:sz="2" w:space="0"/>
                    <w:bottom w:val="single" w:color="auto" w:sz="2" w:space="0"/>
                  </w:tcBorders>
                  <w:vAlign w:val="center"/>
                </w:tcPr>
                <w:p w14:paraId="16816AB3">
                  <w:pPr>
                    <w:adjustRightInd w:val="0"/>
                    <w:snapToGrid w:val="0"/>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6-9</w:t>
                  </w:r>
                </w:p>
              </w:tc>
            </w:tr>
            <w:tr w14:paraId="255DA41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04" w:hRule="atLeast"/>
                <w:jc w:val="center"/>
              </w:trPr>
              <w:tc>
                <w:tcPr>
                  <w:tcW w:w="1963" w:type="dxa"/>
                  <w:vMerge w:val="restart"/>
                  <w:tcBorders>
                    <w:top w:val="single" w:color="auto" w:sz="2" w:space="0"/>
                    <w:bottom w:val="single" w:color="auto" w:sz="2" w:space="0"/>
                    <w:right w:val="single" w:color="auto" w:sz="2" w:space="0"/>
                  </w:tcBorders>
                  <w:vAlign w:val="center"/>
                </w:tcPr>
                <w:p w14:paraId="7643349E">
                  <w:pPr>
                    <w:adjustRightInd w:val="0"/>
                    <w:snapToGrid w:val="0"/>
                    <w:spacing w:line="36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化学需氧量</w:t>
                  </w:r>
                </w:p>
              </w:tc>
              <w:tc>
                <w:tcPr>
                  <w:tcW w:w="4645" w:type="dxa"/>
                  <w:tcBorders>
                    <w:top w:val="single" w:color="auto" w:sz="2" w:space="0"/>
                    <w:left w:val="single" w:color="auto" w:sz="2" w:space="0"/>
                    <w:bottom w:val="single" w:color="auto" w:sz="2" w:space="0"/>
                    <w:right w:val="single" w:color="auto" w:sz="2" w:space="0"/>
                  </w:tcBorders>
                  <w:vAlign w:val="center"/>
                </w:tcPr>
                <w:p w14:paraId="31B3A4C8">
                  <w:pPr>
                    <w:adjustRightInd w:val="0"/>
                    <w:snapToGrid w:val="0"/>
                    <w:spacing w:line="36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浓度(mg/L)</w:t>
                  </w:r>
                </w:p>
              </w:tc>
              <w:tc>
                <w:tcPr>
                  <w:tcW w:w="2135" w:type="dxa"/>
                  <w:tcBorders>
                    <w:top w:val="single" w:color="auto" w:sz="2" w:space="0"/>
                    <w:left w:val="single" w:color="auto" w:sz="2" w:space="0"/>
                    <w:bottom w:val="single" w:color="auto" w:sz="2" w:space="0"/>
                  </w:tcBorders>
                  <w:vAlign w:val="center"/>
                </w:tcPr>
                <w:p w14:paraId="1F6819BE">
                  <w:pPr>
                    <w:adjustRightInd w:val="0"/>
                    <w:snapToGrid w:val="0"/>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250</w:t>
                  </w:r>
                </w:p>
              </w:tc>
            </w:tr>
            <w:tr w14:paraId="54DABD7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04" w:hRule="atLeast"/>
                <w:jc w:val="center"/>
              </w:trPr>
              <w:tc>
                <w:tcPr>
                  <w:tcW w:w="1963" w:type="dxa"/>
                  <w:vMerge w:val="continue"/>
                  <w:tcBorders>
                    <w:top w:val="single" w:color="auto" w:sz="2" w:space="0"/>
                    <w:bottom w:val="single" w:color="auto" w:sz="2" w:space="0"/>
                    <w:right w:val="single" w:color="auto" w:sz="2" w:space="0"/>
                  </w:tcBorders>
                  <w:vAlign w:val="center"/>
                </w:tcPr>
                <w:p w14:paraId="04ABD572">
                  <w:pPr>
                    <w:adjustRightInd w:val="0"/>
                    <w:snapToGrid w:val="0"/>
                    <w:spacing w:line="360" w:lineRule="auto"/>
                    <w:jc w:val="left"/>
                    <w:rPr>
                      <w:rFonts w:hint="default" w:ascii="Times New Roman" w:hAnsi="Times New Roman" w:cs="Times New Roman"/>
                      <w:color w:val="auto"/>
                      <w:highlight w:val="none"/>
                    </w:rPr>
                  </w:pPr>
                </w:p>
              </w:tc>
              <w:tc>
                <w:tcPr>
                  <w:tcW w:w="4645" w:type="dxa"/>
                  <w:tcBorders>
                    <w:top w:val="single" w:color="auto" w:sz="2" w:space="0"/>
                    <w:left w:val="single" w:color="auto" w:sz="2" w:space="0"/>
                    <w:bottom w:val="single" w:color="auto" w:sz="2" w:space="0"/>
                    <w:right w:val="single" w:color="auto" w:sz="2" w:space="0"/>
                  </w:tcBorders>
                  <w:vAlign w:val="center"/>
                </w:tcPr>
                <w:p w14:paraId="20247613">
                  <w:pPr>
                    <w:adjustRightInd w:val="0"/>
                    <w:snapToGrid w:val="0"/>
                    <w:spacing w:line="36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最高允许排放负荷[g/(床位﹒d)]</w:t>
                  </w:r>
                </w:p>
              </w:tc>
              <w:tc>
                <w:tcPr>
                  <w:tcW w:w="2135" w:type="dxa"/>
                  <w:tcBorders>
                    <w:top w:val="single" w:color="auto" w:sz="2" w:space="0"/>
                    <w:left w:val="single" w:color="auto" w:sz="2" w:space="0"/>
                    <w:bottom w:val="single" w:color="auto" w:sz="2" w:space="0"/>
                  </w:tcBorders>
                  <w:vAlign w:val="center"/>
                </w:tcPr>
                <w:p w14:paraId="4511680D">
                  <w:pPr>
                    <w:adjustRightInd w:val="0"/>
                    <w:snapToGrid w:val="0"/>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250</w:t>
                  </w:r>
                </w:p>
              </w:tc>
            </w:tr>
            <w:tr w14:paraId="398E2F6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04" w:hRule="atLeast"/>
                <w:jc w:val="center"/>
              </w:trPr>
              <w:tc>
                <w:tcPr>
                  <w:tcW w:w="1963" w:type="dxa"/>
                  <w:tcBorders>
                    <w:top w:val="single" w:color="auto" w:sz="2" w:space="0"/>
                    <w:bottom w:val="single" w:color="auto" w:sz="2" w:space="0"/>
                    <w:right w:val="single" w:color="auto" w:sz="2" w:space="0"/>
                  </w:tcBorders>
                  <w:vAlign w:val="center"/>
                </w:tcPr>
                <w:p w14:paraId="48E227FE">
                  <w:pPr>
                    <w:adjustRightInd w:val="0"/>
                    <w:snapToGrid w:val="0"/>
                    <w:spacing w:line="36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氨氮</w:t>
                  </w:r>
                </w:p>
              </w:tc>
              <w:tc>
                <w:tcPr>
                  <w:tcW w:w="4645" w:type="dxa"/>
                  <w:tcBorders>
                    <w:top w:val="single" w:color="auto" w:sz="2" w:space="0"/>
                    <w:left w:val="single" w:color="auto" w:sz="2" w:space="0"/>
                    <w:bottom w:val="single" w:color="auto" w:sz="2" w:space="0"/>
                    <w:right w:val="single" w:color="auto" w:sz="2" w:space="0"/>
                  </w:tcBorders>
                  <w:vAlign w:val="center"/>
                </w:tcPr>
                <w:p w14:paraId="60335813">
                  <w:pPr>
                    <w:adjustRightInd w:val="0"/>
                    <w:snapToGrid w:val="0"/>
                    <w:spacing w:line="36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浓度(mg/L)</w:t>
                  </w:r>
                </w:p>
              </w:tc>
              <w:tc>
                <w:tcPr>
                  <w:tcW w:w="2135" w:type="dxa"/>
                  <w:tcBorders>
                    <w:top w:val="single" w:color="auto" w:sz="2" w:space="0"/>
                    <w:left w:val="single" w:color="auto" w:sz="2" w:space="0"/>
                    <w:bottom w:val="single" w:color="auto" w:sz="2" w:space="0"/>
                  </w:tcBorders>
                  <w:vAlign w:val="center"/>
                </w:tcPr>
                <w:p w14:paraId="011F5A25">
                  <w:pPr>
                    <w:adjustRightInd w:val="0"/>
                    <w:snapToGrid w:val="0"/>
                    <w:spacing w:line="360" w:lineRule="auto"/>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30</w:t>
                  </w:r>
                </w:p>
              </w:tc>
            </w:tr>
            <w:tr w14:paraId="4F37945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04" w:hRule="atLeast"/>
                <w:jc w:val="center"/>
              </w:trPr>
              <w:tc>
                <w:tcPr>
                  <w:tcW w:w="1963" w:type="dxa"/>
                  <w:vMerge w:val="restart"/>
                  <w:tcBorders>
                    <w:top w:val="single" w:color="auto" w:sz="2" w:space="0"/>
                    <w:bottom w:val="single" w:color="auto" w:sz="2" w:space="0"/>
                    <w:right w:val="single" w:color="auto" w:sz="2" w:space="0"/>
                  </w:tcBorders>
                  <w:vAlign w:val="center"/>
                </w:tcPr>
                <w:p w14:paraId="5CEC9CED">
                  <w:pPr>
                    <w:adjustRightInd w:val="0"/>
                    <w:snapToGrid w:val="0"/>
                    <w:spacing w:line="36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悬浮物</w:t>
                  </w:r>
                </w:p>
              </w:tc>
              <w:tc>
                <w:tcPr>
                  <w:tcW w:w="4645" w:type="dxa"/>
                  <w:tcBorders>
                    <w:top w:val="single" w:color="auto" w:sz="2" w:space="0"/>
                    <w:left w:val="single" w:color="auto" w:sz="2" w:space="0"/>
                    <w:bottom w:val="single" w:color="auto" w:sz="2" w:space="0"/>
                    <w:right w:val="single" w:color="auto" w:sz="2" w:space="0"/>
                  </w:tcBorders>
                  <w:vAlign w:val="center"/>
                </w:tcPr>
                <w:p w14:paraId="2B141FAE">
                  <w:pPr>
                    <w:adjustRightInd w:val="0"/>
                    <w:snapToGrid w:val="0"/>
                    <w:spacing w:line="36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浓度(mg/L)</w:t>
                  </w:r>
                </w:p>
              </w:tc>
              <w:tc>
                <w:tcPr>
                  <w:tcW w:w="2135" w:type="dxa"/>
                  <w:tcBorders>
                    <w:top w:val="single" w:color="auto" w:sz="2" w:space="0"/>
                    <w:left w:val="single" w:color="auto" w:sz="2" w:space="0"/>
                    <w:bottom w:val="single" w:color="auto" w:sz="2" w:space="0"/>
                  </w:tcBorders>
                  <w:vAlign w:val="center"/>
                </w:tcPr>
                <w:p w14:paraId="58C8ADC1">
                  <w:pPr>
                    <w:adjustRightInd w:val="0"/>
                    <w:snapToGrid w:val="0"/>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60</w:t>
                  </w:r>
                </w:p>
              </w:tc>
            </w:tr>
            <w:tr w14:paraId="7941CD4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04" w:hRule="atLeast"/>
                <w:jc w:val="center"/>
              </w:trPr>
              <w:tc>
                <w:tcPr>
                  <w:tcW w:w="1963" w:type="dxa"/>
                  <w:vMerge w:val="continue"/>
                  <w:tcBorders>
                    <w:top w:val="single" w:color="auto" w:sz="2" w:space="0"/>
                    <w:bottom w:val="single" w:color="auto" w:sz="2" w:space="0"/>
                    <w:right w:val="single" w:color="auto" w:sz="2" w:space="0"/>
                  </w:tcBorders>
                  <w:vAlign w:val="center"/>
                </w:tcPr>
                <w:p w14:paraId="647CD3CA">
                  <w:pPr>
                    <w:adjustRightInd w:val="0"/>
                    <w:snapToGrid w:val="0"/>
                    <w:spacing w:line="360" w:lineRule="auto"/>
                    <w:jc w:val="left"/>
                    <w:rPr>
                      <w:rFonts w:hint="default" w:ascii="Times New Roman" w:hAnsi="Times New Roman" w:cs="Times New Roman"/>
                      <w:color w:val="auto"/>
                      <w:highlight w:val="none"/>
                    </w:rPr>
                  </w:pPr>
                </w:p>
              </w:tc>
              <w:tc>
                <w:tcPr>
                  <w:tcW w:w="4645" w:type="dxa"/>
                  <w:tcBorders>
                    <w:top w:val="single" w:color="auto" w:sz="2" w:space="0"/>
                    <w:left w:val="single" w:color="auto" w:sz="2" w:space="0"/>
                    <w:bottom w:val="single" w:color="auto" w:sz="2" w:space="0"/>
                    <w:right w:val="single" w:color="auto" w:sz="2" w:space="0"/>
                  </w:tcBorders>
                  <w:vAlign w:val="center"/>
                </w:tcPr>
                <w:p w14:paraId="70CE13C6">
                  <w:pPr>
                    <w:adjustRightInd w:val="0"/>
                    <w:snapToGrid w:val="0"/>
                    <w:spacing w:line="36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最高允许排放负荷[g/(床位﹒d)]</w:t>
                  </w:r>
                </w:p>
              </w:tc>
              <w:tc>
                <w:tcPr>
                  <w:tcW w:w="2135" w:type="dxa"/>
                  <w:tcBorders>
                    <w:top w:val="single" w:color="auto" w:sz="2" w:space="0"/>
                    <w:left w:val="single" w:color="auto" w:sz="2" w:space="0"/>
                    <w:bottom w:val="single" w:color="auto" w:sz="2" w:space="0"/>
                  </w:tcBorders>
                  <w:vAlign w:val="center"/>
                </w:tcPr>
                <w:p w14:paraId="5DB04377">
                  <w:pPr>
                    <w:adjustRightInd w:val="0"/>
                    <w:snapToGrid w:val="0"/>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60</w:t>
                  </w:r>
                </w:p>
              </w:tc>
            </w:tr>
            <w:tr w14:paraId="1050A14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04" w:hRule="atLeast"/>
                <w:jc w:val="center"/>
              </w:trPr>
              <w:tc>
                <w:tcPr>
                  <w:tcW w:w="8743" w:type="dxa"/>
                  <w:gridSpan w:val="3"/>
                  <w:tcBorders>
                    <w:top w:val="single" w:color="auto" w:sz="2" w:space="0"/>
                    <w:bottom w:val="single" w:color="auto" w:sz="12" w:space="0"/>
                  </w:tcBorders>
                  <w:vAlign w:val="center"/>
                </w:tcPr>
                <w:p w14:paraId="5FAB558F">
                  <w:pPr>
                    <w:adjustRightInd w:val="0"/>
                    <w:snapToGrid w:val="0"/>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消毒接触池的接触时间≥1h，接触池出口总余氯2-8mg/L</w:t>
                  </w:r>
                </w:p>
              </w:tc>
            </w:tr>
          </w:tbl>
          <w:p w14:paraId="3128FC7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s="Times New Roman"/>
                <w:color w:val="auto"/>
                <w:sz w:val="24"/>
                <w:szCs w:val="24"/>
                <w:highlight w:val="none"/>
                <w:lang w:val="en-US" w:eastAsia="zh-CN"/>
              </w:rPr>
            </w:pPr>
            <w:r>
              <w:rPr>
                <w:rFonts w:hint="eastAsia" w:cs="Times New Roman"/>
                <w:color w:val="auto"/>
                <w:sz w:val="24"/>
                <w:szCs w:val="24"/>
                <w:highlight w:val="none"/>
                <w:lang w:eastAsia="zh-CN"/>
              </w:rPr>
              <w:t>医疗废水、生活污水分别处理后经市政管网进入本溪市污水处理厂，本溪市污水处理厂出水执行《城镇污水处理厂污染物排放标准》（</w:t>
            </w:r>
            <w:r>
              <w:rPr>
                <w:rFonts w:hint="eastAsia" w:cs="Times New Roman"/>
                <w:color w:val="auto"/>
                <w:sz w:val="24"/>
                <w:szCs w:val="24"/>
                <w:highlight w:val="none"/>
                <w:lang w:val="en-US" w:eastAsia="zh-CN"/>
              </w:rPr>
              <w:t>GB18918-2002</w:t>
            </w:r>
            <w:r>
              <w:rPr>
                <w:rFonts w:hint="eastAsia" w:cs="Times New Roman"/>
                <w:color w:val="auto"/>
                <w:sz w:val="24"/>
                <w:szCs w:val="24"/>
                <w:highlight w:val="none"/>
                <w:lang w:eastAsia="zh-CN"/>
              </w:rPr>
              <w:t>）一级</w:t>
            </w:r>
            <w:r>
              <w:rPr>
                <w:rFonts w:hint="eastAsia" w:cs="Times New Roman"/>
                <w:color w:val="auto"/>
                <w:sz w:val="24"/>
                <w:szCs w:val="24"/>
                <w:highlight w:val="none"/>
                <w:lang w:val="en-US" w:eastAsia="zh-CN"/>
              </w:rPr>
              <w:t>A标准，具体见下表：</w:t>
            </w:r>
          </w:p>
          <w:p w14:paraId="66FD9B76">
            <w:pPr>
              <w:pStyle w:val="12"/>
              <w:snapToGrid w:val="0"/>
              <w:spacing w:line="360" w:lineRule="auto"/>
              <w:ind w:firstLine="0"/>
              <w:jc w:val="both"/>
              <w:rPr>
                <w:rFonts w:hint="eastAsia"/>
                <w:color w:val="auto"/>
                <w:highlight w:val="none"/>
                <w:lang w:val="en-US" w:eastAsia="zh-CN"/>
              </w:rPr>
            </w:pPr>
            <w:r>
              <w:rPr>
                <w:rFonts w:hint="default" w:ascii="Times New Roman" w:hAnsi="Times New Roman" w:cs="Times New Roman"/>
                <w:b/>
                <w:bCs/>
                <w:color w:val="auto"/>
                <w:highlight w:val="none"/>
              </w:rPr>
              <w:t>表1</w:t>
            </w:r>
            <w:r>
              <w:rPr>
                <w:rFonts w:hint="eastAsia" w:cs="Times New Roman"/>
                <w:b/>
                <w:bCs/>
                <w:color w:val="auto"/>
                <w:highlight w:val="none"/>
                <w:lang w:val="en-US" w:eastAsia="zh-CN"/>
              </w:rPr>
              <w:t xml:space="preserve">8                        </w:t>
            </w:r>
            <w:r>
              <w:rPr>
                <w:rFonts w:hint="eastAsia" w:ascii="Times New Roman" w:hAnsi="Times New Roman" w:cs="Times New Roman"/>
                <w:b/>
                <w:bCs/>
                <w:color w:val="auto"/>
                <w:highlight w:val="none"/>
                <w:lang w:eastAsia="zh-CN"/>
              </w:rPr>
              <w:t>污水处理厂</w:t>
            </w:r>
            <w:r>
              <w:rPr>
                <w:rFonts w:hint="default" w:ascii="Times New Roman" w:hAnsi="Times New Roman" w:cs="Times New Roman"/>
                <w:b/>
                <w:bCs/>
                <w:color w:val="auto"/>
                <w:highlight w:val="none"/>
              </w:rPr>
              <w:t>污水排放标准</w:t>
            </w:r>
          </w:p>
          <w:tbl>
            <w:tblPr>
              <w:tblStyle w:val="24"/>
              <w:tblW w:w="8307" w:type="dxa"/>
              <w:jc w:val="center"/>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fixed"/>
              <w:tblCellMar>
                <w:top w:w="0" w:type="dxa"/>
                <w:left w:w="108" w:type="dxa"/>
                <w:bottom w:w="0" w:type="dxa"/>
                <w:right w:w="108" w:type="dxa"/>
              </w:tblCellMar>
            </w:tblPr>
            <w:tblGrid>
              <w:gridCol w:w="1490"/>
              <w:gridCol w:w="4788"/>
              <w:gridCol w:w="2029"/>
            </w:tblGrid>
            <w:tr w14:paraId="67C76B8E">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404" w:hRule="atLeast"/>
                <w:jc w:val="center"/>
              </w:trPr>
              <w:tc>
                <w:tcPr>
                  <w:tcW w:w="1490" w:type="dxa"/>
                  <w:tcBorders>
                    <w:tl2br w:val="nil"/>
                    <w:tr2bl w:val="nil"/>
                  </w:tcBorders>
                  <w:vAlign w:val="center"/>
                </w:tcPr>
                <w:p w14:paraId="6112ED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序号</w:t>
                  </w:r>
                </w:p>
              </w:tc>
              <w:tc>
                <w:tcPr>
                  <w:tcW w:w="4788" w:type="dxa"/>
                  <w:tcBorders>
                    <w:tl2br w:val="nil"/>
                    <w:tr2bl w:val="nil"/>
                  </w:tcBorders>
                  <w:vAlign w:val="center"/>
                </w:tcPr>
                <w:p w14:paraId="1D34EC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eastAsia" w:ascii="Times New Roman" w:hAnsi="Times New Roman" w:cs="Times New Roman"/>
                      <w:color w:val="auto"/>
                      <w:highlight w:val="none"/>
                      <w:lang w:eastAsia="zh-CN"/>
                    </w:rPr>
                    <w:t>污染物</w:t>
                  </w:r>
                </w:p>
              </w:tc>
              <w:tc>
                <w:tcPr>
                  <w:tcW w:w="2029" w:type="dxa"/>
                  <w:tcBorders>
                    <w:tl2br w:val="nil"/>
                    <w:tr2bl w:val="nil"/>
                  </w:tcBorders>
                  <w:vAlign w:val="center"/>
                </w:tcPr>
                <w:p w14:paraId="168BC0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排放标准</w:t>
                  </w:r>
                </w:p>
              </w:tc>
            </w:tr>
            <w:tr w14:paraId="4E5FDD5D">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404" w:hRule="atLeast"/>
                <w:jc w:val="center"/>
              </w:trPr>
              <w:tc>
                <w:tcPr>
                  <w:tcW w:w="1490" w:type="dxa"/>
                  <w:tcBorders>
                    <w:tl2br w:val="nil"/>
                    <w:tr2bl w:val="nil"/>
                  </w:tcBorders>
                  <w:vAlign w:val="center"/>
                </w:tcPr>
                <w:p w14:paraId="6A9BB0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w:t>
                  </w:r>
                </w:p>
              </w:tc>
              <w:tc>
                <w:tcPr>
                  <w:tcW w:w="4788" w:type="dxa"/>
                  <w:tcBorders>
                    <w:tl2br w:val="nil"/>
                    <w:tr2bl w:val="nil"/>
                  </w:tcBorders>
                  <w:vAlign w:val="center"/>
                </w:tcPr>
                <w:p w14:paraId="1D589A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粪大肠菌群数</w:t>
                  </w:r>
                </w:p>
              </w:tc>
              <w:tc>
                <w:tcPr>
                  <w:tcW w:w="2029" w:type="dxa"/>
                  <w:tcBorders>
                    <w:tl2br w:val="nil"/>
                    <w:tr2bl w:val="nil"/>
                  </w:tcBorders>
                  <w:vAlign w:val="center"/>
                </w:tcPr>
                <w:p w14:paraId="3EE8C5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1000</w:t>
                  </w:r>
                </w:p>
              </w:tc>
            </w:tr>
            <w:tr w14:paraId="74C928E5">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404" w:hRule="atLeast"/>
                <w:jc w:val="center"/>
              </w:trPr>
              <w:tc>
                <w:tcPr>
                  <w:tcW w:w="1490" w:type="dxa"/>
                  <w:tcBorders>
                    <w:tl2br w:val="nil"/>
                    <w:tr2bl w:val="nil"/>
                  </w:tcBorders>
                  <w:vAlign w:val="center"/>
                </w:tcPr>
                <w:p w14:paraId="3D1072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w:t>
                  </w:r>
                </w:p>
              </w:tc>
              <w:tc>
                <w:tcPr>
                  <w:tcW w:w="4788" w:type="dxa"/>
                  <w:tcBorders>
                    <w:tl2br w:val="nil"/>
                    <w:tr2bl w:val="nil"/>
                  </w:tcBorders>
                  <w:vAlign w:val="center"/>
                </w:tcPr>
                <w:p w14:paraId="602A89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pH</w:t>
                  </w:r>
                </w:p>
              </w:tc>
              <w:tc>
                <w:tcPr>
                  <w:tcW w:w="2029" w:type="dxa"/>
                  <w:tcBorders>
                    <w:tl2br w:val="nil"/>
                    <w:tr2bl w:val="nil"/>
                  </w:tcBorders>
                  <w:vAlign w:val="center"/>
                </w:tcPr>
                <w:p w14:paraId="7C803B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6-9</w:t>
                  </w:r>
                </w:p>
              </w:tc>
            </w:tr>
            <w:tr w14:paraId="07C11747">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404" w:hRule="atLeast"/>
                <w:jc w:val="center"/>
              </w:trPr>
              <w:tc>
                <w:tcPr>
                  <w:tcW w:w="1490" w:type="dxa"/>
                  <w:tcBorders>
                    <w:tl2br w:val="nil"/>
                    <w:tr2bl w:val="nil"/>
                  </w:tcBorders>
                  <w:vAlign w:val="center"/>
                </w:tcPr>
                <w:p w14:paraId="3AF28B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w:t>
                  </w:r>
                </w:p>
              </w:tc>
              <w:tc>
                <w:tcPr>
                  <w:tcW w:w="4788" w:type="dxa"/>
                  <w:tcBorders>
                    <w:tl2br w:val="nil"/>
                    <w:tr2bl w:val="nil"/>
                  </w:tcBorders>
                  <w:vAlign w:val="center"/>
                </w:tcPr>
                <w:p w14:paraId="4048E7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化学需氧量</w:t>
                  </w:r>
                </w:p>
              </w:tc>
              <w:tc>
                <w:tcPr>
                  <w:tcW w:w="2029" w:type="dxa"/>
                  <w:tcBorders>
                    <w:tl2br w:val="nil"/>
                    <w:tr2bl w:val="nil"/>
                  </w:tcBorders>
                  <w:vAlign w:val="center"/>
                </w:tcPr>
                <w:p w14:paraId="1D48BD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50</w:t>
                  </w:r>
                </w:p>
              </w:tc>
            </w:tr>
            <w:tr w14:paraId="61205539">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404" w:hRule="atLeast"/>
                <w:jc w:val="center"/>
              </w:trPr>
              <w:tc>
                <w:tcPr>
                  <w:tcW w:w="1490" w:type="dxa"/>
                  <w:tcBorders>
                    <w:tl2br w:val="nil"/>
                    <w:tr2bl w:val="nil"/>
                  </w:tcBorders>
                  <w:vAlign w:val="center"/>
                </w:tcPr>
                <w:p w14:paraId="049A0E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w:t>
                  </w:r>
                </w:p>
              </w:tc>
              <w:tc>
                <w:tcPr>
                  <w:tcW w:w="4788" w:type="dxa"/>
                  <w:tcBorders>
                    <w:tl2br w:val="nil"/>
                    <w:tr2bl w:val="nil"/>
                  </w:tcBorders>
                  <w:vAlign w:val="center"/>
                </w:tcPr>
                <w:p w14:paraId="0093E3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氨氮</w:t>
                  </w:r>
                </w:p>
              </w:tc>
              <w:tc>
                <w:tcPr>
                  <w:tcW w:w="2029" w:type="dxa"/>
                  <w:tcBorders>
                    <w:tl2br w:val="nil"/>
                    <w:tr2bl w:val="nil"/>
                  </w:tcBorders>
                  <w:vAlign w:val="center"/>
                </w:tcPr>
                <w:p w14:paraId="33492A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5</w:t>
                  </w:r>
                </w:p>
              </w:tc>
            </w:tr>
            <w:tr w14:paraId="5574BA1B">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404" w:hRule="atLeast"/>
                <w:jc w:val="center"/>
              </w:trPr>
              <w:tc>
                <w:tcPr>
                  <w:tcW w:w="1490" w:type="dxa"/>
                  <w:tcBorders>
                    <w:tl2br w:val="nil"/>
                    <w:tr2bl w:val="nil"/>
                  </w:tcBorders>
                  <w:vAlign w:val="center"/>
                </w:tcPr>
                <w:p w14:paraId="7DFB4F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w:t>
                  </w:r>
                </w:p>
              </w:tc>
              <w:tc>
                <w:tcPr>
                  <w:tcW w:w="4788" w:type="dxa"/>
                  <w:tcBorders>
                    <w:tl2br w:val="nil"/>
                    <w:tr2bl w:val="nil"/>
                  </w:tcBorders>
                  <w:vAlign w:val="center"/>
                </w:tcPr>
                <w:p w14:paraId="5A63D8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悬浮物</w:t>
                  </w:r>
                </w:p>
              </w:tc>
              <w:tc>
                <w:tcPr>
                  <w:tcW w:w="2029" w:type="dxa"/>
                  <w:tcBorders>
                    <w:tl2br w:val="nil"/>
                    <w:tr2bl w:val="nil"/>
                  </w:tcBorders>
                  <w:vAlign w:val="center"/>
                </w:tcPr>
                <w:p w14:paraId="6A7B63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r>
          </w:tbl>
          <w:p w14:paraId="6D11642F">
            <w:pPr>
              <w:adjustRightInd w:val="0"/>
              <w:snapToGrid w:val="0"/>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4、固废废物：</w:t>
            </w:r>
          </w:p>
          <w:p w14:paraId="7C8B98D2">
            <w:pPr>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outlineLvl w:val="9"/>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（1）一般固体废物排放标准执行《一般工业固体废弃物贮存、处置场污染控制标准》（GB18599－2001）</w:t>
            </w:r>
            <w:r>
              <w:rPr>
                <w:rFonts w:hint="eastAsia" w:cs="Times New Roman"/>
                <w:color w:val="auto"/>
                <w:sz w:val="24"/>
                <w:szCs w:val="24"/>
                <w:highlight w:val="none"/>
                <w:lang w:eastAsia="zh-CN"/>
              </w:rPr>
              <w:t>及其</w:t>
            </w:r>
            <w:r>
              <w:rPr>
                <w:rFonts w:hint="default" w:ascii="Times New Roman" w:hAnsi="Times New Roman" w:cs="Times New Roman"/>
                <w:color w:val="auto"/>
                <w:sz w:val="24"/>
                <w:szCs w:val="24"/>
                <w:highlight w:val="none"/>
              </w:rPr>
              <w:t>修改单（环保部公告2013年第36号）</w:t>
            </w:r>
            <w:r>
              <w:rPr>
                <w:rFonts w:hint="default" w:ascii="Times New Roman" w:hAnsi="Times New Roman" w:cs="Times New Roman"/>
                <w:color w:val="auto"/>
                <w:spacing w:val="-2"/>
                <w:sz w:val="24"/>
                <w:szCs w:val="24"/>
                <w:highlight w:val="none"/>
              </w:rPr>
              <w:t>中相关规定。</w:t>
            </w:r>
          </w:p>
          <w:p w14:paraId="0FEB3A0D">
            <w:pPr>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outlineLvl w:val="9"/>
              <w:rPr>
                <w:rFonts w:hint="eastAsia"/>
                <w:color w:val="auto"/>
                <w:sz w:val="24"/>
                <w:highlight w:val="none"/>
              </w:rPr>
            </w:pPr>
            <w:r>
              <w:rPr>
                <w:rFonts w:hint="eastAsia" w:cs="Times New Roman"/>
                <w:color w:val="auto"/>
                <w:spacing w:val="-2"/>
                <w:sz w:val="24"/>
                <w:szCs w:val="24"/>
                <w:highlight w:val="none"/>
                <w:lang w:eastAsia="zh-CN"/>
              </w:rPr>
              <w:t>（</w:t>
            </w:r>
            <w:r>
              <w:rPr>
                <w:rFonts w:hint="eastAsia" w:cs="Times New Roman"/>
                <w:color w:val="auto"/>
                <w:spacing w:val="-2"/>
                <w:sz w:val="24"/>
                <w:szCs w:val="24"/>
                <w:highlight w:val="none"/>
                <w:lang w:val="en-US" w:eastAsia="zh-CN"/>
              </w:rPr>
              <w:t>2</w:t>
            </w:r>
            <w:r>
              <w:rPr>
                <w:rFonts w:hint="eastAsia" w:cs="Times New Roman"/>
                <w:color w:val="auto"/>
                <w:spacing w:val="-2"/>
                <w:sz w:val="24"/>
                <w:szCs w:val="24"/>
                <w:highlight w:val="none"/>
                <w:lang w:eastAsia="zh-CN"/>
              </w:rPr>
              <w:t>）</w:t>
            </w:r>
            <w:r>
              <w:rPr>
                <w:rFonts w:hint="eastAsia"/>
                <w:color w:val="auto"/>
                <w:sz w:val="24"/>
                <w:highlight w:val="none"/>
              </w:rPr>
              <w:t>项目污水处理站排出的污泥应执行《医疗机构水污染物排放标准》（</w:t>
            </w:r>
            <w:r>
              <w:rPr>
                <w:color w:val="auto"/>
                <w:sz w:val="24"/>
                <w:highlight w:val="none"/>
              </w:rPr>
              <w:t>GB18466-2005</w:t>
            </w:r>
            <w:r>
              <w:rPr>
                <w:rFonts w:hint="eastAsia"/>
                <w:color w:val="auto"/>
                <w:sz w:val="24"/>
                <w:highlight w:val="none"/>
              </w:rPr>
              <w:t>）综合医疗机构和其他医疗机构污泥控制标准，见</w:t>
            </w:r>
            <w:r>
              <w:rPr>
                <w:rFonts w:hint="eastAsia"/>
                <w:color w:val="auto"/>
                <w:sz w:val="24"/>
                <w:highlight w:val="none"/>
                <w:lang w:eastAsia="zh-CN"/>
              </w:rPr>
              <w:t>下表</w:t>
            </w:r>
            <w:r>
              <w:rPr>
                <w:rFonts w:hint="eastAsia"/>
                <w:color w:val="auto"/>
                <w:sz w:val="24"/>
                <w:highlight w:val="none"/>
              </w:rPr>
              <w:t>。</w:t>
            </w:r>
          </w:p>
          <w:p w14:paraId="14C4BA79">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Cs w:val="21"/>
                <w:highlight w:val="none"/>
              </w:rPr>
              <w:t>表</w:t>
            </w:r>
            <w:r>
              <w:rPr>
                <w:rFonts w:hint="default" w:ascii="Times New Roman" w:hAnsi="Times New Roman" w:eastAsia="宋体" w:cs="Times New Roman"/>
                <w:b/>
                <w:color w:val="auto"/>
                <w:szCs w:val="21"/>
                <w:highlight w:val="none"/>
                <w:lang w:val="en-US" w:eastAsia="zh-CN"/>
              </w:rPr>
              <w:t>1</w:t>
            </w:r>
            <w:r>
              <w:rPr>
                <w:rFonts w:hint="eastAsia" w:cs="Times New Roman"/>
                <w:b/>
                <w:color w:val="auto"/>
                <w:szCs w:val="21"/>
                <w:highlight w:val="none"/>
                <w:lang w:val="en-US" w:eastAsia="zh-CN"/>
              </w:rPr>
              <w:t>9</w:t>
            </w:r>
            <w:r>
              <w:rPr>
                <w:rFonts w:hint="default" w:ascii="Times New Roman" w:hAnsi="Times New Roman" w:eastAsia="宋体" w:cs="Times New Roman"/>
                <w:b/>
                <w:color w:val="auto"/>
                <w:szCs w:val="21"/>
                <w:highlight w:val="none"/>
              </w:rPr>
              <w:t xml:space="preserve"> </w:t>
            </w:r>
            <w:r>
              <w:rPr>
                <w:rFonts w:hint="eastAsia" w:cs="Times New Roman"/>
                <w:b/>
                <w:color w:val="auto"/>
                <w:szCs w:val="21"/>
                <w:highlight w:val="none"/>
                <w:lang w:val="en-US" w:eastAsia="zh-CN"/>
              </w:rPr>
              <w:t xml:space="preserve">                     </w:t>
            </w:r>
            <w:r>
              <w:rPr>
                <w:rFonts w:hint="default" w:ascii="Times New Roman" w:hAnsi="Times New Roman" w:eastAsia="宋体" w:cs="Times New Roman"/>
                <w:b/>
                <w:color w:val="auto"/>
                <w:szCs w:val="21"/>
                <w:highlight w:val="none"/>
              </w:rPr>
              <w:t>医疗机构污泥控制标准</w:t>
            </w:r>
          </w:p>
          <w:tbl>
            <w:tblPr>
              <w:tblStyle w:val="24"/>
              <w:tblW w:w="841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98"/>
              <w:gridCol w:w="3411"/>
              <w:gridCol w:w="2909"/>
            </w:tblGrid>
            <w:tr w14:paraId="088293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98" w:type="dxa"/>
                  <w:tcBorders>
                    <w:tl2br w:val="nil"/>
                    <w:tr2bl w:val="nil"/>
                  </w:tcBorders>
                  <w:vAlign w:val="center"/>
                </w:tcPr>
                <w:p w14:paraId="34937912">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医疗机构类别</w:t>
                  </w:r>
                </w:p>
              </w:tc>
              <w:tc>
                <w:tcPr>
                  <w:tcW w:w="3411" w:type="dxa"/>
                  <w:tcBorders>
                    <w:tl2br w:val="nil"/>
                    <w:tr2bl w:val="nil"/>
                  </w:tcBorders>
                  <w:vAlign w:val="center"/>
                </w:tcPr>
                <w:p w14:paraId="021C9661">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粪大肠菌群数 (MPN/g)</w:t>
                  </w:r>
                </w:p>
              </w:tc>
              <w:tc>
                <w:tcPr>
                  <w:tcW w:w="2909" w:type="dxa"/>
                  <w:tcBorders>
                    <w:tl2br w:val="nil"/>
                    <w:tr2bl w:val="nil"/>
                  </w:tcBorders>
                  <w:vAlign w:val="center"/>
                </w:tcPr>
                <w:p w14:paraId="538C1CCA">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蛔虫卵死亡率（%）</w:t>
                  </w:r>
                </w:p>
              </w:tc>
            </w:tr>
            <w:tr w14:paraId="105ACB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98" w:type="dxa"/>
                  <w:tcBorders>
                    <w:tl2br w:val="nil"/>
                    <w:tr2bl w:val="nil"/>
                  </w:tcBorders>
                  <w:vAlign w:val="center"/>
                </w:tcPr>
                <w:p w14:paraId="3A367FE6">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综合医疗机构和其它医疗机构</w:t>
                  </w:r>
                </w:p>
              </w:tc>
              <w:tc>
                <w:tcPr>
                  <w:tcW w:w="3411" w:type="dxa"/>
                  <w:tcBorders>
                    <w:tl2br w:val="nil"/>
                    <w:tr2bl w:val="nil"/>
                  </w:tcBorders>
                  <w:vAlign w:val="center"/>
                </w:tcPr>
                <w:p w14:paraId="7F8B68D7">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≤100</w:t>
                  </w:r>
                </w:p>
              </w:tc>
              <w:tc>
                <w:tcPr>
                  <w:tcW w:w="2909" w:type="dxa"/>
                  <w:tcBorders>
                    <w:tl2br w:val="nil"/>
                    <w:tr2bl w:val="nil"/>
                  </w:tcBorders>
                  <w:vAlign w:val="center"/>
                </w:tcPr>
                <w:p w14:paraId="11C82F43">
                  <w:pPr>
                    <w:adjustRightInd w:val="0"/>
                    <w:snapToGrid w:val="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&gt;95</w:t>
                  </w:r>
                </w:p>
              </w:tc>
            </w:tr>
          </w:tbl>
          <w:p w14:paraId="39585AB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）医疗废物暂存执行《</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"http://www.es.org.cn/siteadmin/File/StdView.php?bzlistID=382" \t "_blank"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sz w:val="24"/>
                <w:szCs w:val="24"/>
                <w:highlight w:val="none"/>
              </w:rPr>
              <w:t>医疗废物专用包装袋、容器和警示标志标准</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"http://www.es.org.cn/siteadmin/File/StdView.php?bzlistID=382" \t "_blank"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sz w:val="24"/>
                <w:szCs w:val="24"/>
                <w:highlight w:val="none"/>
              </w:rPr>
              <w:t>HJ/T 421-2008</w:t>
            </w:r>
            <w:r>
              <w:rPr>
                <w:rFonts w:hint="default" w:ascii="Times New Roman" w:hAnsi="Times New Roman" w:cs="Times New Roman"/>
                <w:color w:val="auto"/>
                <w:sz w:val="24"/>
                <w:szCs w:val="24"/>
                <w:highlight w:val="none"/>
              </w:rPr>
              <w:fldChar w:fldCharType="end"/>
            </w:r>
            <w:r>
              <w:rPr>
                <w:rFonts w:hint="default" w:ascii="Times New Roman" w:hAnsi="Times New Roman" w:cs="Times New Roman"/>
                <w:color w:val="auto"/>
                <w:sz w:val="24"/>
                <w:szCs w:val="24"/>
                <w:highlight w:val="none"/>
              </w:rPr>
              <w:t>）、《危险废物贮存污染控制标准》</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GB18597-2001</w:t>
            </w:r>
            <w:r>
              <w:rPr>
                <w:rFonts w:hint="eastAsia" w:cs="Times New Roman"/>
                <w:color w:val="auto"/>
                <w:sz w:val="24"/>
                <w:szCs w:val="24"/>
                <w:highlight w:val="none"/>
                <w:lang w:eastAsia="zh-CN"/>
              </w:rPr>
              <w:t>）及其</w:t>
            </w:r>
            <w:r>
              <w:rPr>
                <w:rFonts w:hint="default" w:ascii="Times New Roman" w:hAnsi="Times New Roman" w:cs="Times New Roman"/>
                <w:color w:val="auto"/>
                <w:sz w:val="24"/>
                <w:szCs w:val="24"/>
                <w:highlight w:val="none"/>
              </w:rPr>
              <w:t>修改单（环保部公告2013年第36号）、《医疗废物管理条例》（国务院令第380号）。</w:t>
            </w:r>
          </w:p>
        </w:tc>
      </w:tr>
      <w:tr w14:paraId="2CFB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5" w:hRule="atLeast"/>
        </w:trPr>
        <w:tc>
          <w:tcPr>
            <w:tcW w:w="534" w:type="dxa"/>
            <w:tcBorders>
              <w:bottom w:val="single" w:color="auto" w:sz="12" w:space="0"/>
            </w:tcBorders>
            <w:vAlign w:val="center"/>
          </w:tcPr>
          <w:p w14:paraId="63D17CF1">
            <w:pP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总量控制指标</w:t>
            </w:r>
          </w:p>
        </w:tc>
        <w:tc>
          <w:tcPr>
            <w:tcW w:w="8959" w:type="dxa"/>
            <w:tcBorders>
              <w:bottom w:val="single" w:color="auto" w:sz="12" w:space="0"/>
            </w:tcBorders>
            <w:vAlign w:val="center"/>
          </w:tcPr>
          <w:p w14:paraId="1818E847">
            <w:pPr>
              <w:pStyle w:val="17"/>
              <w:adjustRightInd w:val="0"/>
              <w:snapToGrid w:val="0"/>
              <w:spacing w:line="360" w:lineRule="auto"/>
              <w:ind w:firstLine="480" w:firstLineChars="200"/>
              <w:rPr>
                <w:rFonts w:hint="default" w:ascii="Times New Roman" w:hAnsi="Times New Roman" w:cs="Times New Roman"/>
                <w:color w:val="auto"/>
                <w:sz w:val="24"/>
                <w:szCs w:val="24"/>
                <w:highlight w:val="none"/>
              </w:rPr>
            </w:pPr>
          </w:p>
          <w:p w14:paraId="5732355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textAlignment w:val="auto"/>
              <w:outlineLvl w:val="9"/>
              <w:rPr>
                <w:rFonts w:hint="eastAsia" w:ascii="Times New Roman" w:hAnsi="Times New Roman" w:cs="Times New Roman"/>
                <w:color w:val="auto"/>
                <w:sz w:val="24"/>
                <w:szCs w:val="24"/>
                <w:highlight w:val="none"/>
                <w:vertAlign w:val="baseline"/>
                <w:lang w:val="en-US" w:eastAsia="zh-CN"/>
              </w:rPr>
            </w:pPr>
            <w:r>
              <w:rPr>
                <w:rFonts w:ascii="Times New Roman" w:hAnsi="Times New Roman" w:cs="Times New Roman"/>
                <w:color w:val="auto"/>
                <w:sz w:val="24"/>
                <w:szCs w:val="24"/>
                <w:highlight w:val="none"/>
                <w:lang w:eastAsia="zh-CN"/>
              </w:rPr>
              <w:t>根据</w:t>
            </w:r>
            <w:r>
              <w:rPr>
                <w:rFonts w:hint="eastAsia" w:ascii="Times New Roman" w:hAnsi="Times New Roman" w:cs="Times New Roman"/>
                <w:color w:val="auto"/>
                <w:sz w:val="24"/>
                <w:szCs w:val="24"/>
                <w:highlight w:val="none"/>
                <w:lang w:eastAsia="zh-CN"/>
              </w:rPr>
              <w:t>《建设项目主要污染物排放总量指标审核及管理暂行办法》（环发[2014]197号）</w:t>
            </w:r>
            <w:r>
              <w:rPr>
                <w:rFonts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rPr>
              <w:t>《辽宁省环境保护厅关于贯彻执行环保部建设项目主要污染物排放总量指标审核及管理暂行办法的通知》</w:t>
            </w: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rPr>
              <w:t>辽宁省环境保护</w:t>
            </w:r>
            <w:r>
              <w:rPr>
                <w:rFonts w:hint="eastAsia" w:cs="Times New Roman"/>
                <w:color w:val="auto"/>
                <w:sz w:val="24"/>
                <w:szCs w:val="24"/>
                <w:highlight w:val="none"/>
                <w:lang w:eastAsia="zh-CN"/>
              </w:rPr>
              <w:t>厅</w:t>
            </w:r>
            <w:r>
              <w:rPr>
                <w:rFonts w:ascii="Times New Roman" w:hAnsi="Times New Roman" w:cs="Times New Roman"/>
                <w:color w:val="auto"/>
                <w:sz w:val="24"/>
                <w:szCs w:val="24"/>
                <w:highlight w:val="none"/>
              </w:rPr>
              <w:t>，辽环</w:t>
            </w:r>
            <w:r>
              <w:rPr>
                <w:rFonts w:hint="eastAsia" w:cs="Times New Roman"/>
                <w:color w:val="auto"/>
                <w:sz w:val="24"/>
                <w:szCs w:val="24"/>
                <w:highlight w:val="none"/>
                <w:lang w:eastAsia="zh-CN"/>
              </w:rPr>
              <w:t>发</w:t>
            </w:r>
            <w:r>
              <w:rPr>
                <w:rFonts w:ascii="Times New Roman" w:hAnsi="Times New Roman" w:cs="Times New Roman"/>
                <w:color w:val="auto"/>
                <w:sz w:val="24"/>
                <w:szCs w:val="24"/>
                <w:highlight w:val="none"/>
              </w:rPr>
              <w:t>[</w:t>
            </w:r>
            <w:r>
              <w:rPr>
                <w:rFonts w:hint="eastAsia" w:cs="Times New Roman"/>
                <w:color w:val="auto"/>
                <w:sz w:val="24"/>
                <w:szCs w:val="24"/>
                <w:highlight w:val="none"/>
                <w:lang w:eastAsia="zh-CN"/>
              </w:rPr>
              <w:t>2015</w:t>
            </w:r>
            <w:r>
              <w:rPr>
                <w:rFonts w:ascii="Times New Roman" w:hAnsi="Times New Roman" w:cs="Times New Roman"/>
                <w:color w:val="auto"/>
                <w:sz w:val="24"/>
                <w:szCs w:val="24"/>
                <w:highlight w:val="none"/>
              </w:rPr>
              <w:t>]1</w:t>
            </w:r>
            <w:r>
              <w:rPr>
                <w:rFonts w:hint="eastAsia" w:cs="Times New Roman"/>
                <w:color w:val="auto"/>
                <w:sz w:val="24"/>
                <w:szCs w:val="24"/>
                <w:highlight w:val="none"/>
                <w:lang w:eastAsia="zh-CN"/>
              </w:rPr>
              <w:t>7</w:t>
            </w:r>
            <w:r>
              <w:rPr>
                <w:rFonts w:ascii="Times New Roman" w:hAnsi="Times New Roman" w:cs="Times New Roman"/>
                <w:color w:val="auto"/>
                <w:sz w:val="24"/>
                <w:szCs w:val="24"/>
                <w:highlight w:val="none"/>
              </w:rPr>
              <w:t>号</w:t>
            </w: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lang w:eastAsia="zh-CN"/>
              </w:rPr>
              <w:t>及本项目的特点，并结合项目污染物排放及周围环境状况确定本项目总量控制因子</w:t>
            </w:r>
            <w:r>
              <w:rPr>
                <w:rFonts w:hint="eastAsia" w:ascii="Times New Roman" w:hAnsi="Times New Roman" w:cs="Times New Roman"/>
                <w:color w:val="auto"/>
                <w:sz w:val="24"/>
                <w:szCs w:val="24"/>
                <w:highlight w:val="none"/>
                <w:lang w:eastAsia="zh-CN"/>
              </w:rPr>
              <w:t>为</w:t>
            </w:r>
            <w:r>
              <w:rPr>
                <w:rFonts w:hint="eastAsia" w:ascii="Times New Roman" w:hAnsi="Times New Roman" w:cs="Times New Roman"/>
                <w:color w:val="auto"/>
                <w:sz w:val="24"/>
                <w:szCs w:val="24"/>
                <w:highlight w:val="none"/>
                <w:lang w:val="en-US" w:eastAsia="zh-CN"/>
              </w:rPr>
              <w:t>COD、NH</w:t>
            </w:r>
            <w:r>
              <w:rPr>
                <w:rFonts w:hint="eastAsia" w:ascii="Times New Roman" w:hAnsi="Times New Roman" w:cs="Times New Roman"/>
                <w:color w:val="auto"/>
                <w:sz w:val="24"/>
                <w:szCs w:val="24"/>
                <w:highlight w:val="none"/>
                <w:vertAlign w:val="subscript"/>
                <w:lang w:val="en-US" w:eastAsia="zh-CN"/>
              </w:rPr>
              <w:t>3</w:t>
            </w:r>
            <w:r>
              <w:rPr>
                <w:rFonts w:hint="eastAsia" w:ascii="Times New Roman" w:hAnsi="Times New Roman" w:cs="Times New Roman"/>
                <w:color w:val="auto"/>
                <w:sz w:val="24"/>
                <w:szCs w:val="24"/>
                <w:highlight w:val="none"/>
                <w:lang w:val="en-US" w:eastAsia="zh-CN"/>
              </w:rPr>
              <w:t>-N</w:t>
            </w:r>
            <w:r>
              <w:rPr>
                <w:rFonts w:hint="eastAsia" w:ascii="Times New Roman" w:hAnsi="Times New Roman" w:cs="Times New Roman"/>
                <w:color w:val="auto"/>
                <w:sz w:val="24"/>
                <w:szCs w:val="24"/>
                <w:highlight w:val="none"/>
                <w:vertAlign w:val="baseline"/>
                <w:lang w:val="en-US" w:eastAsia="zh-CN"/>
              </w:rPr>
              <w:t>。</w:t>
            </w:r>
          </w:p>
          <w:p w14:paraId="54D0CEC7">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cs="Times New Roman"/>
                <w:color w:val="auto"/>
                <w:sz w:val="24"/>
                <w:szCs w:val="24"/>
                <w:highlight w:val="none"/>
                <w:vertAlign w:val="baseline"/>
                <w:lang w:val="en-US" w:eastAsia="zh-CN"/>
              </w:rPr>
            </w:pPr>
            <w:r>
              <w:rPr>
                <w:rFonts w:hint="eastAsia" w:ascii="Times New Roman" w:hAnsi="Times New Roman" w:cs="Times New Roman"/>
                <w:color w:val="auto"/>
                <w:sz w:val="24"/>
                <w:szCs w:val="24"/>
                <w:highlight w:val="none"/>
                <w:vertAlign w:val="baseline"/>
                <w:lang w:val="en-US" w:eastAsia="zh-CN"/>
              </w:rPr>
              <w:t>根据工程分析，本项目废水污染物企业排口COD排放量为</w:t>
            </w:r>
            <w:r>
              <w:rPr>
                <w:rFonts w:hint="eastAsia" w:cs="Times New Roman"/>
                <w:color w:val="auto"/>
                <w:sz w:val="24"/>
                <w:szCs w:val="24"/>
                <w:highlight w:val="none"/>
                <w:vertAlign w:val="baseline"/>
                <w:lang w:val="en-US" w:eastAsia="zh-CN"/>
              </w:rPr>
              <w:t>2.43</w:t>
            </w:r>
            <w:r>
              <w:rPr>
                <w:rFonts w:hint="eastAsia" w:ascii="Times New Roman" w:hAnsi="Times New Roman" w:cs="Times New Roman"/>
                <w:color w:val="auto"/>
                <w:sz w:val="24"/>
                <w:szCs w:val="24"/>
                <w:highlight w:val="none"/>
                <w:vertAlign w:val="baseline"/>
                <w:lang w:val="en-US" w:eastAsia="zh-CN"/>
              </w:rPr>
              <w:t>t/a，</w:t>
            </w:r>
            <w:r>
              <w:rPr>
                <w:rFonts w:hint="eastAsia" w:ascii="Times New Roman" w:hAnsi="Times New Roman" w:cs="Times New Roman"/>
                <w:color w:val="auto"/>
                <w:sz w:val="24"/>
                <w:szCs w:val="24"/>
                <w:highlight w:val="none"/>
                <w:lang w:val="en-US" w:eastAsia="zh-CN"/>
              </w:rPr>
              <w:t>NH</w:t>
            </w:r>
            <w:r>
              <w:rPr>
                <w:rFonts w:hint="eastAsia" w:ascii="Times New Roman" w:hAnsi="Times New Roman" w:cs="Times New Roman"/>
                <w:color w:val="auto"/>
                <w:sz w:val="24"/>
                <w:szCs w:val="24"/>
                <w:highlight w:val="none"/>
                <w:vertAlign w:val="subscript"/>
                <w:lang w:val="en-US" w:eastAsia="zh-CN"/>
              </w:rPr>
              <w:t>3</w:t>
            </w:r>
            <w:r>
              <w:rPr>
                <w:rFonts w:hint="eastAsia" w:ascii="Times New Roman" w:hAnsi="Times New Roman" w:cs="Times New Roman"/>
                <w:color w:val="auto"/>
                <w:sz w:val="24"/>
                <w:szCs w:val="24"/>
                <w:highlight w:val="none"/>
                <w:lang w:val="en-US" w:eastAsia="zh-CN"/>
              </w:rPr>
              <w:t>-N</w:t>
            </w:r>
            <w:r>
              <w:rPr>
                <w:rFonts w:hint="eastAsia" w:ascii="Times New Roman" w:hAnsi="Times New Roman" w:cs="Times New Roman"/>
                <w:color w:val="auto"/>
                <w:sz w:val="24"/>
                <w:szCs w:val="24"/>
                <w:highlight w:val="none"/>
                <w:vertAlign w:val="baseline"/>
                <w:lang w:val="en-US" w:eastAsia="zh-CN"/>
              </w:rPr>
              <w:t>排放量为0.</w:t>
            </w:r>
            <w:r>
              <w:rPr>
                <w:rFonts w:hint="eastAsia" w:cs="Times New Roman"/>
                <w:color w:val="auto"/>
                <w:sz w:val="24"/>
                <w:szCs w:val="24"/>
                <w:highlight w:val="none"/>
                <w:vertAlign w:val="baseline"/>
                <w:lang w:val="en-US" w:eastAsia="zh-CN"/>
              </w:rPr>
              <w:t>306</w:t>
            </w:r>
            <w:r>
              <w:rPr>
                <w:rFonts w:hint="eastAsia" w:ascii="Times New Roman" w:hAnsi="Times New Roman" w:cs="Times New Roman"/>
                <w:color w:val="auto"/>
                <w:sz w:val="24"/>
                <w:szCs w:val="24"/>
                <w:highlight w:val="none"/>
                <w:vertAlign w:val="baseline"/>
                <w:lang w:val="en-US" w:eastAsia="zh-CN"/>
              </w:rPr>
              <w:t>t/a；</w:t>
            </w:r>
            <w:r>
              <w:rPr>
                <w:rFonts w:hint="default" w:ascii="Times New Roman" w:hAnsi="Times New Roman" w:cs="Times New Roman"/>
                <w:color w:val="auto"/>
                <w:sz w:val="24"/>
                <w:szCs w:val="24"/>
                <w:highlight w:val="none"/>
                <w:lang w:val="en-US" w:eastAsia="zh-CN"/>
              </w:rPr>
              <w:t>污水处理厂执行《城镇污水处理厂污染物排放标准》（GB18918-2002）中的一级A标准,即COD 50mg/L、NH</w:t>
            </w:r>
            <w:r>
              <w:rPr>
                <w:rFonts w:hint="default" w:ascii="Times New Roman" w:hAnsi="Times New Roman" w:cs="Times New Roman"/>
                <w:color w:val="auto"/>
                <w:sz w:val="24"/>
                <w:szCs w:val="24"/>
                <w:highlight w:val="none"/>
                <w:vertAlign w:val="subscript"/>
                <w:lang w:val="en-US" w:eastAsia="zh-CN"/>
              </w:rPr>
              <w:t>3</w:t>
            </w:r>
            <w:r>
              <w:rPr>
                <w:rFonts w:hint="default" w:ascii="Times New Roman" w:hAnsi="Times New Roman" w:cs="Times New Roman"/>
                <w:color w:val="auto"/>
                <w:sz w:val="24"/>
                <w:szCs w:val="24"/>
                <w:highlight w:val="none"/>
                <w:lang w:val="en-US" w:eastAsia="zh-CN"/>
              </w:rPr>
              <w:t>-N 5mg/L，</w:t>
            </w:r>
            <w:r>
              <w:rPr>
                <w:rFonts w:hint="eastAsia" w:cs="Times New Roman"/>
                <w:color w:val="auto"/>
                <w:sz w:val="24"/>
                <w:szCs w:val="24"/>
                <w:highlight w:val="none"/>
                <w:lang w:val="en-US" w:eastAsia="zh-CN"/>
              </w:rPr>
              <w:t>总废水量为11249.3t/a，</w:t>
            </w:r>
            <w:r>
              <w:rPr>
                <w:rFonts w:hint="eastAsia" w:ascii="Times New Roman" w:hAnsi="Times New Roman" w:cs="Times New Roman"/>
                <w:color w:val="auto"/>
                <w:sz w:val="24"/>
                <w:szCs w:val="24"/>
                <w:highlight w:val="none"/>
                <w:lang w:val="en-US" w:eastAsia="zh-CN"/>
              </w:rPr>
              <w:t>则污水处理厂</w:t>
            </w:r>
            <w:r>
              <w:rPr>
                <w:rFonts w:hint="eastAsia" w:ascii="Times New Roman" w:hAnsi="Times New Roman" w:cs="Times New Roman"/>
                <w:color w:val="auto"/>
                <w:sz w:val="24"/>
                <w:szCs w:val="24"/>
                <w:highlight w:val="none"/>
                <w:vertAlign w:val="baseline"/>
                <w:lang w:val="en-US" w:eastAsia="zh-CN"/>
              </w:rPr>
              <w:t>排口COD排放量为</w:t>
            </w:r>
            <w:r>
              <w:rPr>
                <w:rFonts w:hint="eastAsia" w:cs="Times New Roman"/>
                <w:color w:val="auto"/>
                <w:sz w:val="24"/>
                <w:szCs w:val="24"/>
                <w:highlight w:val="none"/>
                <w:vertAlign w:val="baseline"/>
                <w:lang w:val="en-US" w:eastAsia="zh-CN"/>
              </w:rPr>
              <w:t>0.56</w:t>
            </w:r>
            <w:r>
              <w:rPr>
                <w:rFonts w:hint="eastAsia" w:ascii="Times New Roman" w:hAnsi="Times New Roman" w:cs="Times New Roman"/>
                <w:color w:val="auto"/>
                <w:sz w:val="24"/>
                <w:szCs w:val="24"/>
                <w:highlight w:val="none"/>
                <w:vertAlign w:val="baseline"/>
                <w:lang w:val="en-US" w:eastAsia="zh-CN"/>
              </w:rPr>
              <w:t>t/a，</w:t>
            </w:r>
            <w:r>
              <w:rPr>
                <w:rFonts w:hint="eastAsia" w:ascii="Times New Roman" w:hAnsi="Times New Roman" w:cs="Times New Roman"/>
                <w:color w:val="auto"/>
                <w:sz w:val="24"/>
                <w:szCs w:val="24"/>
                <w:highlight w:val="none"/>
                <w:lang w:val="en-US" w:eastAsia="zh-CN"/>
              </w:rPr>
              <w:t>NH</w:t>
            </w:r>
            <w:r>
              <w:rPr>
                <w:rFonts w:hint="eastAsia" w:ascii="Times New Roman" w:hAnsi="Times New Roman" w:cs="Times New Roman"/>
                <w:color w:val="auto"/>
                <w:sz w:val="24"/>
                <w:szCs w:val="24"/>
                <w:highlight w:val="none"/>
                <w:vertAlign w:val="subscript"/>
                <w:lang w:val="en-US" w:eastAsia="zh-CN"/>
              </w:rPr>
              <w:t>3</w:t>
            </w:r>
            <w:r>
              <w:rPr>
                <w:rFonts w:hint="eastAsia" w:ascii="Times New Roman" w:hAnsi="Times New Roman" w:cs="Times New Roman"/>
                <w:color w:val="auto"/>
                <w:sz w:val="24"/>
                <w:szCs w:val="24"/>
                <w:highlight w:val="none"/>
                <w:lang w:val="en-US" w:eastAsia="zh-CN"/>
              </w:rPr>
              <w:t>-N</w:t>
            </w:r>
            <w:r>
              <w:rPr>
                <w:rFonts w:hint="eastAsia" w:ascii="Times New Roman" w:hAnsi="Times New Roman" w:cs="Times New Roman"/>
                <w:color w:val="auto"/>
                <w:sz w:val="24"/>
                <w:szCs w:val="24"/>
                <w:highlight w:val="none"/>
                <w:vertAlign w:val="baseline"/>
                <w:lang w:val="en-US" w:eastAsia="zh-CN"/>
              </w:rPr>
              <w:t>排放量为</w:t>
            </w:r>
            <w:r>
              <w:rPr>
                <w:rFonts w:hint="eastAsia" w:cs="Times New Roman"/>
                <w:color w:val="auto"/>
                <w:sz w:val="24"/>
                <w:szCs w:val="24"/>
                <w:highlight w:val="none"/>
                <w:vertAlign w:val="baseline"/>
                <w:lang w:val="en-US" w:eastAsia="zh-CN"/>
              </w:rPr>
              <w:t>0.06</w:t>
            </w:r>
            <w:r>
              <w:rPr>
                <w:rFonts w:hint="eastAsia" w:ascii="Times New Roman" w:hAnsi="Times New Roman" w:cs="Times New Roman"/>
                <w:color w:val="auto"/>
                <w:sz w:val="24"/>
                <w:szCs w:val="24"/>
                <w:highlight w:val="none"/>
                <w:vertAlign w:val="baseline"/>
                <w:lang w:val="en-US" w:eastAsia="zh-CN"/>
              </w:rPr>
              <w:t>t/a。</w:t>
            </w:r>
          </w:p>
          <w:p w14:paraId="5E017DAD">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cs="Times New Roman"/>
                <w:color w:val="FF0000"/>
                <w:sz w:val="24"/>
                <w:szCs w:val="24"/>
                <w:highlight w:val="none"/>
                <w:lang w:eastAsia="zh-CN"/>
              </w:rPr>
            </w:pPr>
            <w:r>
              <w:rPr>
                <w:rFonts w:hint="default" w:ascii="Times New Roman" w:hAnsi="Times New Roman" w:cs="Times New Roman"/>
                <w:color w:val="FF0000"/>
                <w:sz w:val="24"/>
                <w:szCs w:val="24"/>
                <w:highlight w:val="none"/>
                <w:lang w:val="en-US" w:eastAsia="zh-CN"/>
              </w:rPr>
              <w:t>本项目污水排入本溪市污水处理厂，本溪市污水处理厂COD</w:t>
            </w:r>
            <w:r>
              <w:rPr>
                <w:rFonts w:hint="eastAsia" w:cs="Times New Roman"/>
                <w:color w:val="FF0000"/>
                <w:sz w:val="24"/>
                <w:szCs w:val="24"/>
                <w:highlight w:val="none"/>
                <w:lang w:val="en-US" w:eastAsia="zh-CN"/>
              </w:rPr>
              <w:t>、NH</w:t>
            </w:r>
            <w:r>
              <w:rPr>
                <w:rFonts w:hint="eastAsia" w:cs="Times New Roman"/>
                <w:color w:val="FF0000"/>
                <w:sz w:val="24"/>
                <w:szCs w:val="24"/>
                <w:highlight w:val="none"/>
                <w:vertAlign w:val="subscript"/>
                <w:lang w:val="en-US" w:eastAsia="zh-CN"/>
              </w:rPr>
              <w:t>3</w:t>
            </w:r>
            <w:r>
              <w:rPr>
                <w:rFonts w:hint="eastAsia" w:cs="Times New Roman"/>
                <w:color w:val="FF0000"/>
                <w:sz w:val="24"/>
                <w:szCs w:val="24"/>
                <w:highlight w:val="none"/>
                <w:lang w:val="en-US" w:eastAsia="zh-CN"/>
              </w:rPr>
              <w:t>-N污染物许可排放量尚有余量，</w:t>
            </w:r>
            <w:r>
              <w:rPr>
                <w:rFonts w:hint="default" w:ascii="Times New Roman" w:hAnsi="Times New Roman" w:cs="Times New Roman"/>
                <w:color w:val="FF0000"/>
                <w:sz w:val="24"/>
                <w:szCs w:val="24"/>
                <w:highlight w:val="none"/>
                <w:lang w:val="en-US" w:eastAsia="zh-CN"/>
              </w:rPr>
              <w:t>废水污染物总量计入本溪市污水处理厂总量，</w:t>
            </w:r>
            <w:r>
              <w:rPr>
                <w:rFonts w:hint="eastAsia" w:ascii="Times New Roman" w:hAnsi="Times New Roman" w:cs="Times New Roman"/>
                <w:color w:val="FF0000"/>
                <w:sz w:val="24"/>
                <w:szCs w:val="24"/>
                <w:highlight w:val="none"/>
                <w:lang w:val="en-US" w:eastAsia="zh-CN"/>
              </w:rPr>
              <w:t>无需新申请总量，</w:t>
            </w:r>
            <w:r>
              <w:rPr>
                <w:rFonts w:hint="eastAsia" w:cs="Times New Roman"/>
                <w:color w:val="FF0000"/>
                <w:sz w:val="24"/>
                <w:szCs w:val="24"/>
                <w:highlight w:val="none"/>
                <w:lang w:val="en-US" w:eastAsia="zh-CN"/>
              </w:rPr>
              <w:t>故本项目总量控制指标为COD：0</w:t>
            </w:r>
            <w:r>
              <w:rPr>
                <w:rFonts w:hint="default" w:ascii="Times New Roman" w:hAnsi="Times New Roman" w:cs="Times New Roman"/>
                <w:color w:val="FF0000"/>
                <w:sz w:val="24"/>
                <w:szCs w:val="24"/>
                <w:highlight w:val="none"/>
              </w:rPr>
              <w:t>t/a</w:t>
            </w:r>
            <w:r>
              <w:rPr>
                <w:rFonts w:hint="eastAsia" w:cs="Times New Roman"/>
                <w:color w:val="FF0000"/>
                <w:sz w:val="24"/>
                <w:szCs w:val="24"/>
                <w:highlight w:val="none"/>
                <w:lang w:eastAsia="zh-CN"/>
              </w:rPr>
              <w:t>，</w:t>
            </w:r>
            <w:r>
              <w:rPr>
                <w:rFonts w:hint="default" w:ascii="Times New Roman" w:hAnsi="Times New Roman" w:cs="Times New Roman"/>
                <w:color w:val="FF0000"/>
                <w:sz w:val="24"/>
                <w:szCs w:val="24"/>
                <w:highlight w:val="none"/>
              </w:rPr>
              <w:t>NH</w:t>
            </w:r>
            <w:r>
              <w:rPr>
                <w:rFonts w:hint="default" w:ascii="Times New Roman" w:hAnsi="Times New Roman" w:cs="Times New Roman"/>
                <w:color w:val="FF0000"/>
                <w:sz w:val="24"/>
                <w:szCs w:val="24"/>
                <w:highlight w:val="none"/>
                <w:vertAlign w:val="subscript"/>
              </w:rPr>
              <w:t>3</w:t>
            </w:r>
            <w:r>
              <w:rPr>
                <w:rFonts w:hint="default" w:ascii="Times New Roman" w:hAnsi="Times New Roman" w:cs="Times New Roman"/>
                <w:color w:val="FF0000"/>
                <w:sz w:val="24"/>
                <w:szCs w:val="24"/>
                <w:highlight w:val="none"/>
              </w:rPr>
              <w:t>-N</w:t>
            </w:r>
            <w:r>
              <w:rPr>
                <w:rFonts w:hint="eastAsia" w:cs="Times New Roman"/>
                <w:color w:val="FF0000"/>
                <w:sz w:val="24"/>
                <w:szCs w:val="24"/>
                <w:highlight w:val="none"/>
                <w:lang w:eastAsia="zh-CN"/>
              </w:rPr>
              <w:t>：</w:t>
            </w:r>
            <w:r>
              <w:rPr>
                <w:rFonts w:hint="eastAsia" w:cs="Times New Roman"/>
                <w:color w:val="FF0000"/>
                <w:sz w:val="24"/>
                <w:szCs w:val="24"/>
                <w:highlight w:val="none"/>
                <w:lang w:val="en-US" w:eastAsia="zh-CN"/>
              </w:rPr>
              <w:t>0</w:t>
            </w:r>
            <w:r>
              <w:rPr>
                <w:rFonts w:hint="default" w:ascii="Times New Roman" w:hAnsi="Times New Roman" w:cs="Times New Roman"/>
                <w:color w:val="FF0000"/>
                <w:sz w:val="24"/>
                <w:szCs w:val="24"/>
                <w:highlight w:val="none"/>
              </w:rPr>
              <w:t>t/a</w:t>
            </w:r>
            <w:r>
              <w:rPr>
                <w:rFonts w:hint="eastAsia" w:cs="Times New Roman"/>
                <w:color w:val="FF0000"/>
                <w:sz w:val="24"/>
                <w:szCs w:val="24"/>
                <w:highlight w:val="none"/>
                <w:lang w:eastAsia="zh-CN"/>
              </w:rPr>
              <w:t>。</w:t>
            </w:r>
          </w:p>
          <w:p w14:paraId="24AB1E54">
            <w:pPr>
              <w:pStyle w:val="2"/>
              <w:rPr>
                <w:rFonts w:hint="eastAsia"/>
                <w:color w:val="auto"/>
                <w:highlight w:val="none"/>
                <w:lang w:val="en-US" w:eastAsia="zh-CN"/>
              </w:rPr>
            </w:pPr>
          </w:p>
          <w:p w14:paraId="6F987216">
            <w:pPr>
              <w:rPr>
                <w:rFonts w:hint="default" w:ascii="Times New Roman" w:hAnsi="Times New Roman" w:cs="Times New Roman"/>
                <w:color w:val="auto"/>
                <w:sz w:val="24"/>
                <w:szCs w:val="24"/>
                <w:highlight w:val="none"/>
              </w:rPr>
            </w:pPr>
          </w:p>
        </w:tc>
      </w:tr>
    </w:tbl>
    <w:p w14:paraId="73195A17">
      <w:pPr>
        <w:pStyle w:val="37"/>
        <w:spacing w:line="360" w:lineRule="auto"/>
        <w:ind w:firstLine="0" w:firstLineChars="0"/>
        <w:rPr>
          <w:rFonts w:hint="default" w:ascii="Times New Roman" w:hAnsi="Times New Roman" w:eastAsia="宋体" w:cs="Times New Roman"/>
          <w:color w:val="auto"/>
          <w:highlight w:val="none"/>
        </w:rPr>
        <w:sectPr>
          <w:pgSz w:w="11906" w:h="16838"/>
          <w:pgMar w:top="1418" w:right="1418" w:bottom="1559" w:left="1418" w:header="907" w:footer="907" w:gutter="0"/>
          <w:pgBorders w:display="notFirstPage">
            <w:top w:val="single" w:color="auto" w:sz="4" w:space="4"/>
            <w:left w:val="single" w:color="auto" w:sz="4" w:space="10"/>
            <w:bottom w:val="single" w:color="auto" w:sz="4" w:space="4"/>
            <w:right w:val="single" w:color="auto" w:sz="4" w:space="10"/>
          </w:pgBorders>
          <w:pgNumType w:fmt="decimal"/>
          <w:cols w:space="720" w:num="1"/>
          <w:docGrid w:type="lines" w:linePitch="312" w:charSpace="0"/>
        </w:sectPr>
      </w:pPr>
    </w:p>
    <w:p w14:paraId="43474A05">
      <w:pPr>
        <w:pStyle w:val="3"/>
        <w:numPr>
          <w:ilvl w:val="0"/>
          <w:numId w:val="0"/>
        </w:numPr>
        <w:adjustRightInd w:val="0"/>
        <w:snapToGrid w:val="0"/>
        <w:spacing w:before="0" w:after="0" w:line="240" w:lineRule="auto"/>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建设项目工程分析</w:t>
      </w:r>
    </w:p>
    <w:p w14:paraId="33A6B9C8">
      <w:pPr>
        <w:pStyle w:val="14"/>
        <w:keepNext w:val="0"/>
        <w:keepLines w:val="0"/>
        <w:pageBreakBefore w:val="0"/>
        <w:widowControl w:val="0"/>
        <w:kinsoku/>
        <w:wordWrap/>
        <w:overflowPunct/>
        <w:topLinePunct w:val="0"/>
        <w:autoSpaceDE/>
        <w:autoSpaceDN/>
        <w:bidi w:val="0"/>
        <w:adjustRightInd w:val="0"/>
        <w:snapToGrid w:val="0"/>
        <w:spacing w:before="120" w:line="360" w:lineRule="auto"/>
        <w:ind w:right="0"/>
        <w:jc w:val="left"/>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-125730</wp:posOffset>
                </wp:positionH>
                <wp:positionV relativeFrom="paragraph">
                  <wp:posOffset>32385</wp:posOffset>
                </wp:positionV>
                <wp:extent cx="6037580" cy="8589645"/>
                <wp:effectExtent l="5080" t="4445" r="15240" b="16510"/>
                <wp:wrapNone/>
                <wp:docPr id="9" name="矩形 9"/>
                <wp:cNvGraphicFramePr/>
                <a:graphic xmlns:a="http://schemas.openxmlformats.org/drawingml/2006/main">
                  <a:graphicData uri="http://schemas.microsoft.com/office/word/2010/wordprocessingShape">
                    <wps:wsp>
                      <wps:cNvSpPr/>
                      <wps:spPr>
                        <a:xfrm>
                          <a:off x="0" y="0"/>
                          <a:ext cx="6037580" cy="8589645"/>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9.9pt;margin-top:2.55pt;height:676.35pt;width:475.4pt;z-index:251684864;mso-width-relative:page;mso-height-relative:page;" filled="f" stroked="t" coordsize="21600,21600" o:gfxdata="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TccQW2AAAAAoBAAAPAAAAAAAAAAEAIAAAACIAAABkcnMvZG93bnJldi54bWxQ&#10;SwECFAAUAAAACACHTuJAsGxZI/cBAAD2AwAADgAAAAAAAAABACAAAAAnAQAAZHJzL2Uyb0RvYy54&#10;bWxQSwUGAAAAAAYABgBZAQAAkAUAAAAA&#10;">
                <v:fill on="f" focussize="0,0"/>
                <v:stroke color="#000000" joinstyle="miter"/>
                <v:imagedata o:title=""/>
                <o:lock v:ext="edit" aspectratio="f"/>
              </v:rect>
            </w:pict>
          </mc:Fallback>
        </mc:AlternateContent>
      </w:r>
      <w:r>
        <w:rPr>
          <w:rFonts w:hint="default" w:ascii="Times New Roman" w:hAnsi="Times New Roman" w:cs="Times New Roman"/>
          <w:color w:val="auto"/>
          <w:sz w:val="24"/>
          <w:szCs w:val="24"/>
          <w:highlight w:val="none"/>
        </w:rPr>
        <w:t>工艺流程简述（图示）：</w:t>
      </w:r>
    </w:p>
    <w:p w14:paraId="121F659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outlineLvl w:val="9"/>
        <w:rPr>
          <w:rFonts w:hint="eastAsia" w:cs="Times New Roman"/>
          <w:b/>
          <w:bCs/>
          <w:color w:val="auto"/>
          <w:sz w:val="24"/>
          <w:szCs w:val="24"/>
          <w:highlight w:val="none"/>
          <w:lang w:eastAsia="zh-CN"/>
        </w:rPr>
      </w:pPr>
      <w:r>
        <w:rPr>
          <w:rFonts w:hint="eastAsia" w:cs="Times New Roman"/>
          <w:b/>
          <w:bCs/>
          <w:color w:val="auto"/>
          <w:sz w:val="24"/>
          <w:szCs w:val="24"/>
          <w:highlight w:val="none"/>
          <w:lang w:eastAsia="zh-CN"/>
        </w:rPr>
        <w:t>施工期工艺流程</w:t>
      </w:r>
    </w:p>
    <w:p w14:paraId="567A8797">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outlineLvl w:val="9"/>
        <w:rPr>
          <w:rFonts w:hint="eastAsia" w:cs="Times New Roman"/>
          <w:color w:val="auto"/>
          <w:sz w:val="24"/>
          <w:szCs w:val="24"/>
          <w:highlight w:val="none"/>
          <w:lang w:val="en-US" w:eastAsia="zh-CN"/>
        </w:rPr>
      </w:pPr>
      <w:r>
        <w:rPr>
          <w:rFonts w:hint="eastAsia" w:cs="Times New Roman"/>
          <w:color w:val="auto"/>
          <w:sz w:val="24"/>
          <w:szCs w:val="24"/>
          <w:highlight w:val="none"/>
          <w:lang w:eastAsia="zh-CN"/>
        </w:rPr>
        <w:t>本项目依托现有本溪大楼</w:t>
      </w:r>
      <w:r>
        <w:rPr>
          <w:rFonts w:hint="eastAsia" w:cs="Times New Roman"/>
          <w:color w:val="auto"/>
          <w:sz w:val="24"/>
          <w:szCs w:val="24"/>
          <w:highlight w:val="none"/>
          <w:lang w:val="en-US" w:eastAsia="zh-CN"/>
        </w:rPr>
        <w:t>3-5层建设，无需动土建设，只根据医疗服务需求，对大楼进行使用功能和结构改造、装修。整个施工过程皆在室内进行，项目不设置常驻施工营地，不在施工场地食宿，预计施工工期约3个月，最大施工人数15人。具体施工流程如下：</w:t>
      </w:r>
    </w:p>
    <w:p w14:paraId="03A5C96F">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outlineLvl w:val="9"/>
        <w:rPr>
          <w:rFonts w:hint="eastAsia" w:cs="Times New Roman"/>
          <w:color w:val="auto"/>
          <w:sz w:val="24"/>
          <w:szCs w:val="24"/>
          <w:highlight w:val="none"/>
          <w:lang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1</w:t>
      </w:r>
      <w:r>
        <w:rPr>
          <w:rFonts w:hint="eastAsia" w:cs="Times New Roman"/>
          <w:color w:val="auto"/>
          <w:sz w:val="24"/>
          <w:szCs w:val="24"/>
          <w:highlight w:val="none"/>
          <w:lang w:eastAsia="zh-CN"/>
        </w:rPr>
        <w:t>）改造工程：</w:t>
      </w:r>
    </w:p>
    <w:p w14:paraId="0DE59506">
      <w:pPr>
        <w:pStyle w:val="2"/>
        <w:keepNext w:val="0"/>
        <w:keepLines w:val="0"/>
        <w:pageBreakBefore w:val="0"/>
        <w:widowControl w:val="0"/>
        <w:kinsoku/>
        <w:wordWrap/>
        <w:overflowPunct/>
        <w:topLinePunct w:val="0"/>
        <w:autoSpaceDE/>
        <w:autoSpaceDN/>
        <w:bidi w:val="0"/>
        <w:adjustRightInd w:val="0"/>
        <w:snapToGrid w:val="0"/>
        <w:spacing w:after="0" w:line="360" w:lineRule="auto"/>
        <w:ind w:right="0"/>
        <w:textAlignment w:val="auto"/>
        <w:outlineLvl w:val="9"/>
        <w:rPr>
          <w:rFonts w:hint="eastAsia" w:eastAsia="宋体"/>
          <w:color w:val="auto"/>
          <w:sz w:val="24"/>
          <w:szCs w:val="24"/>
          <w:highlight w:val="none"/>
          <w:lang w:val="en-US" w:eastAsia="zh-CN"/>
        </w:rPr>
      </w:pPr>
      <w:r>
        <w:rPr>
          <w:rFonts w:hint="eastAsia"/>
          <w:color w:val="auto"/>
          <w:sz w:val="24"/>
          <w:szCs w:val="24"/>
          <w:highlight w:val="none"/>
          <w:lang w:val="en-US" w:eastAsia="zh-CN"/>
        </w:rPr>
        <w:t>按照医院服务需求对大楼墙壁进行拆除与修整、功能设施搭建或砌筑、隔断。</w:t>
      </w:r>
    </w:p>
    <w:p w14:paraId="1079430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outlineLvl w:val="9"/>
        <w:rPr>
          <w:rFonts w:hint="eastAsia"/>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）装修工程</w:t>
      </w:r>
    </w:p>
    <w:p w14:paraId="1D34CE7A">
      <w:pPr>
        <w:pStyle w:val="2"/>
        <w:keepNext w:val="0"/>
        <w:keepLines w:val="0"/>
        <w:pageBreakBefore w:val="0"/>
        <w:widowControl w:val="0"/>
        <w:kinsoku/>
        <w:wordWrap/>
        <w:overflowPunct/>
        <w:topLinePunct w:val="0"/>
        <w:autoSpaceDE/>
        <w:autoSpaceDN/>
        <w:bidi w:val="0"/>
        <w:adjustRightInd w:val="0"/>
        <w:snapToGrid w:val="0"/>
        <w:spacing w:after="0" w:line="360" w:lineRule="auto"/>
        <w:textAlignment w:val="auto"/>
        <w:outlineLvl w:val="9"/>
        <w:rPr>
          <w:rFonts w:hint="eastAsia"/>
          <w:color w:val="auto"/>
          <w:sz w:val="24"/>
          <w:szCs w:val="24"/>
          <w:highlight w:val="none"/>
          <w:lang w:eastAsia="zh-CN"/>
        </w:rPr>
      </w:pPr>
      <w:r>
        <w:rPr>
          <w:rFonts w:hint="eastAsia"/>
          <w:color w:val="auto"/>
          <w:sz w:val="24"/>
          <w:szCs w:val="24"/>
          <w:highlight w:val="none"/>
          <w:lang w:val="en-US" w:eastAsia="zh-CN"/>
        </w:rPr>
        <w:t>按照医院服务需求</w:t>
      </w:r>
      <w:r>
        <w:rPr>
          <w:rFonts w:hint="eastAsia"/>
          <w:color w:val="auto"/>
          <w:sz w:val="24"/>
          <w:szCs w:val="24"/>
          <w:highlight w:val="none"/>
          <w:lang w:eastAsia="zh-CN"/>
        </w:rPr>
        <w:t>对中医院进行装修，主要包括墙壁涂料、装饰。</w:t>
      </w:r>
    </w:p>
    <w:p w14:paraId="583DCF98">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color w:val="auto"/>
          <w:sz w:val="24"/>
          <w:szCs w:val="24"/>
          <w:highlight w:val="none"/>
          <w:lang w:val="en-US" w:eastAsia="zh-CN"/>
        </w:rPr>
      </w:pPr>
      <w:r>
        <w:rPr>
          <w:rFonts w:hint="eastAsia"/>
          <w:color w:val="auto"/>
          <w:sz w:val="24"/>
          <w:szCs w:val="24"/>
          <w:highlight w:val="none"/>
          <w:lang w:val="en-US" w:eastAsia="zh-CN"/>
        </w:rPr>
        <w:t>（3）设备安装</w:t>
      </w:r>
    </w:p>
    <w:p w14:paraId="45BAA14F">
      <w:pPr>
        <w:pStyle w:val="2"/>
        <w:keepNext w:val="0"/>
        <w:keepLines w:val="0"/>
        <w:pageBreakBefore w:val="0"/>
        <w:widowControl w:val="0"/>
        <w:kinsoku/>
        <w:wordWrap/>
        <w:overflowPunct/>
        <w:topLinePunct w:val="0"/>
        <w:autoSpaceDE/>
        <w:autoSpaceDN/>
        <w:bidi w:val="0"/>
        <w:adjustRightInd w:val="0"/>
        <w:snapToGrid w:val="0"/>
        <w:spacing w:after="0" w:line="360" w:lineRule="auto"/>
        <w:textAlignment w:val="auto"/>
        <w:outlineLvl w:val="9"/>
        <w:rPr>
          <w:rFonts w:hint="eastAsia"/>
          <w:color w:val="auto"/>
          <w:sz w:val="24"/>
          <w:szCs w:val="24"/>
          <w:highlight w:val="none"/>
          <w:lang w:val="en-US" w:eastAsia="zh-CN"/>
        </w:rPr>
      </w:pPr>
      <w:r>
        <w:rPr>
          <w:rFonts w:hint="eastAsia"/>
          <w:color w:val="auto"/>
          <w:sz w:val="24"/>
          <w:szCs w:val="24"/>
          <w:highlight w:val="none"/>
          <w:lang w:val="en-US" w:eastAsia="zh-CN"/>
        </w:rPr>
        <w:t>包括医疗设备、污水处理设施、管道等施工。</w:t>
      </w:r>
    </w:p>
    <w:p w14:paraId="4BE83160">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color w:val="auto"/>
          <w:sz w:val="24"/>
          <w:szCs w:val="24"/>
          <w:highlight w:val="none"/>
          <w:lang w:val="en-US" w:eastAsia="zh-CN"/>
        </w:rPr>
      </w:pPr>
      <w:r>
        <w:rPr>
          <w:rFonts w:hint="eastAsia"/>
          <w:color w:val="auto"/>
          <w:sz w:val="24"/>
          <w:szCs w:val="24"/>
          <w:highlight w:val="none"/>
          <w:lang w:val="en-US" w:eastAsia="zh-CN"/>
        </w:rPr>
        <w:t>（4）工程验收</w:t>
      </w:r>
    </w:p>
    <w:p w14:paraId="52205F32">
      <w:pPr>
        <w:pStyle w:val="2"/>
        <w:keepNext w:val="0"/>
        <w:keepLines w:val="0"/>
        <w:pageBreakBefore w:val="0"/>
        <w:widowControl w:val="0"/>
        <w:kinsoku/>
        <w:wordWrap/>
        <w:overflowPunct/>
        <w:topLinePunct w:val="0"/>
        <w:autoSpaceDE/>
        <w:autoSpaceDN/>
        <w:bidi w:val="0"/>
        <w:adjustRightInd w:val="0"/>
        <w:snapToGrid w:val="0"/>
        <w:spacing w:after="0" w:line="360" w:lineRule="auto"/>
        <w:textAlignment w:val="auto"/>
        <w:outlineLvl w:val="9"/>
        <w:rPr>
          <w:rFonts w:hint="eastAsia"/>
          <w:color w:val="auto"/>
          <w:sz w:val="24"/>
          <w:szCs w:val="24"/>
          <w:highlight w:val="none"/>
          <w:lang w:val="en-US" w:eastAsia="zh-CN"/>
        </w:rPr>
      </w:pPr>
      <w:r>
        <w:rPr>
          <w:rFonts w:hint="eastAsia"/>
          <w:color w:val="auto"/>
          <w:sz w:val="24"/>
          <w:szCs w:val="24"/>
          <w:highlight w:val="none"/>
          <w:lang w:val="en-US" w:eastAsia="zh-CN"/>
        </w:rPr>
        <w:t>对完工项目组织工程验收，确保工程质量达标。</w:t>
      </w:r>
    </w:p>
    <w:p w14:paraId="4FC8E08E">
      <w:pPr>
        <w:ind w:firstLine="480" w:firstLineChars="20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施工期工艺流程及产污节点见下图：</w:t>
      </w:r>
    </w:p>
    <w:p w14:paraId="252B859E">
      <w:pPr>
        <w:rPr>
          <w:rFonts w:hint="eastAsia"/>
          <w:color w:val="auto"/>
          <w:highlight w:val="none"/>
          <w:lang w:val="en-US" w:eastAsia="zh-CN"/>
        </w:rPr>
      </w:pPr>
      <w:r>
        <w:rPr>
          <w:rFonts w:hint="eastAsia"/>
          <w:b/>
          <w:color w:val="auto"/>
          <w:sz w:val="24"/>
          <w:highlight w:val="none"/>
        </w:rPr>
        <mc:AlternateContent>
          <mc:Choice Requires="wps">
            <w:drawing>
              <wp:anchor distT="0" distB="0" distL="114300" distR="114300" simplePos="0" relativeHeight="251667456" behindDoc="0" locked="0" layoutInCell="1" allowOverlap="1">
                <wp:simplePos x="0" y="0"/>
                <wp:positionH relativeFrom="column">
                  <wp:posOffset>828675</wp:posOffset>
                </wp:positionH>
                <wp:positionV relativeFrom="paragraph">
                  <wp:posOffset>147955</wp:posOffset>
                </wp:positionV>
                <wp:extent cx="4382770" cy="523875"/>
                <wp:effectExtent l="4445" t="4445" r="13335" b="5080"/>
                <wp:wrapNone/>
                <wp:docPr id="228" name="矩形 228"/>
                <wp:cNvGraphicFramePr/>
                <a:graphic xmlns:a="http://schemas.openxmlformats.org/drawingml/2006/main">
                  <a:graphicData uri="http://schemas.microsoft.com/office/word/2010/wordprocessingShape">
                    <wps:wsp>
                      <wps:cNvSpPr/>
                      <wps:spPr>
                        <a:xfrm>
                          <a:off x="0" y="0"/>
                          <a:ext cx="4382770" cy="523875"/>
                        </a:xfrm>
                        <a:prstGeom prst="rect">
                          <a:avLst/>
                        </a:prstGeom>
                        <a:noFill/>
                        <a:ln w="9525" cap="flat" cmpd="sng">
                          <a:solidFill>
                            <a:srgbClr val="000000"/>
                          </a:solidFill>
                          <a:prstDash val="dash"/>
                          <a:miter/>
                          <a:headEnd type="none" w="med" len="med"/>
                          <a:tailEnd type="none" w="med" len="med"/>
                        </a:ln>
                      </wps:spPr>
                      <wps:txbx>
                        <w:txbxContent>
                          <w:p w14:paraId="342244C3">
                            <w:pPr>
                              <w:jc w:val="center"/>
                            </w:pPr>
                          </w:p>
                        </w:txbxContent>
                      </wps:txbx>
                      <wps:bodyPr upright="1"/>
                    </wps:wsp>
                  </a:graphicData>
                </a:graphic>
              </wp:anchor>
            </w:drawing>
          </mc:Choice>
          <mc:Fallback>
            <w:pict>
              <v:rect id="_x0000_s1026" o:spid="_x0000_s1026" o:spt="1" style="position:absolute;left:0pt;margin-left:65.25pt;margin-top:11.65pt;height:41.25pt;width:345.1pt;z-index:251667456;mso-width-relative:page;mso-height-relative:page;" filled="f" stroked="t" coordsize="21600,21600" o:gfxdata="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k8xvtcAAAAKAQAADwAAAAAAAAABACAAAAAiAAAAZHJzL2Rvd25y&#10;ZXYueG1sUEsBAhQAFAAAAAgAh07iQIe2htn/AQAAAwQAAA4AAAAAAAAAAQAgAAAAJgEAAGRycy9l&#10;Mm9Eb2MueG1sUEsFBgAAAAAGAAYAWQEAAJcFAAAAAA==&#10;">
                <v:fill on="f" focussize="0,0"/>
                <v:stroke color="#000000" joinstyle="miter" dashstyle="dash"/>
                <v:imagedata o:title=""/>
                <o:lock v:ext="edit" aspectratio="f"/>
                <v:textbox>
                  <w:txbxContent>
                    <w:p w14:paraId="342244C3">
                      <w:pPr>
                        <w:jc w:val="center"/>
                      </w:pPr>
                    </w:p>
                  </w:txbxContent>
                </v:textbox>
              </v:rect>
            </w:pict>
          </mc:Fallback>
        </mc:AlternateContent>
      </w:r>
    </w:p>
    <w:p w14:paraId="136D423A">
      <w:pPr>
        <w:pStyle w:val="2"/>
        <w:rPr>
          <w:rFonts w:hint="eastAsia" w:ascii="Times New Roman" w:hAnsi="Times New Roman" w:eastAsia="宋体" w:cs="Times New Roman"/>
          <w:color w:val="auto"/>
          <w:kern w:val="2"/>
          <w:sz w:val="24"/>
          <w:szCs w:val="24"/>
          <w:highlight w:val="none"/>
          <w:lang w:val="en-US" w:eastAsia="zh-CN" w:bidi="ar-SA"/>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3940175</wp:posOffset>
                </wp:positionH>
                <wp:positionV relativeFrom="paragraph">
                  <wp:posOffset>241300</wp:posOffset>
                </wp:positionV>
                <wp:extent cx="356870" cy="0"/>
                <wp:effectExtent l="0" t="48895" r="5080" b="65405"/>
                <wp:wrapNone/>
                <wp:docPr id="227" name="直接箭头连接符 227"/>
                <wp:cNvGraphicFramePr/>
                <a:graphic xmlns:a="http://schemas.openxmlformats.org/drawingml/2006/main">
                  <a:graphicData uri="http://schemas.microsoft.com/office/word/2010/wordprocessingShape">
                    <wps:wsp>
                      <wps:cNvCnPr/>
                      <wps:spPr>
                        <a:xfrm>
                          <a:off x="0" y="0"/>
                          <a:ext cx="35687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10.25pt;margin-top:19pt;height:0pt;width:28.1pt;z-index:251660288;mso-width-relative:page;mso-height-relative:page;" filled="f" stroked="t" coordsize="21600,21600" o:gfxdata="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9Cty5dgAAAAJAQAADwAAAAAAAAABACAAAAAiAAAAZHJz&#10;L2Rvd25yZXYueG1sUEsBAhQAFAAAAAgAh07iQIwaJHwEAgAA4QMAAA4AAAAAAAAAAQAgAAAAJwEA&#10;AGRycy9lMm9Eb2MueG1sUEsFBgAAAAAGAAYAWQEAAJ0FAAAAAA==&#10;">
                <v:fill on="f" focussize="0,0"/>
                <v:stroke weight="0.5pt" color="#000000 [3213]" miterlimit="8" joinstyle="miter" endarrow="open"/>
                <v:imagedata o:title=""/>
                <o:lock v:ext="edit" aspectratio="f"/>
              </v:shape>
            </w:pict>
          </mc:Fallback>
        </mc:AlternateContent>
      </w: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2813685</wp:posOffset>
                </wp:positionH>
                <wp:positionV relativeFrom="paragraph">
                  <wp:posOffset>233045</wp:posOffset>
                </wp:positionV>
                <wp:extent cx="356870" cy="0"/>
                <wp:effectExtent l="0" t="48895" r="5080" b="65405"/>
                <wp:wrapNone/>
                <wp:docPr id="226" name="直接箭头连接符 226"/>
                <wp:cNvGraphicFramePr/>
                <a:graphic xmlns:a="http://schemas.openxmlformats.org/drawingml/2006/main">
                  <a:graphicData uri="http://schemas.microsoft.com/office/word/2010/wordprocessingShape">
                    <wps:wsp>
                      <wps:cNvCnPr/>
                      <wps:spPr>
                        <a:xfrm>
                          <a:off x="0" y="0"/>
                          <a:ext cx="35687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1.55pt;margin-top:18.35pt;height:0pt;width:28.1pt;z-index:251660288;mso-width-relative:page;mso-height-relative:page;" filled="f" stroked="t" coordsize="21600,21600" o:gfxdata="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mbqYz2AAAAAkBAAAPAAAAAAAAAAEAIAAAACIAAABkcnMv&#10;ZG93bnJldi54bWxQSwECFAAUAAAACACHTuJApGpr1gMCAADhAwAADgAAAAAAAAABACAAAAAnAQAA&#10;ZHJzL2Uyb0RvYy54bWxQSwUGAAAAAAYABgBZAQAAnAUAAAAA&#10;">
                <v:fill on="f" focussize="0,0"/>
                <v:stroke weight="0.5pt" color="#000000 [3213]" miterlimit="8" joinstyle="miter" endarrow="open"/>
                <v:imagedata o:title=""/>
                <o:lock v:ext="edit" aspectratio="f"/>
              </v:shape>
            </w:pict>
          </mc:Fallback>
        </mc:AlternateContent>
      </w:r>
      <w:r>
        <w:rPr>
          <w:color w:val="auto"/>
          <w:sz w:val="24"/>
          <w:highlight w:val="none"/>
        </w:rPr>
        <mc:AlternateContent>
          <mc:Choice Requires="wps">
            <w:drawing>
              <wp:anchor distT="0" distB="0" distL="114300" distR="114300" simplePos="0" relativeHeight="251666432" behindDoc="0" locked="0" layoutInCell="1" allowOverlap="1">
                <wp:simplePos x="0" y="0"/>
                <wp:positionH relativeFrom="column">
                  <wp:posOffset>1692275</wp:posOffset>
                </wp:positionH>
                <wp:positionV relativeFrom="paragraph">
                  <wp:posOffset>240030</wp:posOffset>
                </wp:positionV>
                <wp:extent cx="356870" cy="0"/>
                <wp:effectExtent l="0" t="48895" r="5080" b="65405"/>
                <wp:wrapNone/>
                <wp:docPr id="223" name="直接箭头连接符 223"/>
                <wp:cNvGraphicFramePr/>
                <a:graphic xmlns:a="http://schemas.openxmlformats.org/drawingml/2006/main">
                  <a:graphicData uri="http://schemas.microsoft.com/office/word/2010/wordprocessingShape">
                    <wps:wsp>
                      <wps:cNvCnPr/>
                      <wps:spPr>
                        <a:xfrm>
                          <a:off x="0" y="0"/>
                          <a:ext cx="35687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33.25pt;margin-top:18.9pt;height:0pt;width:28.1pt;z-index:251666432;mso-width-relative:page;mso-height-relative:page;" filled="f" stroked="t" coordsize="21600,21600" o:gfxdata="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ErXHS2AAAAAkBAAAPAAAAAAAAAAEAIAAAACIAAABkcnMv&#10;ZG93bnJldi54bWxQSwECFAAUAAAACACHTuJA79CKuAMCAADhAwAADgAAAAAAAAABACAAAAAnAQAA&#10;ZHJzL2Uyb0RvYy54bWxQSwUGAAAAAAYABgBZAQAAnAUAAAAA&#10;">
                <v:fill on="f" focussize="0,0"/>
                <v:stroke weight="0.5pt" color="#000000 [3213]" miterlimit="8" joinstyle="miter" endarrow="open"/>
                <v:imagedata o:title=""/>
                <o:lock v:ext="edit" aspectratio="f"/>
              </v:shape>
            </w:pict>
          </mc:Fallback>
        </mc:AlternateContent>
      </w:r>
      <w:r>
        <w:rPr>
          <w:color w:val="auto"/>
          <w:sz w:val="24"/>
          <w:highlight w:val="none"/>
        </w:rPr>
        <mc:AlternateContent>
          <mc:Choice Requires="wps">
            <w:drawing>
              <wp:anchor distT="0" distB="0" distL="114300" distR="114300" simplePos="0" relativeHeight="251719680" behindDoc="0" locked="0" layoutInCell="1" allowOverlap="1">
                <wp:simplePos x="0" y="0"/>
                <wp:positionH relativeFrom="column">
                  <wp:posOffset>4311650</wp:posOffset>
                </wp:positionH>
                <wp:positionV relativeFrom="paragraph">
                  <wp:posOffset>67310</wp:posOffset>
                </wp:positionV>
                <wp:extent cx="737870" cy="301625"/>
                <wp:effectExtent l="4445" t="4445" r="19685" b="17780"/>
                <wp:wrapNone/>
                <wp:docPr id="220" name="文本框 220"/>
                <wp:cNvGraphicFramePr/>
                <a:graphic xmlns:a="http://schemas.openxmlformats.org/drawingml/2006/main">
                  <a:graphicData uri="http://schemas.microsoft.com/office/word/2010/wordprocessingShape">
                    <wps:wsp>
                      <wps:cNvSpPr txBox="1"/>
                      <wps:spPr>
                        <a:xfrm>
                          <a:off x="0" y="0"/>
                          <a:ext cx="737870" cy="3016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BBA744B">
                            <w:pPr>
                              <w:rPr>
                                <w:rFonts w:hint="eastAsia" w:eastAsia="宋体"/>
                                <w:lang w:eastAsia="zh-CN"/>
                              </w:rPr>
                            </w:pPr>
                            <w:r>
                              <w:rPr>
                                <w:rFonts w:hint="eastAsia"/>
                                <w:lang w:eastAsia="zh-CN"/>
                              </w:rPr>
                              <w:t>工程验收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9.5pt;margin-top:5.3pt;height:23.75pt;width:58.1pt;z-index:251719680;mso-width-relative:page;mso-height-relative:page;" fillcolor="#FFFFFF [3201]" filled="t" stroked="t" coordsize="21600,21600" o:gfxdata="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lScpP1wAA&#10;AAkBAAAPAAAAAAAAAAEAIAAAACIAAABkcnMvZG93bnJldi54bWxQSwECFAAUAAAACACHTuJA3vlW&#10;91gCAAC6BAAADgAAAAAAAAABACAAAAAmAQAAZHJzL2Uyb0RvYy54bWxQSwUGAAAAAAYABgBZAQAA&#10;8AUAAAAA&#10;">
                <v:fill on="t" focussize="0,0"/>
                <v:stroke weight="0.5pt" color="#000000 [3204]" joinstyle="round"/>
                <v:imagedata o:title=""/>
                <o:lock v:ext="edit" aspectratio="f"/>
                <v:textbox>
                  <w:txbxContent>
                    <w:p w14:paraId="7BBA744B">
                      <w:pPr>
                        <w:rPr>
                          <w:rFonts w:hint="eastAsia" w:eastAsia="宋体"/>
                          <w:lang w:eastAsia="zh-CN"/>
                        </w:rPr>
                      </w:pPr>
                      <w:r>
                        <w:rPr>
                          <w:rFonts w:hint="eastAsia"/>
                          <w:lang w:eastAsia="zh-CN"/>
                        </w:rPr>
                        <w:t>工程验收</w:t>
                      </w:r>
                    </w:p>
                  </w:txbxContent>
                </v:textbox>
              </v:shape>
            </w:pict>
          </mc:Fallback>
        </mc:AlternateContent>
      </w:r>
      <w:r>
        <w:rPr>
          <w:color w:val="auto"/>
          <w:sz w:val="24"/>
          <w:highlight w:val="none"/>
        </w:rPr>
        <mc:AlternateContent>
          <mc:Choice Requires="wps">
            <w:drawing>
              <wp:anchor distT="0" distB="0" distL="114300" distR="114300" simplePos="0" relativeHeight="251675648" behindDoc="0" locked="0" layoutInCell="1" allowOverlap="1">
                <wp:simplePos x="0" y="0"/>
                <wp:positionH relativeFrom="column">
                  <wp:posOffset>3192145</wp:posOffset>
                </wp:positionH>
                <wp:positionV relativeFrom="paragraph">
                  <wp:posOffset>68580</wp:posOffset>
                </wp:positionV>
                <wp:extent cx="737870" cy="301625"/>
                <wp:effectExtent l="4445" t="4445" r="19685" b="17780"/>
                <wp:wrapNone/>
                <wp:docPr id="107" name="文本框 107"/>
                <wp:cNvGraphicFramePr/>
                <a:graphic xmlns:a="http://schemas.openxmlformats.org/drawingml/2006/main">
                  <a:graphicData uri="http://schemas.microsoft.com/office/word/2010/wordprocessingShape">
                    <wps:wsp>
                      <wps:cNvSpPr txBox="1"/>
                      <wps:spPr>
                        <a:xfrm>
                          <a:off x="0" y="0"/>
                          <a:ext cx="737870" cy="3016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BC08189">
                            <w:pPr>
                              <w:rPr>
                                <w:rFonts w:hint="eastAsia" w:eastAsia="宋体"/>
                                <w:lang w:eastAsia="zh-CN"/>
                              </w:rPr>
                            </w:pPr>
                            <w:r>
                              <w:rPr>
                                <w:rFonts w:hint="eastAsia"/>
                                <w:lang w:eastAsia="zh-CN"/>
                              </w:rPr>
                              <w:t>设备安装</w:t>
                            </w:r>
                          </w:p>
                          <w:p w14:paraId="2B702F71">
                            <w:pPr>
                              <w:rPr>
                                <w:rFonts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1.35pt;margin-top:5.4pt;height:23.75pt;width:58.1pt;z-index:251675648;mso-width-relative:page;mso-height-relative:page;" fillcolor="#FFFFFF [3201]" filled="t" stroked="t" coordsize="21600,21600" o:gfxdata="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9qCoHVAAAA&#10;CQEAAA8AAAAAAAAAAQAgAAAAIgAAAGRycy9kb3ducmV2LnhtbFBLAQIUABQAAAAIAIdO4kCNtSoy&#10;WQIAALoEAAAOAAAAAAAAAAEAIAAAACQBAABkcnMvZTJvRG9jLnhtbFBLBQYAAAAABgAGAFkBAADv&#10;BQAAAAA=&#10;">
                <v:fill on="t" focussize="0,0"/>
                <v:stroke weight="0.5pt" color="#000000 [3204]" joinstyle="round"/>
                <v:imagedata o:title=""/>
                <o:lock v:ext="edit" aspectratio="f"/>
                <v:textbox>
                  <w:txbxContent>
                    <w:p w14:paraId="1BC08189">
                      <w:pPr>
                        <w:rPr>
                          <w:rFonts w:hint="eastAsia" w:eastAsia="宋体"/>
                          <w:lang w:eastAsia="zh-CN"/>
                        </w:rPr>
                      </w:pPr>
                      <w:r>
                        <w:rPr>
                          <w:rFonts w:hint="eastAsia"/>
                          <w:lang w:eastAsia="zh-CN"/>
                        </w:rPr>
                        <w:t>设备安装</w:t>
                      </w:r>
                    </w:p>
                    <w:p w14:paraId="2B702F71">
                      <w:pPr>
                        <w:rPr>
                          <w:rFonts w:hint="eastAsia"/>
                          <w:lang w:eastAsia="zh-CN"/>
                        </w:rPr>
                      </w:pPr>
                    </w:p>
                  </w:txbxContent>
                </v:textbox>
              </v:shape>
            </w:pict>
          </mc:Fallback>
        </mc:AlternateContent>
      </w:r>
      <w:r>
        <w:rPr>
          <w:color w:val="auto"/>
          <w:sz w:val="24"/>
          <w:highlight w:val="none"/>
        </w:rPr>
        <mc:AlternateContent>
          <mc:Choice Requires="wps">
            <w:drawing>
              <wp:anchor distT="0" distB="0" distL="114300" distR="114300" simplePos="0" relativeHeight="251720704" behindDoc="0" locked="0" layoutInCell="1" allowOverlap="1">
                <wp:simplePos x="0" y="0"/>
                <wp:positionH relativeFrom="column">
                  <wp:posOffset>2072640</wp:posOffset>
                </wp:positionH>
                <wp:positionV relativeFrom="paragraph">
                  <wp:posOffset>67945</wp:posOffset>
                </wp:positionV>
                <wp:extent cx="737870" cy="301625"/>
                <wp:effectExtent l="4445" t="4445" r="19685" b="17780"/>
                <wp:wrapNone/>
                <wp:docPr id="103" name="文本框 103"/>
                <wp:cNvGraphicFramePr/>
                <a:graphic xmlns:a="http://schemas.openxmlformats.org/drawingml/2006/main">
                  <a:graphicData uri="http://schemas.microsoft.com/office/word/2010/wordprocessingShape">
                    <wps:wsp>
                      <wps:cNvSpPr txBox="1"/>
                      <wps:spPr>
                        <a:xfrm>
                          <a:off x="0" y="0"/>
                          <a:ext cx="737870" cy="3016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1241BCA">
                            <w:pPr>
                              <w:rPr>
                                <w:rFonts w:hint="eastAsia"/>
                                <w:lang w:eastAsia="zh-CN"/>
                              </w:rPr>
                            </w:pPr>
                            <w:r>
                              <w:rPr>
                                <w:rFonts w:hint="eastAsia"/>
                                <w:lang w:eastAsia="zh-CN"/>
                              </w:rPr>
                              <w:t>装修工程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3.2pt;margin-top:5.35pt;height:23.75pt;width:58.1pt;z-index:251720704;mso-width-relative:page;mso-height-relative:page;" fillcolor="#FFFFFF [3201]" filled="t" stroked="t" coordsize="21600,21600" o:gfxdata="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duhObWAAAA&#10;CQEAAA8AAAAAAAAAAQAgAAAAIgAAAGRycy9kb3ducmV2LnhtbFBLAQIUABQAAAAIAIdO4kARn6UE&#10;WAIAALoEAAAOAAAAAAAAAAEAIAAAACUBAABkcnMvZTJvRG9jLnhtbFBLBQYAAAAABgAGAFkBAADv&#10;BQAAAAA=&#10;">
                <v:fill on="t" focussize="0,0"/>
                <v:stroke weight="0.5pt" color="#000000 [3204]" joinstyle="round"/>
                <v:imagedata o:title=""/>
                <o:lock v:ext="edit" aspectratio="f"/>
                <v:textbox>
                  <w:txbxContent>
                    <w:p w14:paraId="21241BCA">
                      <w:pPr>
                        <w:rPr>
                          <w:rFonts w:hint="eastAsia"/>
                          <w:lang w:eastAsia="zh-CN"/>
                        </w:rPr>
                      </w:pPr>
                      <w:r>
                        <w:rPr>
                          <w:rFonts w:hint="eastAsia"/>
                          <w:lang w:eastAsia="zh-CN"/>
                        </w:rPr>
                        <w:t>装修工程</w:t>
                      </w:r>
                    </w:p>
                  </w:txbxContent>
                </v:textbox>
              </v:shape>
            </w:pict>
          </mc:Fallback>
        </mc:AlternateContent>
      </w:r>
      <w:r>
        <w:rPr>
          <w:color w:val="auto"/>
          <w:sz w:val="24"/>
          <w:highlight w:val="none"/>
        </w:rPr>
        <mc:AlternateContent>
          <mc:Choice Requires="wps">
            <w:drawing>
              <wp:anchor distT="0" distB="0" distL="114300" distR="114300" simplePos="0" relativeHeight="251683840" behindDoc="0" locked="0" layoutInCell="1" allowOverlap="1">
                <wp:simplePos x="0" y="0"/>
                <wp:positionH relativeFrom="column">
                  <wp:posOffset>937895</wp:posOffset>
                </wp:positionH>
                <wp:positionV relativeFrom="paragraph">
                  <wp:posOffset>76200</wp:posOffset>
                </wp:positionV>
                <wp:extent cx="737870" cy="301625"/>
                <wp:effectExtent l="4445" t="4445" r="19685" b="17780"/>
                <wp:wrapNone/>
                <wp:docPr id="101" name="文本框 101"/>
                <wp:cNvGraphicFramePr/>
                <a:graphic xmlns:a="http://schemas.openxmlformats.org/drawingml/2006/main">
                  <a:graphicData uri="http://schemas.microsoft.com/office/word/2010/wordprocessingShape">
                    <wps:wsp>
                      <wps:cNvSpPr txBox="1"/>
                      <wps:spPr>
                        <a:xfrm>
                          <a:off x="0" y="0"/>
                          <a:ext cx="737870" cy="3016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BCA1DFB">
                            <w:pPr>
                              <w:rPr>
                                <w:rFonts w:hint="eastAsia" w:eastAsia="宋体"/>
                                <w:lang w:eastAsia="zh-CN"/>
                              </w:rPr>
                            </w:pPr>
                            <w:r>
                              <w:rPr>
                                <w:rFonts w:hint="eastAsia"/>
                                <w:lang w:eastAsia="zh-CN"/>
                              </w:rPr>
                              <w:t>改造工程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85pt;margin-top:6pt;height:23.75pt;width:58.1pt;z-index:251683840;mso-width-relative:page;mso-height-relative:page;" fillcolor="#FFFFFF [3201]" filled="t" stroked="t" coordsize="21600,21600" o:gfxdata="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5pi8XWAAAA&#10;CQEAAA8AAAAAAAAAAQAgAAAAIgAAAGRycy9kb3ducmV2LnhtbFBLAQIUABQAAAAIAIdO4kBfCuIf&#10;WAIAALoEAAAOAAAAAAAAAAEAIAAAACUBAABkcnMvZTJvRG9jLnhtbFBLBQYAAAAABgAGAFkBAADv&#10;BQAAAAA=&#10;">
                <v:fill on="t" focussize="0,0"/>
                <v:stroke weight="0.5pt" color="#000000 [3204]" joinstyle="round"/>
                <v:imagedata o:title=""/>
                <o:lock v:ext="edit" aspectratio="f"/>
                <v:textbox>
                  <w:txbxContent>
                    <w:p w14:paraId="7BCA1DFB">
                      <w:pPr>
                        <w:rPr>
                          <w:rFonts w:hint="eastAsia" w:eastAsia="宋体"/>
                          <w:lang w:eastAsia="zh-CN"/>
                        </w:rPr>
                      </w:pPr>
                      <w:r>
                        <w:rPr>
                          <w:rFonts w:hint="eastAsia"/>
                          <w:lang w:eastAsia="zh-CN"/>
                        </w:rPr>
                        <w:t>改造工程</w:t>
                      </w:r>
                    </w:p>
                  </w:txbxContent>
                </v:textbox>
              </v:shape>
            </w:pict>
          </mc:Fallback>
        </mc:AlternateContent>
      </w:r>
    </w:p>
    <w:p w14:paraId="7ADFE6FD">
      <w:pPr>
        <w:rPr>
          <w:rFonts w:hint="eastAsia" w:ascii="Times New Roman" w:hAnsi="Times New Roman" w:eastAsia="宋体" w:cs="Times New Roman"/>
          <w:color w:val="auto"/>
          <w:kern w:val="2"/>
          <w:sz w:val="24"/>
          <w:szCs w:val="24"/>
          <w:highlight w:val="none"/>
          <w:lang w:val="en-US" w:eastAsia="zh-CN" w:bidi="ar-SA"/>
        </w:rPr>
      </w:pPr>
      <w:r>
        <w:rPr>
          <w:rFonts w:hAnsi="宋体"/>
          <w:color w:val="auto"/>
          <w:spacing w:val="-2"/>
          <w:sz w:val="24"/>
          <w:highlight w:val="none"/>
        </w:rPr>
        <mc:AlternateContent>
          <mc:Choice Requires="wps">
            <w:drawing>
              <wp:anchor distT="0" distB="0" distL="114300" distR="114300" simplePos="0" relativeHeight="251668480" behindDoc="0" locked="0" layoutInCell="1" allowOverlap="1">
                <wp:simplePos x="0" y="0"/>
                <wp:positionH relativeFrom="column">
                  <wp:posOffset>2806700</wp:posOffset>
                </wp:positionH>
                <wp:positionV relativeFrom="paragraph">
                  <wp:posOffset>10795</wp:posOffset>
                </wp:positionV>
                <wp:extent cx="0" cy="388620"/>
                <wp:effectExtent l="38100" t="0" r="38100" b="11430"/>
                <wp:wrapNone/>
                <wp:docPr id="233" name="直接连接符 233"/>
                <wp:cNvGraphicFramePr/>
                <a:graphic xmlns:a="http://schemas.openxmlformats.org/drawingml/2006/main">
                  <a:graphicData uri="http://schemas.microsoft.com/office/word/2010/wordprocessingShape">
                    <wps:wsp>
                      <wps:cNvCnPr/>
                      <wps:spPr>
                        <a:xfrm>
                          <a:off x="0" y="0"/>
                          <a:ext cx="0" cy="388620"/>
                        </a:xfrm>
                        <a:prstGeom prst="line">
                          <a:avLst/>
                        </a:prstGeom>
                        <a:ln w="9525" cap="flat" cmpd="sng">
                          <a:solidFill>
                            <a:srgbClr val="000000"/>
                          </a:solidFill>
                          <a:prstDash val="dash"/>
                          <a:headEnd type="none" w="med" len="med"/>
                          <a:tailEnd type="triangle" w="med" len="med"/>
                        </a:ln>
                      </wps:spPr>
                      <wps:bodyPr upright="1"/>
                    </wps:wsp>
                  </a:graphicData>
                </a:graphic>
              </wp:anchor>
            </w:drawing>
          </mc:Choice>
          <mc:Fallback>
            <w:pict>
              <v:line id="_x0000_s1026" o:spid="_x0000_s1026" o:spt="20" style="position:absolute;left:0pt;margin-left:221pt;margin-top:0.85pt;height:30.6pt;width:0pt;z-index:251668480;mso-width-relative:page;mso-height-relative:page;" filled="f" stroked="t" coordsize="21600,21600" o:gfxdata="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eT0cQtcAAAAIAQAADwAAAAAAAAABACAAAAAiAAAAZHJzL2Rvd25y&#10;ZXYueG1sUEsBAhQAFAAAAAgAh07iQCsRVb7/AQAA6gMAAA4AAAAAAAAAAQAgAAAAJgEAAGRycy9l&#10;Mm9Eb2MueG1sUEsFBgAAAAAGAAYAWQEAAJcFAAAAAA==&#10;">
                <v:fill on="f" focussize="0,0"/>
                <v:stroke color="#000000" joinstyle="round" dashstyle="dash" endarrow="block"/>
                <v:imagedata o:title=""/>
                <o:lock v:ext="edit" aspectratio="f"/>
              </v:line>
            </w:pict>
          </mc:Fallback>
        </mc:AlternateContent>
      </w:r>
    </w:p>
    <w:p w14:paraId="71461362">
      <w:pPr>
        <w:pStyle w:val="2"/>
        <w:rPr>
          <w:rFonts w:hint="eastAsia"/>
          <w:color w:val="auto"/>
          <w:highlight w:val="none"/>
          <w:lang w:val="en-US" w:eastAsia="zh-CN"/>
        </w:rPr>
      </w:pPr>
      <w:r>
        <w:rPr>
          <w:rFonts w:hAnsi="宋体"/>
          <w:color w:val="auto"/>
          <w:spacing w:val="-2"/>
          <w:sz w:val="24"/>
          <w:highlight w:val="none"/>
        </w:rPr>
        <mc:AlternateContent>
          <mc:Choice Requires="wps">
            <w:drawing>
              <wp:anchor distT="0" distB="0" distL="114300" distR="114300" simplePos="0" relativeHeight="251669504" behindDoc="0" locked="0" layoutInCell="1" allowOverlap="1">
                <wp:simplePos x="0" y="0"/>
                <wp:positionH relativeFrom="column">
                  <wp:posOffset>1682115</wp:posOffset>
                </wp:positionH>
                <wp:positionV relativeFrom="paragraph">
                  <wp:posOffset>179070</wp:posOffset>
                </wp:positionV>
                <wp:extent cx="2230755" cy="902335"/>
                <wp:effectExtent l="0" t="0" r="0" b="0"/>
                <wp:wrapNone/>
                <wp:docPr id="252" name="矩形 252"/>
                <wp:cNvGraphicFramePr/>
                <a:graphic xmlns:a="http://schemas.openxmlformats.org/drawingml/2006/main">
                  <a:graphicData uri="http://schemas.microsoft.com/office/word/2010/wordprocessingShape">
                    <wps:wsp>
                      <wps:cNvSpPr/>
                      <wps:spPr>
                        <a:xfrm>
                          <a:off x="0" y="0"/>
                          <a:ext cx="2230755" cy="902335"/>
                        </a:xfrm>
                        <a:prstGeom prst="rect">
                          <a:avLst/>
                        </a:prstGeom>
                        <a:noFill/>
                        <a:ln w="9525">
                          <a:noFill/>
                        </a:ln>
                      </wps:spPr>
                      <wps:txbx>
                        <w:txbxContent>
                          <w:p w14:paraId="54C3D0F1">
                            <w:pPr>
                              <w:rPr>
                                <w:rFonts w:hint="eastAsia" w:eastAsia="宋体"/>
                                <w:lang w:eastAsia="zh-CN"/>
                              </w:rPr>
                            </w:pPr>
                            <w:r>
                              <w:rPr>
                                <w:rFonts w:hint="eastAsia"/>
                              </w:rPr>
                              <w:t>扬尘、汽车尾气</w:t>
                            </w:r>
                            <w:r>
                              <w:rPr>
                                <w:rFonts w:hint="eastAsia"/>
                                <w:lang w:eastAsia="zh-CN"/>
                              </w:rPr>
                              <w:t>、装修废气</w:t>
                            </w:r>
                          </w:p>
                          <w:p w14:paraId="37973663">
                            <w:pPr>
                              <w:rPr>
                                <w:rFonts w:hint="eastAsia"/>
                              </w:rPr>
                            </w:pPr>
                            <w:r>
                              <w:rPr>
                                <w:rFonts w:hint="eastAsia"/>
                              </w:rPr>
                              <w:t>施工废水、生活污水</w:t>
                            </w:r>
                          </w:p>
                          <w:p w14:paraId="01AD967E">
                            <w:pPr>
                              <w:rPr>
                                <w:rFonts w:hint="eastAsia"/>
                              </w:rPr>
                            </w:pPr>
                            <w:r>
                              <w:rPr>
                                <w:rFonts w:hint="eastAsia"/>
                              </w:rPr>
                              <w:t>施工噪声</w:t>
                            </w:r>
                          </w:p>
                          <w:p w14:paraId="6DC3A410">
                            <w:pPr>
                              <w:rPr>
                                <w:rFonts w:hint="eastAsia"/>
                              </w:rPr>
                            </w:pPr>
                            <w:r>
                              <w:rPr>
                                <w:rFonts w:hint="eastAsia"/>
                              </w:rPr>
                              <w:t>建筑垃圾、生活垃圾</w:t>
                            </w:r>
                          </w:p>
                        </w:txbxContent>
                      </wps:txbx>
                      <wps:bodyPr upright="1"/>
                    </wps:wsp>
                  </a:graphicData>
                </a:graphic>
              </wp:anchor>
            </w:drawing>
          </mc:Choice>
          <mc:Fallback>
            <w:pict>
              <v:rect id="_x0000_s1026" o:spid="_x0000_s1026" o:spt="1" style="position:absolute;left:0pt;margin-left:132.45pt;margin-top:14.1pt;height:71.05pt;width:175.65pt;z-index:251669504;mso-width-relative:page;mso-height-relative:page;" filled="f" stroked="f" coordsize="21600,21600" o:gfxdata="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JWevJ7a&#10;AAAACgEAAA8AAAAAAAAAAQAgAAAAIgAAAGRycy9kb3ducmV2LnhtbFBLAQIUABQAAAAIAIdO4kAG&#10;PMX0rAEAAE4DAAAOAAAAAAAAAAEAIAAAACkBAABkcnMvZTJvRG9jLnhtbFBLBQYAAAAABgAGAFkB&#10;AABHBQAAAAA=&#10;">
                <v:fill on="f" focussize="0,0"/>
                <v:stroke on="f"/>
                <v:imagedata o:title=""/>
                <o:lock v:ext="edit" aspectratio="f"/>
                <v:textbox>
                  <w:txbxContent>
                    <w:p w14:paraId="54C3D0F1">
                      <w:pPr>
                        <w:rPr>
                          <w:rFonts w:hint="eastAsia" w:eastAsia="宋体"/>
                          <w:lang w:eastAsia="zh-CN"/>
                        </w:rPr>
                      </w:pPr>
                      <w:r>
                        <w:rPr>
                          <w:rFonts w:hint="eastAsia"/>
                        </w:rPr>
                        <w:t>扬尘、汽车尾气</w:t>
                      </w:r>
                      <w:r>
                        <w:rPr>
                          <w:rFonts w:hint="eastAsia"/>
                          <w:lang w:eastAsia="zh-CN"/>
                        </w:rPr>
                        <w:t>、装修废气</w:t>
                      </w:r>
                    </w:p>
                    <w:p w14:paraId="37973663">
                      <w:pPr>
                        <w:rPr>
                          <w:rFonts w:hint="eastAsia"/>
                        </w:rPr>
                      </w:pPr>
                      <w:r>
                        <w:rPr>
                          <w:rFonts w:hint="eastAsia"/>
                        </w:rPr>
                        <w:t>施工废水、生活污水</w:t>
                      </w:r>
                    </w:p>
                    <w:p w14:paraId="01AD967E">
                      <w:pPr>
                        <w:rPr>
                          <w:rFonts w:hint="eastAsia"/>
                        </w:rPr>
                      </w:pPr>
                      <w:r>
                        <w:rPr>
                          <w:rFonts w:hint="eastAsia"/>
                        </w:rPr>
                        <w:t>施工噪声</w:t>
                      </w:r>
                    </w:p>
                    <w:p w14:paraId="6DC3A410">
                      <w:pPr>
                        <w:rPr>
                          <w:rFonts w:hint="eastAsia"/>
                        </w:rPr>
                      </w:pPr>
                      <w:r>
                        <w:rPr>
                          <w:rFonts w:hint="eastAsia"/>
                        </w:rPr>
                        <w:t>建筑垃圾、生活垃圾</w:t>
                      </w:r>
                    </w:p>
                  </w:txbxContent>
                </v:textbox>
              </v:rect>
            </w:pict>
          </mc:Fallback>
        </mc:AlternateContent>
      </w:r>
    </w:p>
    <w:p w14:paraId="79E2EA8A">
      <w:pPr>
        <w:pStyle w:val="2"/>
        <w:rPr>
          <w:rFonts w:hint="eastAsia"/>
          <w:color w:val="auto"/>
          <w:highlight w:val="none"/>
          <w:lang w:val="en-US" w:eastAsia="zh-CN"/>
        </w:rPr>
      </w:pPr>
    </w:p>
    <w:p w14:paraId="654E89D7">
      <w:pPr>
        <w:rPr>
          <w:rFonts w:hint="eastAsia"/>
          <w:color w:val="auto"/>
          <w:highlight w:val="none"/>
          <w:lang w:val="en-US" w:eastAsia="zh-CN"/>
        </w:rPr>
      </w:pPr>
    </w:p>
    <w:p w14:paraId="2B19B32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图</w:t>
      </w:r>
      <w:r>
        <w:rPr>
          <w:rFonts w:hint="eastAsia" w:cs="Times New Roman"/>
          <w:b/>
          <w:bCs/>
          <w:color w:val="auto"/>
          <w:highlight w:val="none"/>
          <w:lang w:val="en-US" w:eastAsia="zh-CN"/>
        </w:rPr>
        <w:t>3</w:t>
      </w:r>
      <w:r>
        <w:rPr>
          <w:rFonts w:hint="eastAsia" w:cs="Times New Roman"/>
          <w:b/>
          <w:bCs/>
          <w:color w:val="auto"/>
          <w:highlight w:val="none"/>
          <w:lang w:eastAsia="zh-CN"/>
        </w:rPr>
        <w:t>施工工艺</w:t>
      </w:r>
      <w:r>
        <w:rPr>
          <w:rFonts w:hint="default" w:ascii="Times New Roman" w:hAnsi="Times New Roman" w:cs="Times New Roman"/>
          <w:b/>
          <w:bCs/>
          <w:color w:val="auto"/>
          <w:highlight w:val="none"/>
        </w:rPr>
        <w:t>流程及排污节点图</w:t>
      </w:r>
    </w:p>
    <w:p w14:paraId="52E35964">
      <w:pPr>
        <w:pStyle w:val="2"/>
        <w:rPr>
          <w:rFonts w:hint="default" w:ascii="Times New Roman" w:hAnsi="Times New Roman" w:cs="Times New Roman"/>
          <w:b/>
          <w:bCs/>
          <w:color w:val="auto"/>
          <w:highlight w:val="none"/>
        </w:rPr>
      </w:pPr>
    </w:p>
    <w:p w14:paraId="5F767592">
      <w:pPr>
        <w:pStyle w:val="23"/>
        <w:rPr>
          <w:rFonts w:hint="default" w:ascii="Times New Roman" w:hAnsi="Times New Roman" w:cs="Times New Roman"/>
          <w:b/>
          <w:bCs/>
          <w:color w:val="auto"/>
          <w:highlight w:val="none"/>
        </w:rPr>
      </w:pPr>
    </w:p>
    <w:p w14:paraId="2A580CA6">
      <w:pPr>
        <w:pStyle w:val="23"/>
        <w:rPr>
          <w:rFonts w:hint="default" w:ascii="Times New Roman" w:hAnsi="Times New Roman" w:cs="Times New Roman"/>
          <w:b/>
          <w:bCs/>
          <w:color w:val="auto"/>
          <w:highlight w:val="none"/>
        </w:rPr>
      </w:pPr>
    </w:p>
    <w:p w14:paraId="0FA71422">
      <w:pPr>
        <w:pStyle w:val="23"/>
        <w:rPr>
          <w:rFonts w:hint="default" w:ascii="Times New Roman" w:hAnsi="Times New Roman" w:cs="Times New Roman"/>
          <w:b/>
          <w:bCs/>
          <w:color w:val="auto"/>
          <w:highlight w:val="none"/>
        </w:rPr>
      </w:pPr>
    </w:p>
    <w:p w14:paraId="7232B9A8">
      <w:pPr>
        <w:keepNext w:val="0"/>
        <w:keepLines w:val="0"/>
        <w:pageBreakBefore w:val="0"/>
        <w:widowControl w:val="0"/>
        <w:kinsoku/>
        <w:wordWrap/>
        <w:overflowPunct/>
        <w:topLinePunct w:val="0"/>
        <w:bidi w:val="0"/>
        <w:adjustRightInd w:val="0"/>
        <w:snapToGrid w:val="0"/>
        <w:spacing w:line="360" w:lineRule="auto"/>
        <w:textAlignment w:val="auto"/>
        <w:outlineLvl w:val="9"/>
        <w:rPr>
          <w:rFonts w:hint="default" w:ascii="Times New Roman" w:hAnsi="Times New Roman" w:cs="Times New Roman"/>
          <w:b/>
          <w:bCs/>
          <w:color w:val="auto"/>
          <w:sz w:val="24"/>
          <w:szCs w:val="24"/>
          <w:highlight w:val="none"/>
        </w:rPr>
      </w:pPr>
      <w:r>
        <w:rPr>
          <w:rFonts w:hint="eastAsia" w:cs="Times New Roman"/>
          <w:b/>
          <w:bCs/>
          <w:color w:val="auto"/>
          <w:sz w:val="24"/>
          <w:szCs w:val="24"/>
          <w:highlight w:val="none"/>
          <w:lang w:eastAsia="zh-CN"/>
        </w:rPr>
        <w:t>运营期工艺流程</w:t>
      </w:r>
    </w:p>
    <w:p w14:paraId="1D122192">
      <w:pPr>
        <w:keepNext w:val="0"/>
        <w:keepLines w:val="0"/>
        <w:pageBreakBefore w:val="0"/>
        <w:widowControl w:val="0"/>
        <w:kinsoku/>
        <w:wordWrap/>
        <w:overflowPunct/>
        <w:topLinePunct w:val="0"/>
        <w:autoSpaceDE w:val="0"/>
        <w:autoSpaceDN w:val="0"/>
        <w:bidi w:val="0"/>
        <w:adjustRightInd w:val="0"/>
        <w:snapToGrid w:val="0"/>
        <w:spacing w:after="200" w:line="360" w:lineRule="auto"/>
        <w:ind w:firstLine="480" w:firstLineChars="200"/>
        <w:jc w:val="left"/>
        <w:textAlignment w:val="auto"/>
        <w:outlineLvl w:val="9"/>
        <w:rPr>
          <w:rFonts w:hint="default" w:ascii="Times New Roman" w:hAnsi="Times New Roman" w:cs="Times New Roman"/>
          <w:color w:val="auto"/>
          <w:sz w:val="24"/>
          <w:szCs w:val="24"/>
          <w:highlight w:val="none"/>
        </w:rPr>
      </w:pPr>
      <w:r>
        <w:rPr>
          <w:rFonts w:hint="eastAsia" w:cs="Times New Roman"/>
          <w:smallCaps/>
          <w:color w:val="auto"/>
          <w:sz w:val="24"/>
          <w:szCs w:val="24"/>
          <w:highlight w:val="none"/>
          <w:lang w:eastAsia="zh-CN"/>
        </w:rPr>
        <w:t>本项目建成后，主要为病人提供医疗服务，针对病人病情进行诊断、处置、治疗。本项目不涉及检验环节，检验工作委托本溪市第一人民医院进行，本溪市第一人民医院距离本项目</w:t>
      </w:r>
      <w:r>
        <w:rPr>
          <w:rFonts w:hint="default" w:ascii="Times New Roman" w:hAnsi="Times New Roman" w:eastAsia="宋体" w:cs="Times New Roman"/>
          <w:smallCaps/>
          <w:color w:val="auto"/>
          <w:sz w:val="24"/>
          <w:szCs w:val="24"/>
          <w:highlight w:val="none"/>
          <w:lang w:val="en-US" w:eastAsia="zh-CN"/>
        </w:rPr>
        <w:t>135</w:t>
      </w:r>
      <w:r>
        <w:rPr>
          <w:rFonts w:hint="default" w:ascii="Times New Roman" w:hAnsi="Times New Roman" w:cs="Times New Roman"/>
          <w:color w:val="auto"/>
          <w:sz w:val="24"/>
          <w:szCs w:val="24"/>
          <w:highlight w:val="none"/>
          <w:lang w:val="en-US" w:eastAsia="zh-CN"/>
        </w:rPr>
        <w:t>m</w:t>
      </w:r>
      <w:r>
        <w:rPr>
          <w:rFonts w:hint="eastAsia" w:cs="Times New Roman"/>
          <w:smallCaps/>
          <w:color w:val="auto"/>
          <w:sz w:val="24"/>
          <w:szCs w:val="24"/>
          <w:highlight w:val="none"/>
          <w:lang w:eastAsia="zh-CN"/>
        </w:rPr>
        <w:t>，距离较近可以进行依托，</w:t>
      </w:r>
      <w:r>
        <w:rPr>
          <w:rFonts w:hint="eastAsia" w:cs="Times New Roman"/>
          <w:smallCaps/>
          <w:color w:val="FF0000"/>
          <w:sz w:val="24"/>
          <w:szCs w:val="24"/>
          <w:highlight w:val="none"/>
          <w:lang w:eastAsia="zh-CN"/>
        </w:rPr>
        <w:t>本项目设置药浴及熏蒸治疗，</w:t>
      </w:r>
      <w:r>
        <w:rPr>
          <w:rFonts w:hint="eastAsia" w:cs="Times New Roman"/>
          <w:smallCaps/>
          <w:color w:val="FF0000"/>
          <w:sz w:val="24"/>
          <w:szCs w:val="24"/>
          <w:highlight w:val="none"/>
          <w:lang w:val="en-US" w:eastAsia="zh-CN"/>
        </w:rPr>
        <w:t>熏蒸采用的是中药汽疗，主要利用散入蒸汽中的中药成分（包括气味）利用中医中药与现代高科技熏蒸器的完美结合，借热力和药力的双向作用，实现“皮肤吃药”的物理疗法；药浴是将煎好的药汤倒进浴桶后，加入适量温水，在浴桶内进行浸泡，药物作用于全身肌表、局部、患处，并经吸收，达到治疗的作用。</w:t>
      </w:r>
      <w:r>
        <w:rPr>
          <w:rFonts w:hint="eastAsia" w:cs="Times New Roman"/>
          <w:smallCaps/>
          <w:color w:val="auto"/>
          <w:sz w:val="24"/>
          <w:szCs w:val="24"/>
          <w:highlight w:val="none"/>
          <w:lang w:eastAsia="zh-CN"/>
        </w:rPr>
        <w:t>本项目</w:t>
      </w:r>
      <w:r>
        <w:rPr>
          <w:rFonts w:hint="eastAsia" w:cs="Times New Roman"/>
          <w:color w:val="auto"/>
          <w:sz w:val="24"/>
          <w:szCs w:val="24"/>
          <w:highlight w:val="none"/>
          <w:lang w:eastAsia="zh-CN"/>
        </w:rPr>
        <w:t>医院运营期</w:t>
      </w:r>
      <w:r>
        <w:rPr>
          <w:rFonts w:hint="default" w:ascii="Times New Roman" w:hAnsi="Times New Roman" w:cs="Times New Roman"/>
          <w:color w:val="auto"/>
          <w:sz w:val="24"/>
          <w:szCs w:val="24"/>
          <w:highlight w:val="none"/>
        </w:rPr>
        <w:t>的主要治疗流程及产污节点图见</w:t>
      </w:r>
      <w:r>
        <w:rPr>
          <w:rFonts w:hint="eastAsia" w:cs="Times New Roman"/>
          <w:color w:val="auto"/>
          <w:sz w:val="24"/>
          <w:szCs w:val="24"/>
          <w:highlight w:val="none"/>
          <w:lang w:eastAsia="zh-CN"/>
        </w:rPr>
        <w:t>下图</w:t>
      </w:r>
      <w:r>
        <w:rPr>
          <w:rFonts w:hint="default" w:ascii="Times New Roman" w:hAnsi="Times New Roman" w:cs="Times New Roman"/>
          <w:color w:val="auto"/>
          <w:sz w:val="24"/>
          <w:szCs w:val="24"/>
          <w:highlight w:val="none"/>
        </w:rPr>
        <w:t>。</w:t>
      </w:r>
    </w:p>
    <w:p w14:paraId="7EA5133A">
      <w:pPr>
        <w:pStyle w:val="2"/>
        <w:ind w:left="0" w:leftChars="0" w:firstLine="0" w:firstLineChars="0"/>
        <w:jc w:val="center"/>
        <w:rPr>
          <w:rFonts w:hint="default" w:ascii="Times New Roman" w:hAnsi="Times New Roman" w:cs="Times New Roman"/>
          <w:color w:val="auto"/>
          <w:sz w:val="24"/>
          <w:szCs w:val="24"/>
          <w:highlight w:val="none"/>
        </w:rPr>
      </w:pPr>
      <w:r>
        <w:rPr>
          <w:color w:val="auto"/>
          <w:highlight w:val="none"/>
        </w:rPr>
        <w:drawing>
          <wp:inline distT="0" distB="0" distL="114300" distR="114300">
            <wp:extent cx="4938395" cy="2686685"/>
            <wp:effectExtent l="0" t="0" r="14605" b="18415"/>
            <wp:docPr id="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
                    <pic:cNvPicPr>
                      <a:picLocks noChangeAspect="1"/>
                    </pic:cNvPicPr>
                  </pic:nvPicPr>
                  <pic:blipFill>
                    <a:blip r:embed="rId16"/>
                    <a:stretch>
                      <a:fillRect/>
                    </a:stretch>
                  </pic:blipFill>
                  <pic:spPr>
                    <a:xfrm>
                      <a:off x="0" y="0"/>
                      <a:ext cx="4938395" cy="2686685"/>
                    </a:xfrm>
                    <a:prstGeom prst="rect">
                      <a:avLst/>
                    </a:prstGeom>
                    <a:noFill/>
                    <a:ln w="9525">
                      <a:noFill/>
                    </a:ln>
                  </pic:spPr>
                </pic:pic>
              </a:graphicData>
            </a:graphic>
          </wp:inline>
        </w:drawing>
      </w:r>
    </w:p>
    <w:p w14:paraId="718C773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图</w:t>
      </w:r>
      <w:r>
        <w:rPr>
          <w:rFonts w:hint="eastAsia" w:cs="Times New Roman"/>
          <w:b/>
          <w:bCs/>
          <w:color w:val="auto"/>
          <w:highlight w:val="none"/>
          <w:lang w:val="en-US" w:eastAsia="zh-CN"/>
        </w:rPr>
        <w:t>4</w:t>
      </w:r>
      <w:r>
        <w:rPr>
          <w:rFonts w:hint="eastAsia" w:cs="Times New Roman"/>
          <w:b/>
          <w:bCs/>
          <w:color w:val="auto"/>
          <w:highlight w:val="none"/>
          <w:lang w:eastAsia="zh-CN"/>
        </w:rPr>
        <w:t>诊疗</w:t>
      </w:r>
      <w:r>
        <w:rPr>
          <w:rFonts w:hint="default" w:ascii="Times New Roman" w:hAnsi="Times New Roman" w:cs="Times New Roman"/>
          <w:b/>
          <w:bCs/>
          <w:color w:val="auto"/>
          <w:highlight w:val="none"/>
        </w:rPr>
        <w:t>流程及排污节点图</w:t>
      </w:r>
    </w:p>
    <w:p w14:paraId="1244F816">
      <w:pPr>
        <w:spacing w:line="360" w:lineRule="auto"/>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主要污染工序：</w:t>
      </w:r>
    </w:p>
    <w:p w14:paraId="2F98685E">
      <w:pPr>
        <w:adjustRightInd w:val="0"/>
        <w:snapToGrid w:val="0"/>
        <w:spacing w:line="360" w:lineRule="auto"/>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1施工期</w:t>
      </w:r>
      <w:r>
        <w:rPr>
          <w:rFonts w:hint="eastAsia" w:cs="Times New Roman"/>
          <w:b/>
          <w:bCs/>
          <w:color w:val="auto"/>
          <w:sz w:val="28"/>
          <w:szCs w:val="28"/>
          <w:highlight w:val="none"/>
          <w:lang w:eastAsia="zh-CN"/>
        </w:rPr>
        <w:t>污染工序</w:t>
      </w:r>
      <w:r>
        <w:rPr>
          <w:rFonts w:hint="default" w:ascii="Times New Roman" w:hAnsi="Times New Roman" w:cs="Times New Roman"/>
          <w:b/>
          <w:bCs/>
          <w:color w:val="auto"/>
          <w:sz w:val="28"/>
          <w:szCs w:val="28"/>
          <w:highlight w:val="none"/>
        </w:rPr>
        <w:t>：</w:t>
      </w:r>
    </w:p>
    <w:p w14:paraId="48A07542">
      <w:pPr>
        <w:adjustRightInd w:val="0"/>
        <w:snapToGrid w:val="0"/>
        <w:spacing w:line="360" w:lineRule="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1.1大气污染</w:t>
      </w:r>
    </w:p>
    <w:p w14:paraId="5D43E7C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eastAsia="宋体"/>
          <w:color w:val="auto"/>
          <w:szCs w:val="28"/>
          <w:highlight w:val="none"/>
          <w:lang w:val="en-US" w:eastAsia="zh-CN"/>
        </w:rPr>
      </w:pPr>
      <w:r>
        <w:rPr>
          <w:rFonts w:hint="eastAsia" w:ascii="Times New Roman" w:hAnsi="Times New Roman" w:cs="Times New Roman"/>
          <w:color w:val="auto"/>
          <w:sz w:val="24"/>
          <w:szCs w:val="24"/>
          <w:highlight w:val="none"/>
        </w:rPr>
        <w:t>本项目建设周期为</w:t>
      </w:r>
      <w:r>
        <w:rPr>
          <w:rFonts w:hint="eastAsia" w:cs="Times New Roman"/>
          <w:color w:val="auto"/>
          <w:sz w:val="24"/>
          <w:szCs w:val="24"/>
          <w:highlight w:val="none"/>
          <w:lang w:val="en-US" w:eastAsia="zh-CN"/>
        </w:rPr>
        <w:t>3</w:t>
      </w:r>
      <w:r>
        <w:rPr>
          <w:rFonts w:hint="eastAsia" w:ascii="Times New Roman" w:hAnsi="Times New Roman" w:cs="Times New Roman"/>
          <w:color w:val="auto"/>
          <w:sz w:val="24"/>
          <w:szCs w:val="24"/>
          <w:highlight w:val="none"/>
        </w:rPr>
        <w:t>个月，即202</w:t>
      </w:r>
      <w:r>
        <w:rPr>
          <w:rFonts w:hint="eastAsia" w:cs="Times New Roman"/>
          <w:color w:val="auto"/>
          <w:sz w:val="24"/>
          <w:szCs w:val="24"/>
          <w:highlight w:val="none"/>
          <w:lang w:val="en-US" w:eastAsia="zh-CN"/>
        </w:rPr>
        <w:t>1</w:t>
      </w:r>
      <w:r>
        <w:rPr>
          <w:rFonts w:hint="eastAsia" w:ascii="Times New Roman" w:hAnsi="Times New Roman" w:cs="Times New Roman"/>
          <w:color w:val="auto"/>
          <w:sz w:val="24"/>
          <w:szCs w:val="24"/>
          <w:highlight w:val="none"/>
        </w:rPr>
        <w:t>年</w:t>
      </w:r>
      <w:r>
        <w:rPr>
          <w:rFonts w:hint="eastAsia" w:cs="Times New Roman"/>
          <w:color w:val="auto"/>
          <w:sz w:val="24"/>
          <w:szCs w:val="24"/>
          <w:highlight w:val="none"/>
          <w:lang w:val="en-US" w:eastAsia="zh-CN"/>
        </w:rPr>
        <w:t>3</w:t>
      </w:r>
      <w:r>
        <w:rPr>
          <w:rFonts w:hint="eastAsia" w:ascii="Times New Roman" w:hAnsi="Times New Roman" w:cs="Times New Roman"/>
          <w:color w:val="auto"/>
          <w:sz w:val="24"/>
          <w:szCs w:val="24"/>
          <w:highlight w:val="none"/>
        </w:rPr>
        <w:t>月~2021年</w:t>
      </w:r>
      <w:r>
        <w:rPr>
          <w:rFonts w:hint="eastAsia" w:cs="Times New Roman"/>
          <w:color w:val="auto"/>
          <w:sz w:val="24"/>
          <w:szCs w:val="24"/>
          <w:highlight w:val="none"/>
          <w:lang w:val="en-US" w:eastAsia="zh-CN"/>
        </w:rPr>
        <w:t>5</w:t>
      </w:r>
      <w:r>
        <w:rPr>
          <w:rFonts w:hint="eastAsia" w:ascii="Times New Roman" w:hAnsi="Times New Roman" w:cs="Times New Roman"/>
          <w:color w:val="auto"/>
          <w:sz w:val="24"/>
          <w:szCs w:val="24"/>
          <w:highlight w:val="none"/>
        </w:rPr>
        <w:t>月。</w:t>
      </w:r>
      <w:r>
        <w:rPr>
          <w:rFonts w:hint="eastAsia" w:cs="Times New Roman"/>
          <w:color w:val="auto"/>
          <w:sz w:val="24"/>
          <w:szCs w:val="24"/>
          <w:highlight w:val="none"/>
          <w:lang w:eastAsia="zh-CN"/>
        </w:rPr>
        <w:t>施工人员最多时为</w:t>
      </w:r>
      <w:r>
        <w:rPr>
          <w:rFonts w:hint="eastAsia" w:cs="Times New Roman"/>
          <w:color w:val="auto"/>
          <w:sz w:val="24"/>
          <w:szCs w:val="24"/>
          <w:highlight w:val="none"/>
          <w:lang w:val="en-US" w:eastAsia="zh-CN"/>
        </w:rPr>
        <w:t>15人，施工人员不在院内设置施工营地，不在院内食宿。</w:t>
      </w:r>
    </w:p>
    <w:p w14:paraId="4F7C195A">
      <w:pPr>
        <w:adjustRightInd w:val="0"/>
        <w:snapToGrid w:val="0"/>
        <w:spacing w:line="360" w:lineRule="auto"/>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（1）</w:t>
      </w:r>
      <w:r>
        <w:rPr>
          <w:rFonts w:hint="eastAsia" w:cs="Times New Roman"/>
          <w:color w:val="auto"/>
          <w:sz w:val="24"/>
          <w:szCs w:val="24"/>
          <w:highlight w:val="none"/>
          <w:lang w:eastAsia="zh-CN"/>
        </w:rPr>
        <w:t>粉尘</w:t>
      </w:r>
    </w:p>
    <w:p w14:paraId="67FA44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sz w:val="24"/>
          <w:szCs w:val="24"/>
          <w:highlight w:val="none"/>
          <w:lang w:val="en-US" w:eastAsia="zh-CN"/>
        </w:rPr>
      </w:pPr>
      <w:r>
        <w:rPr>
          <w:rFonts w:hint="eastAsia" w:cs="Times New Roman"/>
          <w:color w:val="auto"/>
          <w:sz w:val="24"/>
          <w:szCs w:val="24"/>
          <w:highlight w:val="none"/>
          <w:lang w:eastAsia="zh-CN"/>
        </w:rPr>
        <w:t>本项目依托现有本溪大楼</w:t>
      </w:r>
      <w:r>
        <w:rPr>
          <w:rFonts w:hint="eastAsia" w:cs="Times New Roman"/>
          <w:color w:val="auto"/>
          <w:sz w:val="24"/>
          <w:szCs w:val="24"/>
          <w:highlight w:val="none"/>
          <w:lang w:val="en-US" w:eastAsia="zh-CN"/>
        </w:rPr>
        <w:t>3-5层建设，无需动土建设，粉尘主要为施工</w:t>
      </w:r>
      <w:r>
        <w:rPr>
          <w:rFonts w:hint="eastAsia" w:cs="Times New Roman"/>
          <w:color w:val="auto"/>
          <w:sz w:val="24"/>
          <w:szCs w:val="24"/>
          <w:highlight w:val="none"/>
          <w:lang w:eastAsia="zh-CN"/>
        </w:rPr>
        <w:t>改造阶段</w:t>
      </w:r>
      <w:r>
        <w:rPr>
          <w:rFonts w:hint="eastAsia"/>
          <w:color w:val="auto"/>
          <w:sz w:val="24"/>
          <w:szCs w:val="24"/>
          <w:highlight w:val="none"/>
          <w:lang w:val="en-US" w:eastAsia="zh-CN"/>
        </w:rPr>
        <w:t>墙壁进行拆除与修整、功能设施搭建或砌筑、隔断工序产生的粉尘，粉尘产生量很小，且</w:t>
      </w:r>
    </w:p>
    <w:p w14:paraId="76B1F342">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cs="Times New Roman"/>
          <w:color w:val="auto"/>
          <w:sz w:val="24"/>
          <w:szCs w:val="24"/>
          <w:highlight w:val="none"/>
          <w:lang w:eastAsia="zh-CN"/>
        </w:rPr>
      </w:pPr>
      <w:r>
        <w:rPr>
          <w:rFonts w:hint="eastAsia"/>
          <w:color w:val="auto"/>
          <w:sz w:val="24"/>
          <w:szCs w:val="24"/>
          <w:highlight w:val="none"/>
          <w:lang w:val="en-US" w:eastAsia="zh-CN"/>
        </w:rPr>
        <w:t>本项目施工阶段均在大楼内部进行，不会对周围环境产生较大影响。</w:t>
      </w:r>
    </w:p>
    <w:p w14:paraId="0DBFA3B2">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（2）汽车尾气                                                              </w:t>
      </w:r>
    </w:p>
    <w:p w14:paraId="598665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outlineLvl w:val="9"/>
        <w:rPr>
          <w:rFonts w:hint="default" w:ascii="Times New Roman" w:hAnsi="Times New Roman" w:cs="Times New Roman"/>
          <w:color w:val="auto"/>
          <w:sz w:val="24"/>
          <w:szCs w:val="24"/>
          <w:highlight w:val="none"/>
        </w:rPr>
      </w:pPr>
      <w:r>
        <w:rPr>
          <w:rFonts w:hint="eastAsia" w:ascii="Times New Roman" w:hAnsi="Times New Roman" w:cs="Times New Roman"/>
          <w:color w:val="auto"/>
          <w:kern w:val="2"/>
          <w:sz w:val="24"/>
          <w:szCs w:val="24"/>
          <w:highlight w:val="none"/>
          <w:lang w:val="en-US" w:eastAsia="zh-CN" w:bidi="ar-SA"/>
        </w:rPr>
        <w:t>施工单位施工期间使用的施工机械主要</w:t>
      </w:r>
      <w:r>
        <w:rPr>
          <w:rFonts w:hint="eastAsia" w:cs="Times New Roman"/>
          <w:color w:val="auto"/>
          <w:kern w:val="2"/>
          <w:sz w:val="24"/>
          <w:szCs w:val="24"/>
          <w:highlight w:val="none"/>
          <w:lang w:val="en-US" w:eastAsia="zh-CN" w:bidi="ar-SA"/>
        </w:rPr>
        <w:t>为建筑材料</w:t>
      </w:r>
      <w:r>
        <w:rPr>
          <w:rFonts w:hint="eastAsia" w:ascii="Times New Roman" w:hAnsi="Times New Roman" w:cs="Times New Roman"/>
          <w:color w:val="auto"/>
          <w:kern w:val="2"/>
          <w:sz w:val="24"/>
          <w:szCs w:val="24"/>
          <w:highlight w:val="none"/>
          <w:lang w:val="en-US" w:eastAsia="zh-CN" w:bidi="ar-SA"/>
        </w:rPr>
        <w:t>运输车辆，</w:t>
      </w:r>
      <w:r>
        <w:rPr>
          <w:rFonts w:hint="eastAsia" w:cs="Times New Roman"/>
          <w:color w:val="auto"/>
          <w:kern w:val="2"/>
          <w:sz w:val="24"/>
          <w:szCs w:val="24"/>
          <w:highlight w:val="none"/>
          <w:lang w:val="en-US" w:eastAsia="zh-CN" w:bidi="ar-SA"/>
        </w:rPr>
        <w:t>建筑材料</w:t>
      </w:r>
      <w:r>
        <w:rPr>
          <w:rFonts w:hint="eastAsia" w:ascii="Times New Roman" w:hAnsi="Times New Roman" w:cs="Times New Roman"/>
          <w:color w:val="auto"/>
          <w:kern w:val="2"/>
          <w:sz w:val="24"/>
          <w:szCs w:val="24"/>
          <w:highlight w:val="none"/>
          <w:lang w:val="en-US" w:eastAsia="zh-CN" w:bidi="ar-SA"/>
        </w:rPr>
        <w:t>运输车辆排放的尾气中的污染物主要有CO、NO</w:t>
      </w:r>
      <w:r>
        <w:rPr>
          <w:rFonts w:hint="eastAsia" w:ascii="Times New Roman" w:hAnsi="Times New Roman" w:cs="Times New Roman"/>
          <w:color w:val="auto"/>
          <w:kern w:val="2"/>
          <w:sz w:val="24"/>
          <w:szCs w:val="24"/>
          <w:highlight w:val="none"/>
          <w:vertAlign w:val="subscript"/>
          <w:lang w:val="en-US" w:eastAsia="zh-CN" w:bidi="ar-SA"/>
        </w:rPr>
        <w:t>2</w:t>
      </w:r>
      <w:r>
        <w:rPr>
          <w:rFonts w:hint="eastAsia" w:ascii="Times New Roman" w:hAnsi="Times New Roman" w:cs="Times New Roman"/>
          <w:color w:val="auto"/>
          <w:kern w:val="2"/>
          <w:sz w:val="24"/>
          <w:szCs w:val="24"/>
          <w:highlight w:val="none"/>
          <w:lang w:val="en-US" w:eastAsia="zh-CN" w:bidi="ar-SA"/>
        </w:rPr>
        <w:t>、THC。根据类似工程施工现场检测结果，在距离现场50m处，大气环境中CO、NO</w:t>
      </w:r>
      <w:r>
        <w:rPr>
          <w:rFonts w:hint="eastAsia" w:ascii="Times New Roman" w:hAnsi="Times New Roman" w:cs="Times New Roman"/>
          <w:color w:val="auto"/>
          <w:kern w:val="2"/>
          <w:sz w:val="24"/>
          <w:szCs w:val="24"/>
          <w:highlight w:val="none"/>
          <w:vertAlign w:val="subscript"/>
          <w:lang w:val="en-US" w:eastAsia="zh-CN" w:bidi="ar-SA"/>
        </w:rPr>
        <w:t>2</w:t>
      </w:r>
      <w:r>
        <w:rPr>
          <w:rFonts w:hint="eastAsia" w:ascii="Times New Roman" w:hAnsi="Times New Roman" w:cs="Times New Roman"/>
          <w:color w:val="auto"/>
          <w:kern w:val="2"/>
          <w:sz w:val="24"/>
          <w:szCs w:val="24"/>
          <w:highlight w:val="none"/>
          <w:lang w:val="en-US" w:eastAsia="zh-CN" w:bidi="ar-SA"/>
        </w:rPr>
        <w:t>小时平均浓度分别为0.2mg</w:t>
      </w:r>
      <w:r>
        <w:rPr>
          <w:rFonts w:hint="default" w:ascii="Times New Roman" w:hAnsi="Times New Roman" w:cs="Times New Roman"/>
          <w:color w:val="auto"/>
          <w:kern w:val="2"/>
          <w:sz w:val="24"/>
          <w:szCs w:val="24"/>
          <w:highlight w:val="none"/>
          <w:lang w:val="en-US" w:eastAsia="zh-CN" w:bidi="ar-SA"/>
        </w:rPr>
        <w:t>/m</w:t>
      </w:r>
      <w:r>
        <w:rPr>
          <w:rFonts w:hint="default" w:ascii="Times New Roman" w:hAnsi="Times New Roman" w:cs="Times New Roman"/>
          <w:color w:val="auto"/>
          <w:kern w:val="2"/>
          <w:sz w:val="24"/>
          <w:szCs w:val="24"/>
          <w:highlight w:val="none"/>
          <w:vertAlign w:val="superscript"/>
          <w:lang w:val="en-US" w:eastAsia="zh-CN" w:bidi="ar-SA"/>
        </w:rPr>
        <w:t>3</w:t>
      </w:r>
      <w:r>
        <w:rPr>
          <w:rFonts w:hint="eastAsia" w:ascii="Times New Roman" w:hAnsi="Times New Roman" w:cs="Times New Roman"/>
          <w:color w:val="auto"/>
          <w:kern w:val="2"/>
          <w:sz w:val="24"/>
          <w:szCs w:val="24"/>
          <w:highlight w:val="none"/>
          <w:lang w:val="en-US" w:eastAsia="zh-CN" w:bidi="ar-SA"/>
        </w:rPr>
        <w:t>和0.13mg</w:t>
      </w:r>
      <w:r>
        <w:rPr>
          <w:rFonts w:hint="default" w:ascii="Times New Roman" w:hAnsi="Times New Roman" w:cs="Times New Roman"/>
          <w:color w:val="auto"/>
          <w:kern w:val="2"/>
          <w:sz w:val="24"/>
          <w:szCs w:val="24"/>
          <w:highlight w:val="none"/>
          <w:lang w:val="en-US" w:eastAsia="zh-CN" w:bidi="ar-SA"/>
        </w:rPr>
        <w:t>/m</w:t>
      </w:r>
      <w:r>
        <w:rPr>
          <w:rFonts w:hint="default" w:ascii="Times New Roman" w:hAnsi="Times New Roman" w:cs="Times New Roman"/>
          <w:color w:val="auto"/>
          <w:kern w:val="2"/>
          <w:sz w:val="24"/>
          <w:szCs w:val="24"/>
          <w:highlight w:val="none"/>
          <w:vertAlign w:val="superscript"/>
          <w:lang w:val="en-US" w:eastAsia="zh-CN" w:bidi="ar-SA"/>
        </w:rPr>
        <w:t>3</w:t>
      </w:r>
      <w:r>
        <w:rPr>
          <w:rFonts w:hint="eastAsia" w:ascii="Times New Roman" w:hAnsi="Times New Roman" w:cs="Times New Roman"/>
          <w:color w:val="auto"/>
          <w:kern w:val="2"/>
          <w:sz w:val="24"/>
          <w:szCs w:val="24"/>
          <w:highlight w:val="none"/>
          <w:lang w:val="en-US" w:eastAsia="zh-CN" w:bidi="ar-SA"/>
        </w:rPr>
        <w:t>；日平均浓度分别为0.13mg</w:t>
      </w:r>
      <w:r>
        <w:rPr>
          <w:rFonts w:hint="default" w:ascii="Times New Roman" w:hAnsi="Times New Roman" w:cs="Times New Roman"/>
          <w:color w:val="auto"/>
          <w:kern w:val="2"/>
          <w:sz w:val="24"/>
          <w:szCs w:val="24"/>
          <w:highlight w:val="none"/>
          <w:lang w:val="en-US" w:eastAsia="zh-CN" w:bidi="ar-SA"/>
        </w:rPr>
        <w:t>/m</w:t>
      </w:r>
      <w:r>
        <w:rPr>
          <w:rFonts w:hint="default" w:ascii="Times New Roman" w:hAnsi="Times New Roman" w:cs="Times New Roman"/>
          <w:color w:val="auto"/>
          <w:kern w:val="2"/>
          <w:sz w:val="24"/>
          <w:szCs w:val="24"/>
          <w:highlight w:val="none"/>
          <w:vertAlign w:val="superscript"/>
          <w:lang w:val="en-US" w:eastAsia="zh-CN" w:bidi="ar-SA"/>
        </w:rPr>
        <w:t>3</w:t>
      </w:r>
      <w:r>
        <w:rPr>
          <w:rFonts w:hint="eastAsia" w:ascii="Times New Roman" w:hAnsi="Times New Roman" w:cs="Times New Roman"/>
          <w:color w:val="auto"/>
          <w:kern w:val="2"/>
          <w:sz w:val="24"/>
          <w:szCs w:val="24"/>
          <w:highlight w:val="none"/>
          <w:lang w:val="en-US" w:eastAsia="zh-CN" w:bidi="ar-SA"/>
        </w:rPr>
        <w:t>和0.062mg</w:t>
      </w:r>
      <w:r>
        <w:rPr>
          <w:rFonts w:hint="default" w:ascii="Times New Roman" w:hAnsi="Times New Roman" w:cs="Times New Roman"/>
          <w:color w:val="auto"/>
          <w:kern w:val="2"/>
          <w:sz w:val="24"/>
          <w:szCs w:val="24"/>
          <w:highlight w:val="none"/>
          <w:lang w:val="en-US" w:eastAsia="zh-CN" w:bidi="ar-SA"/>
        </w:rPr>
        <w:t>/m</w:t>
      </w:r>
      <w:r>
        <w:rPr>
          <w:rFonts w:hint="default" w:ascii="Times New Roman" w:hAnsi="Times New Roman" w:cs="Times New Roman"/>
          <w:color w:val="auto"/>
          <w:kern w:val="2"/>
          <w:sz w:val="24"/>
          <w:szCs w:val="24"/>
          <w:highlight w:val="none"/>
          <w:vertAlign w:val="superscript"/>
          <w:lang w:val="en-US" w:eastAsia="zh-CN" w:bidi="ar-SA"/>
        </w:rPr>
        <w:t>3</w:t>
      </w:r>
      <w:r>
        <w:rPr>
          <w:rFonts w:hint="eastAsia" w:ascii="Times New Roman" w:hAnsi="Times New Roman" w:cs="Times New Roman"/>
          <w:color w:val="auto"/>
          <w:kern w:val="2"/>
          <w:sz w:val="24"/>
          <w:szCs w:val="24"/>
          <w:highlight w:val="none"/>
          <w:lang w:val="en-US" w:eastAsia="zh-CN" w:bidi="ar-SA"/>
        </w:rPr>
        <w:t>，满足《环境空气质量标准》（GB3095-2012）中二级标准要求</w:t>
      </w:r>
      <w:r>
        <w:rPr>
          <w:rFonts w:hint="default" w:ascii="Times New Roman" w:hAnsi="Times New Roman" w:cs="Times New Roman"/>
          <w:color w:val="auto"/>
          <w:sz w:val="24"/>
          <w:szCs w:val="24"/>
          <w:highlight w:val="none"/>
        </w:rPr>
        <w:t>。</w:t>
      </w:r>
    </w:p>
    <w:p w14:paraId="56A703BA">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cs="Times New Roman"/>
          <w:color w:val="auto"/>
          <w:sz w:val="24"/>
          <w:szCs w:val="24"/>
          <w:highlight w:val="none"/>
          <w:lang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3</w:t>
      </w:r>
      <w:r>
        <w:rPr>
          <w:rFonts w:hint="eastAsia" w:cs="Times New Roman"/>
          <w:color w:val="auto"/>
          <w:sz w:val="24"/>
          <w:szCs w:val="24"/>
          <w:highlight w:val="none"/>
          <w:lang w:eastAsia="zh-CN"/>
        </w:rPr>
        <w:t>）装修废气</w:t>
      </w:r>
    </w:p>
    <w:p w14:paraId="4CB7BE5E">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color w:val="auto"/>
          <w:sz w:val="24"/>
          <w:szCs w:val="24"/>
          <w:highlight w:val="none"/>
          <w:lang w:eastAsia="zh-CN"/>
        </w:rPr>
      </w:pPr>
      <w:r>
        <w:rPr>
          <w:rFonts w:hint="eastAsia"/>
          <w:color w:val="auto"/>
          <w:sz w:val="24"/>
          <w:szCs w:val="24"/>
          <w:highlight w:val="none"/>
          <w:lang w:eastAsia="zh-CN"/>
        </w:rPr>
        <w:t>本项目施工期装修工序涉及墙壁涂料、装饰</w:t>
      </w:r>
      <w:r>
        <w:rPr>
          <w:rFonts w:hint="eastAsia"/>
          <w:color w:val="auto"/>
          <w:sz w:val="24"/>
          <w:szCs w:val="24"/>
          <w:highlight w:val="none"/>
          <w:lang w:val="en-US" w:eastAsia="zh-CN"/>
        </w:rPr>
        <w:t>工序</w:t>
      </w:r>
      <w:r>
        <w:rPr>
          <w:rFonts w:hint="eastAsia"/>
          <w:color w:val="auto"/>
          <w:sz w:val="24"/>
          <w:szCs w:val="24"/>
          <w:highlight w:val="none"/>
          <w:lang w:eastAsia="zh-CN"/>
        </w:rPr>
        <w:t>，会有少量有机废气产生，本项目施工期较短，墙壁涂料采用水性涂料、环保装饰材料，</w:t>
      </w:r>
      <w:r>
        <w:rPr>
          <w:rFonts w:hint="eastAsia"/>
          <w:color w:val="auto"/>
          <w:sz w:val="24"/>
          <w:szCs w:val="24"/>
          <w:highlight w:val="none"/>
          <w:lang w:val="en-US" w:eastAsia="zh-CN"/>
        </w:rPr>
        <w:t>不会对周围环境产生较大影响。</w:t>
      </w:r>
    </w:p>
    <w:p w14:paraId="7686BFFD">
      <w:pPr>
        <w:adjustRightInd w:val="0"/>
        <w:snapToGrid w:val="0"/>
        <w:spacing w:line="360" w:lineRule="auto"/>
        <w:ind w:left="472" w:hanging="472" w:hangingChars="196"/>
        <w:jc w:val="left"/>
        <w:rPr>
          <w:rFonts w:hint="default" w:ascii="Times New Roman" w:hAnsi="Times New Roman" w:cs="Times New Roman"/>
          <w:color w:val="auto"/>
          <w:sz w:val="24"/>
          <w:szCs w:val="24"/>
          <w:highlight w:val="none"/>
        </w:rPr>
      </w:pPr>
      <w:r>
        <w:rPr>
          <w:rFonts w:hint="default" w:ascii="Times New Roman" w:hAnsi="Times New Roman" w:cs="Times New Roman"/>
          <w:b/>
          <w:bCs/>
          <w:color w:val="auto"/>
          <w:sz w:val="24"/>
          <w:szCs w:val="24"/>
          <w:highlight w:val="none"/>
        </w:rPr>
        <w:t xml:space="preserve">1.2废水污染                                                               </w:t>
      </w:r>
      <w:r>
        <w:rPr>
          <w:rFonts w:hint="eastAsia" w:cs="Times New Roman"/>
          <w:color w:val="auto"/>
          <w:sz w:val="24"/>
          <w:szCs w:val="24"/>
          <w:highlight w:val="none"/>
          <w:lang w:eastAsia="zh-CN"/>
        </w:rPr>
        <w:t>本项目依托现有本溪大楼</w:t>
      </w:r>
      <w:r>
        <w:rPr>
          <w:rFonts w:hint="eastAsia" w:cs="Times New Roman"/>
          <w:color w:val="auto"/>
          <w:sz w:val="24"/>
          <w:szCs w:val="24"/>
          <w:highlight w:val="none"/>
          <w:lang w:val="en-US" w:eastAsia="zh-CN"/>
        </w:rPr>
        <w:t>3-5层建设，无需动土建设，</w:t>
      </w:r>
      <w:r>
        <w:rPr>
          <w:rFonts w:hint="default" w:ascii="Times New Roman" w:hAnsi="Times New Roman" w:cs="Times New Roman"/>
          <w:color w:val="auto"/>
          <w:sz w:val="24"/>
          <w:szCs w:val="24"/>
          <w:highlight w:val="none"/>
        </w:rPr>
        <w:t>施工废水主要来自于施工人</w:t>
      </w:r>
    </w:p>
    <w:p w14:paraId="22ECC4A6">
      <w:pPr>
        <w:adjustRightInd w:val="0"/>
        <w:snapToGrid w:val="0"/>
        <w:spacing w:line="360" w:lineRule="auto"/>
        <w:ind w:left="472" w:hanging="470" w:hangingChars="196"/>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员产生的生活污水，排放的污染物主要为COD、NH</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 xml:space="preserve">-N、SS。                                                            </w:t>
      </w:r>
    </w:p>
    <w:p w14:paraId="43E68D8D">
      <w:pPr>
        <w:keepNext w:val="0"/>
        <w:keepLines w:val="0"/>
        <w:pageBreakBefore w:val="0"/>
        <w:widowControl w:val="0"/>
        <w:numPr>
          <w:ilvl w:val="0"/>
          <w:numId w:val="0"/>
        </w:numPr>
        <w:kinsoku w:val="0"/>
        <w:wordWrap/>
        <w:overflowPunct w:val="0"/>
        <w:topLinePunct w:val="0"/>
        <w:autoSpaceDE/>
        <w:autoSpaceDN/>
        <w:bidi w:val="0"/>
        <w:adjustRightInd w:val="0"/>
        <w:snapToGrid w:val="0"/>
        <w:spacing w:line="360" w:lineRule="auto"/>
        <w:ind w:leftChars="-200" w:right="0" w:rightChars="0"/>
        <w:jc w:val="left"/>
        <w:textAlignment w:val="auto"/>
        <w:outlineLvl w:val="9"/>
        <w:rPr>
          <w:rFonts w:hint="default" w:ascii="Times New Roman" w:hAnsi="Times New Roman" w:cs="Times New Roman"/>
          <w:color w:val="auto"/>
          <w:sz w:val="24"/>
          <w:szCs w:val="24"/>
          <w:highlight w:val="none"/>
          <w:lang w:val="en-US"/>
        </w:rPr>
      </w:pPr>
      <w:r>
        <w:rPr>
          <w:rFonts w:hint="default" w:ascii="Times New Roman" w:hAnsi="Times New Roman" w:cs="Times New Roman"/>
          <w:color w:val="auto"/>
          <w:sz w:val="24"/>
          <w:szCs w:val="24"/>
          <w:highlight w:val="none"/>
        </w:rPr>
        <w:t xml:space="preserve">   </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本项目施工工作人员约为</w:t>
      </w:r>
      <w:r>
        <w:rPr>
          <w:rFonts w:hint="eastAsia" w:cs="Times New Roman"/>
          <w:color w:val="auto"/>
          <w:sz w:val="24"/>
          <w:szCs w:val="24"/>
          <w:highlight w:val="none"/>
          <w:lang w:val="en-US" w:eastAsia="zh-CN"/>
        </w:rPr>
        <w:t>15</w:t>
      </w:r>
      <w:r>
        <w:rPr>
          <w:rFonts w:hint="default" w:ascii="Times New Roman" w:hAnsi="Times New Roman" w:cs="Times New Roman"/>
          <w:color w:val="auto"/>
          <w:sz w:val="24"/>
          <w:szCs w:val="24"/>
          <w:highlight w:val="none"/>
        </w:rPr>
        <w:t>人，生活用水量按</w:t>
      </w:r>
      <w:r>
        <w:rPr>
          <w:rFonts w:hint="eastAsia" w:cs="Times New Roman"/>
          <w:color w:val="auto"/>
          <w:sz w:val="24"/>
          <w:szCs w:val="24"/>
          <w:highlight w:val="none"/>
          <w:lang w:val="en-US" w:eastAsia="zh-CN"/>
        </w:rPr>
        <w:t>30</w:t>
      </w:r>
      <w:r>
        <w:rPr>
          <w:rFonts w:hint="default" w:ascii="Times New Roman" w:hAnsi="Times New Roman" w:cs="Times New Roman"/>
          <w:color w:val="auto"/>
          <w:sz w:val="24"/>
          <w:szCs w:val="24"/>
          <w:highlight w:val="none"/>
        </w:rPr>
        <w:t>L/人·d计，则生活用水量</w:t>
      </w:r>
      <w:r>
        <w:rPr>
          <w:rFonts w:hint="eastAsia" w:cs="Times New Roman"/>
          <w:color w:val="auto"/>
          <w:sz w:val="24"/>
          <w:szCs w:val="24"/>
          <w:highlight w:val="none"/>
          <w:lang w:eastAsia="zh-CN"/>
        </w:rPr>
        <w:t>为</w:t>
      </w:r>
      <w:r>
        <w:rPr>
          <w:rFonts w:hint="eastAsia" w:cs="Times New Roman"/>
          <w:color w:val="auto"/>
          <w:sz w:val="24"/>
          <w:szCs w:val="24"/>
          <w:highlight w:val="none"/>
          <w:lang w:val="en-US" w:eastAsia="zh-CN"/>
        </w:rPr>
        <w:t>0.45</w:t>
      </w:r>
    </w:p>
    <w:p w14:paraId="2EC4BC56">
      <w:pPr>
        <w:keepNext w:val="0"/>
        <w:keepLines w:val="0"/>
        <w:pageBreakBefore w:val="0"/>
        <w:widowControl w:val="0"/>
        <w:numPr>
          <w:ilvl w:val="0"/>
          <w:numId w:val="0"/>
        </w:numPr>
        <w:kinsoku w:val="0"/>
        <w:wordWrap/>
        <w:overflowPunct w:val="0"/>
        <w:topLinePunct w:val="0"/>
        <w:autoSpaceDE/>
        <w:autoSpaceDN/>
        <w:bidi w:val="0"/>
        <w:adjustRightInd w:val="0"/>
        <w:snapToGrid w:val="0"/>
        <w:spacing w:line="360" w:lineRule="auto"/>
        <w:ind w:right="0" w:rightChars="0"/>
        <w:jc w:val="left"/>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/d，生活污水的排放量按用水量的8</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%计算，则生活污水的日排放量为</w:t>
      </w:r>
      <w:r>
        <w:rPr>
          <w:rFonts w:hint="eastAsia" w:cs="Times New Roman"/>
          <w:color w:val="auto"/>
          <w:sz w:val="24"/>
          <w:szCs w:val="24"/>
          <w:highlight w:val="none"/>
          <w:lang w:val="en-US" w:eastAsia="zh-CN"/>
        </w:rPr>
        <w:t>0.38</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/d，</w:t>
      </w:r>
      <w:r>
        <w:rPr>
          <w:rFonts w:hint="eastAsia" w:cs="Times New Roman"/>
          <w:color w:val="auto"/>
          <w:sz w:val="24"/>
          <w:szCs w:val="24"/>
          <w:highlight w:val="none"/>
          <w:lang w:eastAsia="zh-CN"/>
        </w:rPr>
        <w:t>施工天数为</w:t>
      </w:r>
      <w:r>
        <w:rPr>
          <w:rFonts w:hint="eastAsia" w:cs="Times New Roman"/>
          <w:color w:val="auto"/>
          <w:sz w:val="24"/>
          <w:szCs w:val="24"/>
          <w:highlight w:val="none"/>
          <w:lang w:val="en-US" w:eastAsia="zh-CN"/>
        </w:rPr>
        <w:t>90</w:t>
      </w:r>
      <w:r>
        <w:rPr>
          <w:rFonts w:hint="eastAsia" w:cs="Times New Roman"/>
          <w:color w:val="auto"/>
          <w:sz w:val="24"/>
          <w:szCs w:val="24"/>
          <w:highlight w:val="none"/>
          <w:lang w:eastAsia="zh-CN"/>
        </w:rPr>
        <w:t>天，</w:t>
      </w:r>
      <w:r>
        <w:rPr>
          <w:rFonts w:hint="default" w:ascii="Times New Roman" w:hAnsi="Times New Roman" w:cs="Times New Roman"/>
          <w:color w:val="auto"/>
          <w:sz w:val="24"/>
          <w:szCs w:val="24"/>
          <w:highlight w:val="none"/>
        </w:rPr>
        <w:t>施工期生活污水</w:t>
      </w:r>
      <w:r>
        <w:rPr>
          <w:rFonts w:hint="eastAsia" w:cs="Times New Roman"/>
          <w:color w:val="auto"/>
          <w:sz w:val="24"/>
          <w:szCs w:val="24"/>
          <w:highlight w:val="none"/>
          <w:lang w:eastAsia="zh-CN"/>
        </w:rPr>
        <w:t>产生</w:t>
      </w:r>
      <w:r>
        <w:rPr>
          <w:rFonts w:hint="default" w:ascii="Times New Roman" w:hAnsi="Times New Roman" w:cs="Times New Roman"/>
          <w:color w:val="auto"/>
          <w:sz w:val="24"/>
          <w:szCs w:val="24"/>
          <w:highlight w:val="none"/>
        </w:rPr>
        <w:t>量为</w:t>
      </w:r>
      <w:r>
        <w:rPr>
          <w:rFonts w:hint="eastAsia" w:cs="Times New Roman"/>
          <w:color w:val="auto"/>
          <w:sz w:val="24"/>
          <w:szCs w:val="24"/>
          <w:highlight w:val="none"/>
          <w:lang w:val="en-US" w:eastAsia="zh-CN"/>
        </w:rPr>
        <w:t>34.2</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eastAsia" w:cs="Times New Roman"/>
          <w:color w:val="auto"/>
          <w:sz w:val="24"/>
          <w:szCs w:val="24"/>
          <w:highlight w:val="none"/>
          <w:vertAlign w:val="baseline"/>
          <w:lang w:eastAsia="zh-CN"/>
        </w:rPr>
        <w:t>，主要污染物为</w:t>
      </w:r>
      <w:r>
        <w:rPr>
          <w:rFonts w:hint="eastAsia" w:cs="Times New Roman"/>
          <w:color w:val="auto"/>
          <w:sz w:val="24"/>
          <w:szCs w:val="24"/>
          <w:highlight w:val="none"/>
          <w:vertAlign w:val="baseline"/>
          <w:lang w:val="en-US" w:eastAsia="zh-CN"/>
        </w:rPr>
        <w:t>COD、</w:t>
      </w:r>
      <w:r>
        <w:rPr>
          <w:rFonts w:hint="default" w:ascii="Times New Roman" w:hAnsi="Times New Roman" w:cs="Times New Roman"/>
          <w:color w:val="auto"/>
          <w:sz w:val="24"/>
          <w:szCs w:val="24"/>
          <w:highlight w:val="none"/>
        </w:rPr>
        <w:t>NH</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-N</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SS，</w:t>
      </w:r>
      <w:r>
        <w:rPr>
          <w:rFonts w:ascii="Times New Roman" w:hAnsi="宋体" w:cs="Times New Roman"/>
          <w:color w:val="auto"/>
          <w:sz w:val="24"/>
          <w:highlight w:val="none"/>
        </w:rPr>
        <w:t>参照其他类似生活污水监测数据</w:t>
      </w:r>
      <w:r>
        <w:rPr>
          <w:rFonts w:hint="eastAsia" w:hAnsi="宋体" w:cs="Times New Roman"/>
          <w:color w:val="auto"/>
          <w:sz w:val="24"/>
          <w:highlight w:val="none"/>
          <w:lang w:eastAsia="zh-CN"/>
        </w:rPr>
        <w:t>，污染物</w:t>
      </w:r>
      <w:r>
        <w:rPr>
          <w:rFonts w:hint="eastAsia" w:ascii="Times New Roman" w:hAnsi="宋体" w:cs="Times New Roman"/>
          <w:color w:val="auto"/>
          <w:sz w:val="24"/>
          <w:highlight w:val="none"/>
          <w:lang w:val="en-US" w:eastAsia="zh-CN"/>
        </w:rPr>
        <w:t>产生浓度分别为COD 300mg</w:t>
      </w:r>
      <w:r>
        <w:rPr>
          <w:rFonts w:hint="default" w:ascii="Times New Roman" w:hAnsi="宋体" w:cs="Times New Roman"/>
          <w:color w:val="auto"/>
          <w:sz w:val="24"/>
          <w:highlight w:val="none"/>
          <w:lang w:val="en-US" w:eastAsia="zh-CN"/>
        </w:rPr>
        <w:t>/L</w:t>
      </w:r>
      <w:r>
        <w:rPr>
          <w:rFonts w:hint="eastAsia" w:ascii="Times New Roman" w:hAnsi="宋体" w:cs="Times New Roman"/>
          <w:color w:val="auto"/>
          <w:sz w:val="24"/>
          <w:highlight w:val="none"/>
          <w:lang w:val="en-US" w:eastAsia="zh-CN"/>
        </w:rPr>
        <w:t>，NH</w:t>
      </w:r>
      <w:r>
        <w:rPr>
          <w:rFonts w:hint="eastAsia" w:ascii="Times New Roman" w:hAnsi="宋体" w:cs="Times New Roman"/>
          <w:color w:val="auto"/>
          <w:sz w:val="24"/>
          <w:highlight w:val="none"/>
          <w:vertAlign w:val="subscript"/>
          <w:lang w:val="en-US" w:eastAsia="zh-CN"/>
        </w:rPr>
        <w:t>3</w:t>
      </w:r>
      <w:r>
        <w:rPr>
          <w:rFonts w:hint="eastAsia" w:ascii="Times New Roman" w:hAnsi="宋体" w:cs="Times New Roman"/>
          <w:color w:val="auto"/>
          <w:sz w:val="24"/>
          <w:highlight w:val="none"/>
          <w:lang w:val="en-US" w:eastAsia="zh-CN"/>
        </w:rPr>
        <w:t>-N 30mg</w:t>
      </w:r>
      <w:r>
        <w:rPr>
          <w:rFonts w:hint="default" w:ascii="Times New Roman" w:hAnsi="宋体" w:cs="Times New Roman"/>
          <w:color w:val="auto"/>
          <w:sz w:val="24"/>
          <w:highlight w:val="none"/>
          <w:lang w:val="en-US" w:eastAsia="zh-CN"/>
        </w:rPr>
        <w:t>/L</w:t>
      </w:r>
      <w:r>
        <w:rPr>
          <w:rFonts w:hint="eastAsia" w:ascii="Times New Roman" w:hAnsi="宋体" w:cs="Times New Roman"/>
          <w:color w:val="auto"/>
          <w:sz w:val="24"/>
          <w:highlight w:val="none"/>
          <w:lang w:val="en-US" w:eastAsia="zh-CN"/>
        </w:rPr>
        <w:t>，SS 100mg</w:t>
      </w:r>
      <w:r>
        <w:rPr>
          <w:rFonts w:hint="default" w:ascii="Times New Roman" w:hAnsi="宋体" w:cs="Times New Roman"/>
          <w:color w:val="auto"/>
          <w:sz w:val="24"/>
          <w:highlight w:val="none"/>
          <w:lang w:val="en-US" w:eastAsia="zh-CN"/>
        </w:rPr>
        <w:t>/L</w:t>
      </w:r>
      <w:r>
        <w:rPr>
          <w:rFonts w:hint="eastAsia" w:hAnsi="宋体" w:cs="Times New Roman"/>
          <w:color w:val="auto"/>
          <w:sz w:val="24"/>
          <w:highlight w:val="none"/>
          <w:lang w:val="en-US" w:eastAsia="zh-CN"/>
        </w:rPr>
        <w:t>，产生量分别为</w:t>
      </w:r>
      <w:r>
        <w:rPr>
          <w:rFonts w:hint="eastAsia" w:ascii="Times New Roman" w:hAnsi="宋体" w:cs="Times New Roman"/>
          <w:color w:val="auto"/>
          <w:sz w:val="24"/>
          <w:highlight w:val="none"/>
          <w:lang w:val="en-US" w:eastAsia="zh-CN"/>
        </w:rPr>
        <w:t>COD</w:t>
      </w:r>
      <w:r>
        <w:rPr>
          <w:rFonts w:hint="eastAsia" w:hAnsi="宋体" w:cs="Times New Roman"/>
          <w:color w:val="auto"/>
          <w:sz w:val="24"/>
          <w:highlight w:val="none"/>
          <w:lang w:val="en-US" w:eastAsia="zh-CN"/>
        </w:rPr>
        <w:t xml:space="preserve"> 0.01t，</w:t>
      </w:r>
      <w:r>
        <w:rPr>
          <w:rFonts w:hint="eastAsia" w:ascii="Times New Roman" w:hAnsi="宋体" w:cs="Times New Roman"/>
          <w:color w:val="auto"/>
          <w:sz w:val="24"/>
          <w:highlight w:val="none"/>
          <w:lang w:val="en-US" w:eastAsia="zh-CN"/>
        </w:rPr>
        <w:t>NH</w:t>
      </w:r>
      <w:r>
        <w:rPr>
          <w:rFonts w:hint="eastAsia" w:ascii="Times New Roman" w:hAnsi="宋体" w:cs="Times New Roman"/>
          <w:color w:val="auto"/>
          <w:sz w:val="24"/>
          <w:highlight w:val="none"/>
          <w:vertAlign w:val="subscript"/>
          <w:lang w:val="en-US" w:eastAsia="zh-CN"/>
        </w:rPr>
        <w:t>3</w:t>
      </w:r>
      <w:r>
        <w:rPr>
          <w:rFonts w:hint="eastAsia" w:ascii="Times New Roman" w:hAnsi="宋体" w:cs="Times New Roman"/>
          <w:color w:val="auto"/>
          <w:sz w:val="24"/>
          <w:highlight w:val="none"/>
          <w:lang w:val="en-US" w:eastAsia="zh-CN"/>
        </w:rPr>
        <w:t xml:space="preserve">-N </w:t>
      </w:r>
      <w:r>
        <w:rPr>
          <w:rFonts w:hint="eastAsia" w:hAnsi="宋体" w:cs="Times New Roman"/>
          <w:color w:val="auto"/>
          <w:sz w:val="24"/>
          <w:highlight w:val="none"/>
          <w:lang w:val="en-US" w:eastAsia="zh-CN"/>
        </w:rPr>
        <w:t>0.001t，</w:t>
      </w:r>
      <w:r>
        <w:rPr>
          <w:rFonts w:hint="eastAsia" w:ascii="Times New Roman" w:hAnsi="宋体" w:cs="Times New Roman"/>
          <w:color w:val="auto"/>
          <w:sz w:val="24"/>
          <w:highlight w:val="none"/>
          <w:lang w:val="en-US" w:eastAsia="zh-CN"/>
        </w:rPr>
        <w:t xml:space="preserve">SS </w:t>
      </w:r>
      <w:r>
        <w:rPr>
          <w:rFonts w:hint="eastAsia" w:hAnsi="宋体" w:cs="Times New Roman"/>
          <w:color w:val="auto"/>
          <w:sz w:val="24"/>
          <w:highlight w:val="none"/>
          <w:lang w:val="en-US" w:eastAsia="zh-CN"/>
        </w:rPr>
        <w:t>0.0034t</w:t>
      </w:r>
      <w:r>
        <w:rPr>
          <w:rFonts w:hint="eastAsia" w:ascii="Times New Roman" w:hAnsi="宋体" w:cs="Times New Roman"/>
          <w:color w:val="auto"/>
          <w:sz w:val="24"/>
          <w:highlight w:val="none"/>
          <w:lang w:val="en-US" w:eastAsia="zh-CN"/>
        </w:rPr>
        <w:t>。</w:t>
      </w:r>
      <w:r>
        <w:rPr>
          <w:rFonts w:hint="eastAsia"/>
          <w:color w:val="auto"/>
          <w:sz w:val="24"/>
          <w:szCs w:val="24"/>
          <w:highlight w:val="none"/>
          <w:lang w:val="en-US" w:eastAsia="zh-CN"/>
        </w:rPr>
        <w:t>生活污水依托现有大楼排水设施，经化粪池预处理后排入市政管网。化粪池对</w:t>
      </w:r>
      <w:r>
        <w:rPr>
          <w:rFonts w:hint="eastAsia" w:ascii="Times New Roman" w:hAnsi="宋体" w:cs="Times New Roman"/>
          <w:color w:val="auto"/>
          <w:sz w:val="24"/>
          <w:highlight w:val="none"/>
          <w:lang w:val="en-US" w:eastAsia="zh-CN"/>
        </w:rPr>
        <w:t>COD</w:t>
      </w:r>
      <w:r>
        <w:rPr>
          <w:rFonts w:hint="eastAsia" w:hAnsi="宋体" w:cs="Times New Roman"/>
          <w:color w:val="auto"/>
          <w:sz w:val="24"/>
          <w:highlight w:val="none"/>
          <w:lang w:val="en-US" w:eastAsia="zh-CN"/>
        </w:rPr>
        <w:t>、</w:t>
      </w:r>
      <w:r>
        <w:rPr>
          <w:rFonts w:hint="eastAsia" w:ascii="Times New Roman" w:hAnsi="宋体" w:cs="Times New Roman"/>
          <w:color w:val="auto"/>
          <w:sz w:val="24"/>
          <w:highlight w:val="none"/>
          <w:lang w:val="en-US" w:eastAsia="zh-CN"/>
        </w:rPr>
        <w:t>NH</w:t>
      </w:r>
      <w:r>
        <w:rPr>
          <w:rFonts w:hint="eastAsia" w:ascii="Times New Roman" w:hAnsi="宋体" w:cs="Times New Roman"/>
          <w:color w:val="auto"/>
          <w:sz w:val="24"/>
          <w:highlight w:val="none"/>
          <w:vertAlign w:val="subscript"/>
          <w:lang w:val="en-US" w:eastAsia="zh-CN"/>
        </w:rPr>
        <w:t>3</w:t>
      </w:r>
      <w:r>
        <w:rPr>
          <w:rFonts w:hint="eastAsia" w:ascii="Times New Roman" w:hAnsi="宋体" w:cs="Times New Roman"/>
          <w:color w:val="auto"/>
          <w:sz w:val="24"/>
          <w:highlight w:val="none"/>
          <w:lang w:val="en-US" w:eastAsia="zh-CN"/>
        </w:rPr>
        <w:t>-N</w:t>
      </w:r>
      <w:r>
        <w:rPr>
          <w:rFonts w:hint="eastAsia" w:hAnsi="宋体" w:cs="Times New Roman"/>
          <w:color w:val="auto"/>
          <w:sz w:val="24"/>
          <w:highlight w:val="none"/>
          <w:lang w:val="en-US" w:eastAsia="zh-CN"/>
        </w:rPr>
        <w:t>、</w:t>
      </w:r>
      <w:r>
        <w:rPr>
          <w:rFonts w:hint="eastAsia" w:ascii="Times New Roman" w:hAnsi="宋体" w:cs="Times New Roman"/>
          <w:color w:val="auto"/>
          <w:sz w:val="24"/>
          <w:highlight w:val="none"/>
          <w:lang w:val="en-US" w:eastAsia="zh-CN"/>
        </w:rPr>
        <w:t>SS</w:t>
      </w:r>
      <w:r>
        <w:rPr>
          <w:rFonts w:hint="eastAsia" w:hAnsi="宋体" w:cs="Times New Roman"/>
          <w:color w:val="auto"/>
          <w:sz w:val="24"/>
          <w:highlight w:val="none"/>
          <w:lang w:val="en-US" w:eastAsia="zh-CN"/>
        </w:rPr>
        <w:t>的处理效率分别为15%、3%、50%，则施工人员生活污水排放浓度为</w:t>
      </w:r>
      <w:r>
        <w:rPr>
          <w:rFonts w:hint="eastAsia" w:ascii="Times New Roman" w:hAnsi="宋体" w:cs="Times New Roman"/>
          <w:color w:val="auto"/>
          <w:sz w:val="24"/>
          <w:highlight w:val="none"/>
          <w:lang w:val="en-US" w:eastAsia="zh-CN"/>
        </w:rPr>
        <w:t xml:space="preserve">COD </w:t>
      </w:r>
      <w:r>
        <w:rPr>
          <w:rFonts w:hint="eastAsia" w:hAnsi="宋体" w:cs="Times New Roman"/>
          <w:color w:val="auto"/>
          <w:sz w:val="24"/>
          <w:highlight w:val="none"/>
          <w:lang w:val="en-US" w:eastAsia="zh-CN"/>
        </w:rPr>
        <w:t>255</w:t>
      </w:r>
      <w:r>
        <w:rPr>
          <w:rFonts w:hint="eastAsia" w:ascii="Times New Roman" w:hAnsi="宋体" w:cs="Times New Roman"/>
          <w:color w:val="auto"/>
          <w:sz w:val="24"/>
          <w:highlight w:val="none"/>
          <w:lang w:val="en-US" w:eastAsia="zh-CN"/>
        </w:rPr>
        <w:t>mg</w:t>
      </w:r>
      <w:r>
        <w:rPr>
          <w:rFonts w:hint="default" w:ascii="Times New Roman" w:hAnsi="宋体" w:cs="Times New Roman"/>
          <w:color w:val="auto"/>
          <w:sz w:val="24"/>
          <w:highlight w:val="none"/>
          <w:lang w:val="en-US" w:eastAsia="zh-CN"/>
        </w:rPr>
        <w:t>/L</w:t>
      </w:r>
      <w:r>
        <w:rPr>
          <w:rFonts w:hint="eastAsia" w:hAnsi="宋体" w:cs="Times New Roman"/>
          <w:color w:val="auto"/>
          <w:sz w:val="24"/>
          <w:highlight w:val="none"/>
          <w:lang w:val="en-US" w:eastAsia="zh-CN"/>
        </w:rPr>
        <w:t>、</w:t>
      </w:r>
      <w:r>
        <w:rPr>
          <w:rFonts w:hint="eastAsia" w:ascii="Times New Roman" w:hAnsi="宋体" w:cs="Times New Roman"/>
          <w:color w:val="auto"/>
          <w:sz w:val="24"/>
          <w:highlight w:val="none"/>
          <w:lang w:val="en-US" w:eastAsia="zh-CN"/>
        </w:rPr>
        <w:t>NH</w:t>
      </w:r>
      <w:r>
        <w:rPr>
          <w:rFonts w:hint="eastAsia" w:ascii="Times New Roman" w:hAnsi="宋体" w:cs="Times New Roman"/>
          <w:color w:val="auto"/>
          <w:sz w:val="24"/>
          <w:highlight w:val="none"/>
          <w:vertAlign w:val="subscript"/>
          <w:lang w:val="en-US" w:eastAsia="zh-CN"/>
        </w:rPr>
        <w:t>3</w:t>
      </w:r>
      <w:r>
        <w:rPr>
          <w:rFonts w:hint="eastAsia" w:ascii="Times New Roman" w:hAnsi="宋体" w:cs="Times New Roman"/>
          <w:color w:val="auto"/>
          <w:sz w:val="24"/>
          <w:highlight w:val="none"/>
          <w:lang w:val="en-US" w:eastAsia="zh-CN"/>
        </w:rPr>
        <w:t>-N</w:t>
      </w:r>
      <w:r>
        <w:rPr>
          <w:rFonts w:hint="eastAsia" w:hAnsi="宋体" w:cs="Times New Roman"/>
          <w:color w:val="auto"/>
          <w:sz w:val="24"/>
          <w:highlight w:val="none"/>
          <w:lang w:val="en-US" w:eastAsia="zh-CN"/>
        </w:rPr>
        <w:t xml:space="preserve"> 29.1</w:t>
      </w:r>
      <w:r>
        <w:rPr>
          <w:rFonts w:hint="eastAsia" w:ascii="Times New Roman" w:hAnsi="宋体" w:cs="Times New Roman"/>
          <w:color w:val="auto"/>
          <w:sz w:val="24"/>
          <w:highlight w:val="none"/>
          <w:lang w:val="en-US" w:eastAsia="zh-CN"/>
        </w:rPr>
        <w:t>mg</w:t>
      </w:r>
      <w:r>
        <w:rPr>
          <w:rFonts w:hint="default" w:ascii="Times New Roman" w:hAnsi="宋体" w:cs="Times New Roman"/>
          <w:color w:val="auto"/>
          <w:sz w:val="24"/>
          <w:highlight w:val="none"/>
          <w:lang w:val="en-US" w:eastAsia="zh-CN"/>
        </w:rPr>
        <w:t>/L</w:t>
      </w:r>
      <w:r>
        <w:rPr>
          <w:rFonts w:hint="eastAsia" w:hAnsi="宋体" w:cs="Times New Roman"/>
          <w:color w:val="auto"/>
          <w:sz w:val="24"/>
          <w:highlight w:val="none"/>
          <w:lang w:val="en-US" w:eastAsia="zh-CN"/>
        </w:rPr>
        <w:t>、</w:t>
      </w:r>
      <w:r>
        <w:rPr>
          <w:rFonts w:hint="eastAsia" w:ascii="Times New Roman" w:hAnsi="宋体" w:cs="Times New Roman"/>
          <w:color w:val="auto"/>
          <w:sz w:val="24"/>
          <w:highlight w:val="none"/>
          <w:lang w:val="en-US" w:eastAsia="zh-CN"/>
        </w:rPr>
        <w:t>SS</w:t>
      </w:r>
      <w:r>
        <w:rPr>
          <w:rFonts w:hint="eastAsia" w:hAnsi="宋体" w:cs="Times New Roman"/>
          <w:color w:val="auto"/>
          <w:sz w:val="24"/>
          <w:highlight w:val="none"/>
          <w:lang w:val="en-US" w:eastAsia="zh-CN"/>
        </w:rPr>
        <w:t xml:space="preserve"> 50</w:t>
      </w:r>
      <w:r>
        <w:rPr>
          <w:rFonts w:hint="eastAsia" w:ascii="Times New Roman" w:hAnsi="宋体" w:cs="Times New Roman"/>
          <w:color w:val="auto"/>
          <w:sz w:val="24"/>
          <w:highlight w:val="none"/>
          <w:lang w:val="en-US" w:eastAsia="zh-CN"/>
        </w:rPr>
        <w:t>mg</w:t>
      </w:r>
      <w:r>
        <w:rPr>
          <w:rFonts w:hint="default" w:ascii="Times New Roman" w:hAnsi="宋体" w:cs="Times New Roman"/>
          <w:color w:val="auto"/>
          <w:sz w:val="24"/>
          <w:highlight w:val="none"/>
          <w:lang w:val="en-US" w:eastAsia="zh-CN"/>
        </w:rPr>
        <w:t>/L</w:t>
      </w:r>
      <w:r>
        <w:rPr>
          <w:rFonts w:hint="eastAsia" w:hAnsi="宋体" w:cs="Times New Roman"/>
          <w:color w:val="auto"/>
          <w:sz w:val="24"/>
          <w:highlight w:val="none"/>
          <w:lang w:val="en-US" w:eastAsia="zh-CN"/>
        </w:rPr>
        <w:t>，排放量分别为COD 0.009t、</w:t>
      </w:r>
      <w:r>
        <w:rPr>
          <w:rFonts w:hint="eastAsia" w:ascii="Times New Roman" w:hAnsi="宋体" w:cs="Times New Roman"/>
          <w:color w:val="auto"/>
          <w:sz w:val="24"/>
          <w:highlight w:val="none"/>
          <w:lang w:val="en-US" w:eastAsia="zh-CN"/>
        </w:rPr>
        <w:t>NH</w:t>
      </w:r>
      <w:r>
        <w:rPr>
          <w:rFonts w:hint="eastAsia" w:ascii="Times New Roman" w:hAnsi="宋体" w:cs="Times New Roman"/>
          <w:color w:val="auto"/>
          <w:sz w:val="24"/>
          <w:highlight w:val="none"/>
          <w:vertAlign w:val="subscript"/>
          <w:lang w:val="en-US" w:eastAsia="zh-CN"/>
        </w:rPr>
        <w:t>3</w:t>
      </w:r>
      <w:r>
        <w:rPr>
          <w:rFonts w:hint="eastAsia" w:ascii="Times New Roman" w:hAnsi="宋体" w:cs="Times New Roman"/>
          <w:color w:val="auto"/>
          <w:sz w:val="24"/>
          <w:highlight w:val="none"/>
          <w:lang w:val="en-US" w:eastAsia="zh-CN"/>
        </w:rPr>
        <w:t>-N</w:t>
      </w:r>
      <w:r>
        <w:rPr>
          <w:rFonts w:hint="eastAsia" w:hAnsi="宋体" w:cs="Times New Roman"/>
          <w:color w:val="auto"/>
          <w:sz w:val="24"/>
          <w:highlight w:val="none"/>
          <w:lang w:val="en-US" w:eastAsia="zh-CN"/>
        </w:rPr>
        <w:t xml:space="preserve"> 0.000995t、</w:t>
      </w:r>
      <w:r>
        <w:rPr>
          <w:rFonts w:hint="eastAsia" w:ascii="Times New Roman" w:hAnsi="宋体" w:cs="Times New Roman"/>
          <w:color w:val="auto"/>
          <w:sz w:val="24"/>
          <w:highlight w:val="none"/>
          <w:lang w:val="en-US" w:eastAsia="zh-CN"/>
        </w:rPr>
        <w:t>SS</w:t>
      </w:r>
      <w:r>
        <w:rPr>
          <w:rFonts w:hint="eastAsia" w:hAnsi="宋体" w:cs="Times New Roman"/>
          <w:color w:val="auto"/>
          <w:sz w:val="24"/>
          <w:highlight w:val="none"/>
          <w:lang w:val="en-US" w:eastAsia="zh-CN"/>
        </w:rPr>
        <w:t xml:space="preserve"> 0.0017t，污染物排放浓度满足</w:t>
      </w:r>
      <w:r>
        <w:rPr>
          <w:rFonts w:hint="default" w:ascii="Times New Roman" w:hAnsi="Times New Roman" w:cs="Times New Roman"/>
          <w:smallCaps/>
          <w:color w:val="auto"/>
          <w:sz w:val="24"/>
          <w:szCs w:val="24"/>
          <w:highlight w:val="none"/>
        </w:rPr>
        <w:t>《辽宁省污水综合排放标准》(DB21/1627-2008)表</w:t>
      </w:r>
      <w:r>
        <w:rPr>
          <w:rFonts w:hint="eastAsia" w:cs="Times New Roman"/>
          <w:smallCaps/>
          <w:color w:val="auto"/>
          <w:sz w:val="24"/>
          <w:szCs w:val="24"/>
          <w:highlight w:val="none"/>
          <w:lang w:val="en-US" w:eastAsia="zh-CN"/>
        </w:rPr>
        <w:t>2</w:t>
      </w:r>
      <w:r>
        <w:rPr>
          <w:rFonts w:hint="default" w:ascii="Times New Roman" w:hAnsi="Times New Roman" w:cs="Times New Roman"/>
          <w:smallCaps/>
          <w:color w:val="auto"/>
          <w:sz w:val="24"/>
          <w:szCs w:val="24"/>
          <w:highlight w:val="none"/>
        </w:rPr>
        <w:t>标准</w:t>
      </w:r>
      <w:r>
        <w:rPr>
          <w:rFonts w:hint="eastAsia" w:cs="Times New Roman"/>
          <w:smallCaps/>
          <w:color w:val="auto"/>
          <w:sz w:val="24"/>
          <w:szCs w:val="24"/>
          <w:highlight w:val="none"/>
          <w:lang w:eastAsia="zh-CN"/>
        </w:rPr>
        <w:t>要求。</w:t>
      </w:r>
      <w:r>
        <w:rPr>
          <w:rFonts w:hint="default" w:ascii="Times New Roman" w:hAnsi="Times New Roman" w:cs="Times New Roman"/>
          <w:color w:val="auto"/>
          <w:sz w:val="24"/>
          <w:szCs w:val="24"/>
          <w:highlight w:val="none"/>
        </w:rPr>
        <w:t xml:space="preserve">                                          </w:t>
      </w:r>
    </w:p>
    <w:p w14:paraId="63F9E133">
      <w:pPr>
        <w:adjustRightInd w:val="0"/>
        <w:snapToGrid w:val="0"/>
        <w:spacing w:line="360" w:lineRule="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1.3噪声污染</w:t>
      </w:r>
    </w:p>
    <w:p w14:paraId="4AF2317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施工噪声主要来自于</w:t>
      </w:r>
      <w:r>
        <w:rPr>
          <w:rFonts w:hint="eastAsia" w:cs="Times New Roman"/>
          <w:color w:val="auto"/>
          <w:sz w:val="24"/>
          <w:szCs w:val="24"/>
          <w:highlight w:val="none"/>
          <w:lang w:eastAsia="zh-CN"/>
        </w:rPr>
        <w:t>结构改造、装修及设备安装工序产生的噪声。</w:t>
      </w:r>
      <w:r>
        <w:rPr>
          <w:rFonts w:hint="default" w:ascii="Times New Roman" w:hAnsi="Times New Roman" w:cs="Times New Roman"/>
          <w:color w:val="auto"/>
          <w:sz w:val="24"/>
          <w:szCs w:val="24"/>
          <w:highlight w:val="none"/>
        </w:rPr>
        <w:t>这些噪声源的数量和种类较多，既有固定源，也有流动源，有的是连续源，也有不少瞬时源（突发性噪声），其噪声源强较大，易产生扰民问题。</w:t>
      </w:r>
      <w:r>
        <w:rPr>
          <w:rFonts w:hint="eastAsia" w:cs="Times New Roman"/>
          <w:color w:val="auto"/>
          <w:sz w:val="24"/>
          <w:szCs w:val="24"/>
          <w:highlight w:val="none"/>
          <w:lang w:eastAsia="zh-CN"/>
        </w:rPr>
        <w:t>施工期</w:t>
      </w:r>
      <w:r>
        <w:rPr>
          <w:rFonts w:hint="default" w:ascii="Times New Roman" w:hAnsi="Times New Roman" w:cs="Times New Roman"/>
          <w:color w:val="auto"/>
          <w:sz w:val="24"/>
          <w:szCs w:val="24"/>
          <w:highlight w:val="none"/>
        </w:rPr>
        <w:t>主要噪声源特征值见</w:t>
      </w:r>
      <w:r>
        <w:rPr>
          <w:rFonts w:hint="eastAsia" w:cs="Times New Roman"/>
          <w:color w:val="auto"/>
          <w:sz w:val="24"/>
          <w:szCs w:val="24"/>
          <w:highlight w:val="none"/>
          <w:lang w:eastAsia="zh-CN"/>
        </w:rPr>
        <w:t>下表</w:t>
      </w:r>
      <w:r>
        <w:rPr>
          <w:rFonts w:hint="default" w:ascii="Times New Roman" w:hAnsi="Times New Roman" w:cs="Times New Roman"/>
          <w:color w:val="auto"/>
          <w:sz w:val="24"/>
          <w:szCs w:val="24"/>
          <w:highlight w:val="none"/>
        </w:rPr>
        <w:t>：</w:t>
      </w:r>
    </w:p>
    <w:p w14:paraId="4A43B0F9">
      <w:pPr>
        <w:pStyle w:val="15"/>
        <w:adjustRightInd w:val="0"/>
        <w:snapToGrid w:val="0"/>
        <w:ind w:left="0" w:firstLine="0" w:firstLineChars="0"/>
        <w:jc w:val="both"/>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eastAsia" w:cs="Times New Roman"/>
          <w:b/>
          <w:bCs/>
          <w:color w:val="auto"/>
          <w:sz w:val="21"/>
          <w:szCs w:val="21"/>
          <w:highlight w:val="none"/>
          <w:lang w:val="en-US" w:eastAsia="zh-CN"/>
        </w:rPr>
        <w:t xml:space="preserve">20                            </w:t>
      </w:r>
      <w:r>
        <w:rPr>
          <w:rFonts w:hint="eastAsia" w:cs="Times New Roman"/>
          <w:b/>
          <w:bCs/>
          <w:color w:val="auto"/>
          <w:sz w:val="21"/>
          <w:szCs w:val="21"/>
          <w:highlight w:val="none"/>
          <w:lang w:eastAsia="zh-CN"/>
        </w:rPr>
        <w:t>施工</w:t>
      </w:r>
      <w:r>
        <w:rPr>
          <w:rFonts w:hint="default" w:ascii="Times New Roman" w:hAnsi="Times New Roman" w:cs="Times New Roman"/>
          <w:b/>
          <w:bCs/>
          <w:color w:val="auto"/>
          <w:sz w:val="21"/>
          <w:szCs w:val="21"/>
          <w:highlight w:val="none"/>
        </w:rPr>
        <w:t>阶段主要设备噪声级</w:t>
      </w:r>
    </w:p>
    <w:tbl>
      <w:tblPr>
        <w:tblStyle w:val="24"/>
        <w:tblW w:w="928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324"/>
        <w:gridCol w:w="3962"/>
      </w:tblGrid>
      <w:tr w14:paraId="010DA1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324" w:type="dxa"/>
            <w:tcBorders>
              <w:top w:val="single" w:color="auto" w:sz="12" w:space="0"/>
            </w:tcBorders>
            <w:vAlign w:val="center"/>
          </w:tcPr>
          <w:p w14:paraId="071A4BBF">
            <w:pPr>
              <w:pStyle w:val="15"/>
              <w:adjustRightInd w:val="0"/>
              <w:snapToGrid w:val="0"/>
              <w:ind w:firstLine="418"/>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设备名称</w:t>
            </w:r>
          </w:p>
        </w:tc>
        <w:tc>
          <w:tcPr>
            <w:tcW w:w="3962" w:type="dxa"/>
            <w:tcBorders>
              <w:top w:val="single" w:color="auto" w:sz="12" w:space="0"/>
            </w:tcBorders>
            <w:vAlign w:val="center"/>
          </w:tcPr>
          <w:p w14:paraId="7705439F">
            <w:pPr>
              <w:pStyle w:val="15"/>
              <w:adjustRightInd w:val="0"/>
              <w:snapToGrid w:val="0"/>
              <w:ind w:firstLine="418"/>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声级，dB（A）</w:t>
            </w:r>
          </w:p>
        </w:tc>
      </w:tr>
      <w:tr w14:paraId="21DBF0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324" w:type="dxa"/>
            <w:vAlign w:val="center"/>
          </w:tcPr>
          <w:p w14:paraId="14D0126C">
            <w:pPr>
              <w:keepNext w:val="0"/>
              <w:keepLines w:val="0"/>
              <w:pageBreakBefore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eastAsia="zh-CN"/>
              </w:rPr>
            </w:pPr>
            <w:r>
              <w:rPr>
                <w:rFonts w:hint="eastAsia" w:hAnsi="宋体"/>
                <w:color w:val="auto"/>
                <w:szCs w:val="21"/>
                <w:highlight w:val="none"/>
                <w:lang w:eastAsia="zh-CN"/>
              </w:rPr>
              <w:t>切割机</w:t>
            </w:r>
          </w:p>
        </w:tc>
        <w:tc>
          <w:tcPr>
            <w:tcW w:w="3962" w:type="dxa"/>
            <w:vAlign w:val="center"/>
          </w:tcPr>
          <w:p w14:paraId="76775878">
            <w:pPr>
              <w:keepNext w:val="0"/>
              <w:keepLines w:val="0"/>
              <w:pageBreakBefore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eastAsia="仿宋_GB2312"/>
                <w:bCs/>
                <w:color w:val="auto"/>
                <w:szCs w:val="21"/>
                <w:highlight w:val="none"/>
                <w:lang w:val="en-US" w:eastAsia="zh-CN"/>
              </w:rPr>
              <w:t>80</w:t>
            </w:r>
          </w:p>
        </w:tc>
      </w:tr>
      <w:tr w14:paraId="60FEA1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324" w:type="dxa"/>
            <w:vAlign w:val="center"/>
          </w:tcPr>
          <w:p w14:paraId="5F2F86AC">
            <w:pPr>
              <w:keepNext w:val="0"/>
              <w:keepLines w:val="0"/>
              <w:pageBreakBefore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eastAsia="zh-CN"/>
              </w:rPr>
            </w:pPr>
            <w:r>
              <w:rPr>
                <w:rFonts w:hint="eastAsia" w:hAnsi="宋体"/>
                <w:color w:val="auto"/>
                <w:szCs w:val="21"/>
                <w:highlight w:val="none"/>
                <w:lang w:eastAsia="zh-CN"/>
              </w:rPr>
              <w:t>电钻</w:t>
            </w:r>
          </w:p>
        </w:tc>
        <w:tc>
          <w:tcPr>
            <w:tcW w:w="3962" w:type="dxa"/>
            <w:vAlign w:val="center"/>
          </w:tcPr>
          <w:p w14:paraId="706AE131">
            <w:pPr>
              <w:keepNext w:val="0"/>
              <w:keepLines w:val="0"/>
              <w:pageBreakBefore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eastAsia="仿宋_GB2312"/>
                <w:bCs/>
                <w:color w:val="auto"/>
                <w:szCs w:val="21"/>
                <w:highlight w:val="none"/>
                <w:lang w:val="en-US" w:eastAsia="zh-CN"/>
              </w:rPr>
              <w:t>75</w:t>
            </w:r>
          </w:p>
        </w:tc>
      </w:tr>
      <w:tr w14:paraId="0D89F1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324" w:type="dxa"/>
            <w:tcBorders>
              <w:bottom w:val="single" w:color="auto" w:sz="12" w:space="0"/>
            </w:tcBorders>
            <w:vAlign w:val="center"/>
          </w:tcPr>
          <w:p w14:paraId="01F90A74">
            <w:pPr>
              <w:keepNext w:val="0"/>
              <w:keepLines w:val="0"/>
              <w:pageBreakBefore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eastAsia="zh-CN"/>
              </w:rPr>
            </w:pPr>
            <w:r>
              <w:rPr>
                <w:rFonts w:hint="eastAsia" w:hAnsi="宋体"/>
                <w:bCs/>
                <w:color w:val="auto"/>
                <w:szCs w:val="21"/>
                <w:highlight w:val="none"/>
                <w:lang w:eastAsia="zh-CN"/>
              </w:rPr>
              <w:t>建筑材料</w:t>
            </w:r>
            <w:r>
              <w:rPr>
                <w:rFonts w:hint="eastAsia" w:hAnsi="宋体"/>
                <w:bCs/>
                <w:color w:val="auto"/>
                <w:szCs w:val="21"/>
                <w:highlight w:val="none"/>
              </w:rPr>
              <w:t>运输</w:t>
            </w:r>
            <w:r>
              <w:rPr>
                <w:rFonts w:hint="eastAsia" w:hAnsi="宋体"/>
                <w:bCs/>
                <w:color w:val="auto"/>
                <w:szCs w:val="21"/>
                <w:highlight w:val="none"/>
                <w:lang w:eastAsia="zh-CN"/>
              </w:rPr>
              <w:t>车辆</w:t>
            </w:r>
          </w:p>
        </w:tc>
        <w:tc>
          <w:tcPr>
            <w:tcW w:w="3962" w:type="dxa"/>
            <w:tcBorders>
              <w:bottom w:val="single" w:color="auto" w:sz="12" w:space="0"/>
            </w:tcBorders>
            <w:vAlign w:val="center"/>
          </w:tcPr>
          <w:p w14:paraId="7431EDCD">
            <w:pPr>
              <w:keepNext w:val="0"/>
              <w:keepLines w:val="0"/>
              <w:pageBreakBefore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rPr>
            </w:pPr>
            <w:r>
              <w:rPr>
                <w:rFonts w:eastAsia="仿宋_GB2312"/>
                <w:bCs/>
                <w:color w:val="auto"/>
                <w:szCs w:val="21"/>
                <w:highlight w:val="none"/>
              </w:rPr>
              <w:t>8</w:t>
            </w:r>
            <w:r>
              <w:rPr>
                <w:rFonts w:hint="eastAsia" w:eastAsia="仿宋_GB2312"/>
                <w:bCs/>
                <w:color w:val="auto"/>
                <w:szCs w:val="21"/>
                <w:highlight w:val="none"/>
              </w:rPr>
              <w:t>0</w:t>
            </w:r>
          </w:p>
        </w:tc>
      </w:tr>
    </w:tbl>
    <w:p w14:paraId="588956C8">
      <w:pPr>
        <w:keepNext w:val="0"/>
        <w:keepLines w:val="0"/>
        <w:pageBreakBefore w:val="0"/>
        <w:widowControl w:val="0"/>
        <w:kinsoku/>
        <w:wordWrap/>
        <w:overflowPunct/>
        <w:topLinePunct w:val="0"/>
        <w:bidi w:val="0"/>
        <w:adjustRightInd w:val="0"/>
        <w:snapToGrid w:val="0"/>
        <w:spacing w:line="360" w:lineRule="auto"/>
        <w:ind w:firstLine="480" w:firstLineChars="200"/>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从上述各噪声源特征值可以看出，项目建设期间使用的建筑机械设备</w:t>
      </w:r>
      <w:r>
        <w:rPr>
          <w:rFonts w:hint="eastAsia" w:cs="Times New Roman"/>
          <w:color w:val="auto"/>
          <w:sz w:val="24"/>
          <w:szCs w:val="24"/>
          <w:highlight w:val="none"/>
          <w:lang w:eastAsia="zh-CN"/>
        </w:rPr>
        <w:t>较</w:t>
      </w:r>
      <w:r>
        <w:rPr>
          <w:rFonts w:hint="default" w:ascii="Times New Roman" w:hAnsi="Times New Roman" w:cs="Times New Roman"/>
          <w:color w:val="auto"/>
          <w:sz w:val="24"/>
          <w:szCs w:val="24"/>
          <w:highlight w:val="none"/>
        </w:rPr>
        <w:t>多，且噪声声级较强。</w:t>
      </w:r>
    </w:p>
    <w:p w14:paraId="33F48223">
      <w:pPr>
        <w:keepNext w:val="0"/>
        <w:keepLines w:val="0"/>
        <w:pageBreakBefore w:val="0"/>
        <w:widowControl w:val="0"/>
        <w:kinsoku/>
        <w:wordWrap/>
        <w:overflowPunct/>
        <w:topLinePunct w:val="0"/>
        <w:bidi w:val="0"/>
        <w:adjustRightInd w:val="0"/>
        <w:snapToGrid w:val="0"/>
        <w:spacing w:line="360" w:lineRule="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1.4固体废物</w:t>
      </w:r>
    </w:p>
    <w:p w14:paraId="08AA0BC7">
      <w:pPr>
        <w:keepNext w:val="0"/>
        <w:keepLines w:val="0"/>
        <w:pageBreakBefore w:val="0"/>
        <w:widowControl w:val="0"/>
        <w:kinsoku/>
        <w:wordWrap/>
        <w:overflowPunct/>
        <w:topLinePunct w:val="0"/>
        <w:bidi w:val="0"/>
        <w:adjustRightInd w:val="0"/>
        <w:snapToGrid w:val="0"/>
        <w:spacing w:line="360" w:lineRule="auto"/>
        <w:ind w:firstLine="480" w:firstLineChars="200"/>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施工中固体废物主要来自于施工建筑垃圾以及施工人员产生的生活垃圾。</w:t>
      </w:r>
    </w:p>
    <w:p w14:paraId="275B59A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baseline"/>
        <w:outlineLvl w:val="9"/>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本项目</w:t>
      </w:r>
      <w:r>
        <w:rPr>
          <w:rFonts w:hint="eastAsia" w:cs="Times New Roman"/>
          <w:color w:val="auto"/>
          <w:sz w:val="24"/>
          <w:szCs w:val="24"/>
          <w:highlight w:val="none"/>
          <w:lang w:val="en-US" w:eastAsia="zh-CN"/>
        </w:rPr>
        <w:t>施工阶段涉及墙</w:t>
      </w:r>
      <w:r>
        <w:rPr>
          <w:rFonts w:hint="eastAsia"/>
          <w:color w:val="auto"/>
          <w:sz w:val="24"/>
          <w:szCs w:val="24"/>
          <w:highlight w:val="none"/>
          <w:lang w:val="en-US" w:eastAsia="zh-CN"/>
        </w:rPr>
        <w:t>壁拆除与修整、功能设施搭建或砌筑、隔断及装修，上述工序会有建筑垃圾产生，根据企业提供设计资料，建筑垃圾产生量约为400t。</w:t>
      </w:r>
    </w:p>
    <w:p w14:paraId="0F1A62CD">
      <w:pPr>
        <w:keepNext w:val="0"/>
        <w:keepLines w:val="0"/>
        <w:pageBreakBefore w:val="0"/>
        <w:widowControl w:val="0"/>
        <w:kinsoku/>
        <w:wordWrap/>
        <w:overflowPunct/>
        <w:topLinePunct w:val="0"/>
        <w:bidi w:val="0"/>
        <w:adjustRightInd w:val="0"/>
        <w:snapToGrid w:val="0"/>
        <w:spacing w:line="360" w:lineRule="auto"/>
        <w:ind w:firstLine="480" w:firstLineChars="200"/>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施工人员生活垃圾产生量按每人每天0.5kg，施工人员为</w:t>
      </w:r>
      <w:r>
        <w:rPr>
          <w:rFonts w:hint="eastAsia" w:cs="Times New Roman"/>
          <w:color w:val="auto"/>
          <w:sz w:val="24"/>
          <w:szCs w:val="24"/>
          <w:highlight w:val="none"/>
          <w:lang w:val="en-US" w:eastAsia="zh-CN"/>
        </w:rPr>
        <w:t>15</w:t>
      </w:r>
      <w:r>
        <w:rPr>
          <w:rFonts w:hint="default" w:ascii="Times New Roman" w:hAnsi="Times New Roman" w:cs="Times New Roman"/>
          <w:color w:val="auto"/>
          <w:sz w:val="24"/>
          <w:szCs w:val="24"/>
          <w:highlight w:val="none"/>
        </w:rPr>
        <w:t>人，施工天数为</w:t>
      </w:r>
      <w:r>
        <w:rPr>
          <w:rFonts w:hint="eastAsia" w:cs="Times New Roman"/>
          <w:color w:val="auto"/>
          <w:sz w:val="24"/>
          <w:szCs w:val="24"/>
          <w:highlight w:val="none"/>
          <w:lang w:val="en-US" w:eastAsia="zh-CN"/>
        </w:rPr>
        <w:t>90</w:t>
      </w:r>
      <w:r>
        <w:rPr>
          <w:rFonts w:hint="default" w:ascii="Times New Roman" w:hAnsi="Times New Roman" w:cs="Times New Roman"/>
          <w:color w:val="auto"/>
          <w:sz w:val="24"/>
          <w:szCs w:val="24"/>
          <w:highlight w:val="none"/>
        </w:rPr>
        <w:t>天，则</w:t>
      </w:r>
      <w:r>
        <w:rPr>
          <w:rFonts w:hint="eastAsia" w:cs="Times New Roman"/>
          <w:color w:val="auto"/>
          <w:sz w:val="24"/>
          <w:szCs w:val="24"/>
          <w:highlight w:val="none"/>
          <w:lang w:eastAsia="zh-CN"/>
        </w:rPr>
        <w:t>施工期</w:t>
      </w:r>
      <w:r>
        <w:rPr>
          <w:rFonts w:hint="default" w:ascii="Times New Roman" w:hAnsi="Times New Roman" w:cs="Times New Roman"/>
          <w:color w:val="auto"/>
          <w:sz w:val="24"/>
          <w:szCs w:val="24"/>
          <w:highlight w:val="none"/>
        </w:rPr>
        <w:t>共产生生活垃圾</w:t>
      </w:r>
      <w:r>
        <w:rPr>
          <w:rFonts w:hint="eastAsia" w:cs="Times New Roman"/>
          <w:color w:val="auto"/>
          <w:sz w:val="24"/>
          <w:szCs w:val="24"/>
          <w:highlight w:val="none"/>
          <w:lang w:val="en-US" w:eastAsia="zh-CN"/>
        </w:rPr>
        <w:t>0.675</w:t>
      </w:r>
      <w:r>
        <w:rPr>
          <w:rFonts w:hint="default" w:ascii="Times New Roman" w:hAnsi="Times New Roman" w:cs="Times New Roman"/>
          <w:color w:val="auto"/>
          <w:sz w:val="24"/>
          <w:szCs w:val="24"/>
          <w:highlight w:val="none"/>
        </w:rPr>
        <w:t>t。</w:t>
      </w:r>
    </w:p>
    <w:p w14:paraId="43A4097E">
      <w:pPr>
        <w:keepNext w:val="0"/>
        <w:keepLines w:val="0"/>
        <w:pageBreakBefore w:val="0"/>
        <w:widowControl w:val="0"/>
        <w:kinsoku/>
        <w:wordWrap/>
        <w:overflowPunct/>
        <w:topLinePunct w:val="0"/>
        <w:bidi w:val="0"/>
        <w:adjustRightInd w:val="0"/>
        <w:snapToGrid w:val="0"/>
        <w:spacing w:line="360" w:lineRule="auto"/>
        <w:ind w:firstLine="480" w:firstLineChars="200"/>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项目施工期固体废物产生情况详见</w:t>
      </w:r>
      <w:r>
        <w:rPr>
          <w:rFonts w:hint="eastAsia" w:cs="Times New Roman"/>
          <w:color w:val="auto"/>
          <w:sz w:val="24"/>
          <w:szCs w:val="24"/>
          <w:highlight w:val="none"/>
          <w:lang w:eastAsia="zh-CN"/>
        </w:rPr>
        <w:t>下表</w:t>
      </w:r>
      <w:r>
        <w:rPr>
          <w:rFonts w:hint="default" w:ascii="Times New Roman" w:hAnsi="Times New Roman" w:cs="Times New Roman"/>
          <w:color w:val="auto"/>
          <w:sz w:val="24"/>
          <w:szCs w:val="24"/>
          <w:highlight w:val="none"/>
        </w:rPr>
        <w:t>。</w:t>
      </w:r>
    </w:p>
    <w:p w14:paraId="44F0555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w:t>
      </w:r>
      <w:r>
        <w:rPr>
          <w:rFonts w:hint="eastAsia" w:cs="Times New Roman"/>
          <w:b/>
          <w:bCs/>
          <w:color w:val="auto"/>
          <w:highlight w:val="none"/>
          <w:lang w:val="en-US" w:eastAsia="zh-CN"/>
        </w:rPr>
        <w:t xml:space="preserve">21                    </w:t>
      </w:r>
      <w:r>
        <w:rPr>
          <w:rFonts w:hint="default" w:ascii="Times New Roman" w:hAnsi="Times New Roman" w:cs="Times New Roman"/>
          <w:b/>
          <w:bCs/>
          <w:color w:val="auto"/>
          <w:highlight w:val="none"/>
        </w:rPr>
        <w:t>建设项目施工期固体废弃物排放量预测表</w:t>
      </w:r>
    </w:p>
    <w:tbl>
      <w:tblPr>
        <w:tblStyle w:val="24"/>
        <w:tblW w:w="9286"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668"/>
        <w:gridCol w:w="1200"/>
        <w:gridCol w:w="1600"/>
        <w:gridCol w:w="4818"/>
      </w:tblGrid>
      <w:tr w14:paraId="563AB03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668" w:type="dxa"/>
            <w:tcBorders>
              <w:top w:val="single" w:color="auto" w:sz="12" w:space="0"/>
            </w:tcBorders>
            <w:vAlign w:val="center"/>
          </w:tcPr>
          <w:p w14:paraId="4EDD7F5E">
            <w:pPr>
              <w:spacing w:before="12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项目</w:t>
            </w:r>
          </w:p>
        </w:tc>
        <w:tc>
          <w:tcPr>
            <w:tcW w:w="1200" w:type="dxa"/>
            <w:tcBorders>
              <w:top w:val="single" w:color="auto" w:sz="12" w:space="0"/>
            </w:tcBorders>
            <w:vAlign w:val="center"/>
          </w:tcPr>
          <w:p w14:paraId="79618512">
            <w:pPr>
              <w:spacing w:before="12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单位</w:t>
            </w:r>
          </w:p>
        </w:tc>
        <w:tc>
          <w:tcPr>
            <w:tcW w:w="1600" w:type="dxa"/>
            <w:tcBorders>
              <w:top w:val="single" w:color="auto" w:sz="12" w:space="0"/>
            </w:tcBorders>
            <w:vAlign w:val="center"/>
          </w:tcPr>
          <w:p w14:paraId="0D7EC03F">
            <w:pPr>
              <w:spacing w:before="12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产生量</w:t>
            </w:r>
          </w:p>
        </w:tc>
        <w:tc>
          <w:tcPr>
            <w:tcW w:w="4818" w:type="dxa"/>
            <w:tcBorders>
              <w:top w:val="single" w:color="auto" w:sz="12" w:space="0"/>
            </w:tcBorders>
            <w:vAlign w:val="center"/>
          </w:tcPr>
          <w:p w14:paraId="5C51B6EC">
            <w:pPr>
              <w:spacing w:before="12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处置方式</w:t>
            </w:r>
          </w:p>
        </w:tc>
      </w:tr>
      <w:tr w14:paraId="21BD42E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668" w:type="dxa"/>
            <w:vAlign w:val="center"/>
          </w:tcPr>
          <w:p w14:paraId="0310953E">
            <w:pPr>
              <w:spacing w:before="12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生活垃圾</w:t>
            </w:r>
          </w:p>
        </w:tc>
        <w:tc>
          <w:tcPr>
            <w:tcW w:w="1200" w:type="dxa"/>
            <w:vAlign w:val="center"/>
          </w:tcPr>
          <w:p w14:paraId="6EEE4F2F">
            <w:pPr>
              <w:spacing w:before="12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t</w:t>
            </w:r>
          </w:p>
        </w:tc>
        <w:tc>
          <w:tcPr>
            <w:tcW w:w="1600" w:type="dxa"/>
            <w:vAlign w:val="center"/>
          </w:tcPr>
          <w:p w14:paraId="65258DBD">
            <w:pPr>
              <w:spacing w:before="12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0.675</w:t>
            </w:r>
          </w:p>
        </w:tc>
        <w:tc>
          <w:tcPr>
            <w:tcW w:w="4818" w:type="dxa"/>
            <w:vAlign w:val="center"/>
          </w:tcPr>
          <w:p w14:paraId="01B974FF">
            <w:pPr>
              <w:spacing w:before="12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由环卫部门清理</w:t>
            </w:r>
          </w:p>
        </w:tc>
      </w:tr>
      <w:tr w14:paraId="5EADA96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668" w:type="dxa"/>
            <w:tcBorders>
              <w:bottom w:val="single" w:color="auto" w:sz="12" w:space="0"/>
            </w:tcBorders>
            <w:vAlign w:val="center"/>
          </w:tcPr>
          <w:p w14:paraId="52D970CE">
            <w:pPr>
              <w:spacing w:before="12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建筑垃圾</w:t>
            </w:r>
          </w:p>
        </w:tc>
        <w:tc>
          <w:tcPr>
            <w:tcW w:w="1200" w:type="dxa"/>
            <w:tcBorders>
              <w:bottom w:val="single" w:color="auto" w:sz="12" w:space="0"/>
            </w:tcBorders>
            <w:vAlign w:val="center"/>
          </w:tcPr>
          <w:p w14:paraId="62644044">
            <w:pPr>
              <w:spacing w:before="12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t</w:t>
            </w:r>
          </w:p>
        </w:tc>
        <w:tc>
          <w:tcPr>
            <w:tcW w:w="1600" w:type="dxa"/>
            <w:tcBorders>
              <w:bottom w:val="single" w:color="auto" w:sz="12" w:space="0"/>
            </w:tcBorders>
            <w:vAlign w:val="center"/>
          </w:tcPr>
          <w:p w14:paraId="20194BB2">
            <w:pPr>
              <w:spacing w:before="12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400</w:t>
            </w:r>
          </w:p>
        </w:tc>
        <w:tc>
          <w:tcPr>
            <w:tcW w:w="4818" w:type="dxa"/>
            <w:tcBorders>
              <w:bottom w:val="single" w:color="auto" w:sz="12" w:space="0"/>
            </w:tcBorders>
            <w:vAlign w:val="center"/>
          </w:tcPr>
          <w:p w14:paraId="1470ACFF">
            <w:pPr>
              <w:spacing w:before="12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由施工单位收集后送至城建指定地点处理  </w:t>
            </w:r>
          </w:p>
        </w:tc>
      </w:tr>
    </w:tbl>
    <w:p w14:paraId="05CDC4C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both"/>
        <w:textAlignment w:val="auto"/>
        <w:outlineLvl w:val="9"/>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2营运期污染工序</w:t>
      </w:r>
    </w:p>
    <w:p w14:paraId="1B9E9B1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both"/>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2.1大气污染</w:t>
      </w:r>
    </w:p>
    <w:p w14:paraId="0820946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color w:val="auto"/>
          <w:sz w:val="24"/>
          <w:highlight w:val="none"/>
        </w:rPr>
      </w:pPr>
      <w:r>
        <w:rPr>
          <w:rFonts w:hint="eastAsia"/>
          <w:color w:val="auto"/>
          <w:sz w:val="24"/>
          <w:szCs w:val="28"/>
          <w:highlight w:val="none"/>
          <w:lang w:eastAsia="zh-CN"/>
        </w:rPr>
        <w:t>本项目不设置食堂和应急发电机，</w:t>
      </w:r>
      <w:r>
        <w:rPr>
          <w:rFonts w:hint="eastAsia"/>
          <w:color w:val="auto"/>
          <w:sz w:val="24"/>
          <w:szCs w:val="28"/>
          <w:highlight w:val="none"/>
        </w:rPr>
        <w:t>医院废气污染源主要为污水处理站恶臭</w:t>
      </w:r>
      <w:r>
        <w:rPr>
          <w:rFonts w:hint="eastAsia"/>
          <w:color w:val="auto"/>
          <w:sz w:val="24"/>
          <w:szCs w:val="28"/>
          <w:highlight w:val="none"/>
          <w:lang w:eastAsia="zh-CN"/>
        </w:rPr>
        <w:t>气体及中药异味</w:t>
      </w:r>
      <w:r>
        <w:rPr>
          <w:rFonts w:hint="eastAsia"/>
          <w:color w:val="auto"/>
          <w:sz w:val="24"/>
          <w:szCs w:val="28"/>
          <w:highlight w:val="none"/>
        </w:rPr>
        <w:t>。</w:t>
      </w:r>
    </w:p>
    <w:p w14:paraId="24A8F78F">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eastAsia" w:eastAsia="宋体"/>
          <w:color w:val="auto"/>
          <w:sz w:val="24"/>
          <w:highlight w:val="none"/>
          <w:lang w:eastAsia="zh-CN"/>
        </w:rPr>
      </w:pPr>
      <w:r>
        <w:rPr>
          <w:rFonts w:hint="eastAsia"/>
          <w:color w:val="auto"/>
          <w:sz w:val="24"/>
          <w:highlight w:val="none"/>
          <w:lang w:eastAsia="zh-CN"/>
        </w:rPr>
        <w:t>（</w:t>
      </w:r>
      <w:r>
        <w:rPr>
          <w:rFonts w:hint="eastAsia"/>
          <w:color w:val="auto"/>
          <w:sz w:val="24"/>
          <w:highlight w:val="none"/>
          <w:lang w:val="en-US" w:eastAsia="zh-CN"/>
        </w:rPr>
        <w:t>1</w:t>
      </w:r>
      <w:r>
        <w:rPr>
          <w:rFonts w:hint="eastAsia"/>
          <w:color w:val="auto"/>
          <w:sz w:val="24"/>
          <w:highlight w:val="none"/>
          <w:lang w:eastAsia="zh-CN"/>
        </w:rPr>
        <w:t>）恶臭气体</w:t>
      </w:r>
    </w:p>
    <w:p w14:paraId="310A6C6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eastAsia="宋体"/>
          <w:color w:val="auto"/>
          <w:sz w:val="24"/>
          <w:szCs w:val="24"/>
          <w:highlight w:val="none"/>
          <w:lang w:val="en-US" w:eastAsia="zh-CN"/>
        </w:rPr>
      </w:pPr>
      <w:r>
        <w:rPr>
          <w:rFonts w:hint="default" w:ascii="Times New Roman" w:hAnsi="Times New Roman" w:cs="Times New Roman"/>
          <w:i w:val="0"/>
          <w:caps w:val="0"/>
          <w:color w:val="auto"/>
          <w:spacing w:val="0"/>
          <w:sz w:val="24"/>
          <w:szCs w:val="24"/>
          <w:highlight w:val="none"/>
          <w:shd w:val="clear" w:fill="FFFFFF"/>
          <w:lang w:eastAsia="zh-CN"/>
        </w:rPr>
        <w:t>污水处理站运行过程中会产生恶臭气体，主要来源于污水、污泥中有机物的分解、发酵过程，主要发生部位有格栅、沉淀池、调节池等，主要污染物为</w:t>
      </w:r>
      <w:r>
        <w:rPr>
          <w:rFonts w:hint="default" w:ascii="Times New Roman" w:hAnsi="Times New Roman" w:cs="Times New Roman"/>
          <w:i w:val="0"/>
          <w:caps w:val="0"/>
          <w:color w:val="auto"/>
          <w:spacing w:val="0"/>
          <w:sz w:val="24"/>
          <w:szCs w:val="24"/>
          <w:highlight w:val="none"/>
          <w:shd w:val="clear" w:fill="FFFFFF"/>
          <w:lang w:val="en-US" w:eastAsia="zh-CN"/>
        </w:rPr>
        <w:t>NH</w:t>
      </w:r>
      <w:r>
        <w:rPr>
          <w:rFonts w:hint="default" w:ascii="Times New Roman" w:hAnsi="Times New Roman" w:cs="Times New Roman"/>
          <w:i w:val="0"/>
          <w:caps w:val="0"/>
          <w:color w:val="auto"/>
          <w:spacing w:val="0"/>
          <w:sz w:val="24"/>
          <w:szCs w:val="24"/>
          <w:highlight w:val="none"/>
          <w:shd w:val="clear" w:fill="FFFFFF"/>
          <w:vertAlign w:val="subscript"/>
          <w:lang w:val="en-US" w:eastAsia="zh-CN"/>
        </w:rPr>
        <w:t>3</w:t>
      </w:r>
      <w:r>
        <w:rPr>
          <w:rFonts w:hint="default" w:ascii="Times New Roman" w:hAnsi="Times New Roman" w:cs="Times New Roman"/>
          <w:i w:val="0"/>
          <w:caps w:val="0"/>
          <w:color w:val="auto"/>
          <w:spacing w:val="0"/>
          <w:sz w:val="24"/>
          <w:szCs w:val="24"/>
          <w:highlight w:val="none"/>
          <w:shd w:val="clear" w:fill="FFFFFF"/>
          <w:lang w:val="en-US" w:eastAsia="zh-CN"/>
        </w:rPr>
        <w:t>和H</w:t>
      </w:r>
      <w:r>
        <w:rPr>
          <w:rFonts w:hint="default" w:ascii="Times New Roman" w:hAnsi="Times New Roman" w:cs="Times New Roman"/>
          <w:i w:val="0"/>
          <w:caps w:val="0"/>
          <w:color w:val="auto"/>
          <w:spacing w:val="0"/>
          <w:sz w:val="24"/>
          <w:szCs w:val="24"/>
          <w:highlight w:val="none"/>
          <w:shd w:val="clear" w:fill="FFFFFF"/>
          <w:vertAlign w:val="subscript"/>
          <w:lang w:val="en-US" w:eastAsia="zh-CN"/>
        </w:rPr>
        <w:t>2</w:t>
      </w:r>
      <w:r>
        <w:rPr>
          <w:rFonts w:hint="default" w:ascii="Times New Roman" w:hAnsi="Times New Roman" w:cs="Times New Roman"/>
          <w:i w:val="0"/>
          <w:caps w:val="0"/>
          <w:color w:val="auto"/>
          <w:spacing w:val="0"/>
          <w:sz w:val="24"/>
          <w:szCs w:val="24"/>
          <w:highlight w:val="none"/>
          <w:shd w:val="clear" w:fill="FFFFFF"/>
          <w:lang w:val="en-US" w:eastAsia="zh-CN"/>
        </w:rPr>
        <w:t>S。</w:t>
      </w:r>
      <w:r>
        <w:rPr>
          <w:rFonts w:hint="eastAsia" w:cs="Times New Roman"/>
          <w:i w:val="0"/>
          <w:caps w:val="0"/>
          <w:color w:val="auto"/>
          <w:spacing w:val="0"/>
          <w:sz w:val="24"/>
          <w:szCs w:val="24"/>
          <w:highlight w:val="none"/>
          <w:shd w:val="clear" w:fill="FFFFFF"/>
          <w:lang w:val="en-US" w:eastAsia="zh-CN"/>
        </w:rPr>
        <w:t>根据《医院污水处理工程技术规范》（HJ2029-2013），本项目采用非传染病医院污水一级强化处理工艺流程，本项目为中医医院，不包含西医，医疗废水产生量较少，一级强化处理工艺流程水力停留时间较短，且无厌氧及好氧工序，</w:t>
      </w:r>
      <w:r>
        <w:rPr>
          <w:rFonts w:hint="default" w:ascii="Times New Roman" w:hAnsi="Times New Roman" w:cs="Times New Roman"/>
          <w:i w:val="0"/>
          <w:caps w:val="0"/>
          <w:color w:val="auto"/>
          <w:spacing w:val="0"/>
          <w:sz w:val="24"/>
          <w:szCs w:val="24"/>
          <w:highlight w:val="none"/>
          <w:shd w:val="clear" w:fill="FFFFFF"/>
          <w:lang w:eastAsia="zh-CN"/>
        </w:rPr>
        <w:t>污水、污泥中有机物的分解、发酵过程</w:t>
      </w:r>
      <w:r>
        <w:rPr>
          <w:rFonts w:hint="eastAsia" w:cs="Times New Roman"/>
          <w:i w:val="0"/>
          <w:caps w:val="0"/>
          <w:color w:val="auto"/>
          <w:spacing w:val="0"/>
          <w:sz w:val="24"/>
          <w:szCs w:val="24"/>
          <w:highlight w:val="none"/>
          <w:shd w:val="clear" w:fill="FFFFFF"/>
          <w:lang w:eastAsia="zh-CN"/>
        </w:rPr>
        <w:t>很短，故污水站恶臭气体产生量很小，</w:t>
      </w:r>
      <w:r>
        <w:rPr>
          <w:rFonts w:hint="default" w:ascii="Times New Roman" w:hAnsi="Times New Roman" w:cs="Times New Roman"/>
          <w:i w:val="0"/>
          <w:caps w:val="0"/>
          <w:color w:val="auto"/>
          <w:spacing w:val="0"/>
          <w:sz w:val="24"/>
          <w:szCs w:val="24"/>
          <w:highlight w:val="none"/>
          <w:shd w:val="clear" w:fill="FFFFFF"/>
          <w:lang w:val="en-US" w:eastAsia="zh-CN"/>
        </w:rPr>
        <w:t>污染物产生量类比《</w:t>
      </w:r>
      <w:r>
        <w:rPr>
          <w:rFonts w:hint="eastAsia" w:cs="Times New Roman"/>
          <w:i w:val="0"/>
          <w:caps w:val="0"/>
          <w:color w:val="auto"/>
          <w:spacing w:val="0"/>
          <w:sz w:val="24"/>
          <w:szCs w:val="24"/>
          <w:highlight w:val="none"/>
          <w:shd w:val="clear" w:fill="FFFFFF"/>
          <w:lang w:val="en-US" w:eastAsia="zh-CN"/>
        </w:rPr>
        <w:t>湘潭诚德中医医院建设项目</w:t>
      </w:r>
      <w:r>
        <w:rPr>
          <w:rFonts w:hint="default" w:ascii="Times New Roman" w:hAnsi="Times New Roman" w:cs="Times New Roman"/>
          <w:i w:val="0"/>
          <w:caps w:val="0"/>
          <w:color w:val="auto"/>
          <w:spacing w:val="0"/>
          <w:sz w:val="24"/>
          <w:szCs w:val="24"/>
          <w:highlight w:val="none"/>
          <w:shd w:val="clear" w:fill="FFFFFF"/>
          <w:lang w:val="en-US" w:eastAsia="zh-CN"/>
        </w:rPr>
        <w:t>》（已通过批复）污水处理站污染物产生量，</w:t>
      </w:r>
      <w:r>
        <w:rPr>
          <w:rFonts w:hint="default" w:ascii="Times New Roman" w:hAnsi="Times New Roman" w:cs="Times New Roman"/>
          <w:i w:val="0"/>
          <w:caps w:val="0"/>
          <w:color w:val="FF0000"/>
          <w:spacing w:val="0"/>
          <w:sz w:val="24"/>
          <w:szCs w:val="24"/>
          <w:highlight w:val="none"/>
          <w:shd w:val="clear" w:fill="FFFFFF"/>
          <w:lang w:val="en-US" w:eastAsia="zh-CN"/>
        </w:rPr>
        <w:t>湘潭诚德中医医院</w:t>
      </w:r>
      <w:r>
        <w:rPr>
          <w:rFonts w:hint="eastAsia" w:cs="Times New Roman"/>
          <w:i w:val="0"/>
          <w:caps w:val="0"/>
          <w:color w:val="FF0000"/>
          <w:spacing w:val="0"/>
          <w:sz w:val="24"/>
          <w:szCs w:val="24"/>
          <w:highlight w:val="none"/>
          <w:shd w:val="clear" w:fill="FFFFFF"/>
          <w:lang w:val="en-US" w:eastAsia="zh-CN"/>
        </w:rPr>
        <w:t>设置床位60张，下设中医内科、中医外科、骨伤科、老年病科、针灸科等诊疗科目，所用药材为中成药及中药材，</w:t>
      </w:r>
      <w:r>
        <w:rPr>
          <w:rFonts w:hint="default" w:ascii="Times New Roman" w:hAnsi="Times New Roman" w:cs="Times New Roman"/>
          <w:i w:val="0"/>
          <w:caps w:val="0"/>
          <w:color w:val="FF0000"/>
          <w:spacing w:val="0"/>
          <w:sz w:val="24"/>
          <w:szCs w:val="24"/>
          <w:highlight w:val="none"/>
          <w:shd w:val="clear" w:fill="FFFFFF"/>
          <w:lang w:val="en-US" w:eastAsia="zh-CN"/>
        </w:rPr>
        <w:t>该项目</w:t>
      </w:r>
      <w:r>
        <w:rPr>
          <w:rFonts w:hint="eastAsia" w:cs="Times New Roman"/>
          <w:i w:val="0"/>
          <w:caps w:val="0"/>
          <w:color w:val="FF0000"/>
          <w:spacing w:val="0"/>
          <w:sz w:val="24"/>
          <w:szCs w:val="24"/>
          <w:highlight w:val="none"/>
          <w:shd w:val="clear" w:fill="FFFFFF"/>
          <w:lang w:val="en-US" w:eastAsia="zh-CN"/>
        </w:rPr>
        <w:t>污水产生量为21m</w:t>
      </w:r>
      <w:r>
        <w:rPr>
          <w:rFonts w:hint="eastAsia" w:cs="Times New Roman"/>
          <w:i w:val="0"/>
          <w:caps w:val="0"/>
          <w:color w:val="FF0000"/>
          <w:spacing w:val="0"/>
          <w:sz w:val="24"/>
          <w:szCs w:val="24"/>
          <w:highlight w:val="none"/>
          <w:shd w:val="clear" w:fill="FFFFFF"/>
          <w:vertAlign w:val="superscript"/>
          <w:lang w:val="en-US" w:eastAsia="zh-CN"/>
        </w:rPr>
        <w:t>3</w:t>
      </w:r>
      <w:r>
        <w:rPr>
          <w:rFonts w:hint="default" w:cs="Times New Roman"/>
          <w:i w:val="0"/>
          <w:caps w:val="0"/>
          <w:color w:val="FF0000"/>
          <w:spacing w:val="0"/>
          <w:sz w:val="24"/>
          <w:szCs w:val="24"/>
          <w:highlight w:val="none"/>
          <w:shd w:val="clear" w:fill="FFFFFF"/>
          <w:lang w:val="en-US" w:eastAsia="zh-CN"/>
        </w:rPr>
        <w:t>/d</w:t>
      </w:r>
      <w:r>
        <w:rPr>
          <w:rFonts w:hint="eastAsia" w:cs="Times New Roman"/>
          <w:i w:val="0"/>
          <w:caps w:val="0"/>
          <w:color w:val="FF0000"/>
          <w:spacing w:val="0"/>
          <w:sz w:val="24"/>
          <w:szCs w:val="24"/>
          <w:highlight w:val="none"/>
          <w:shd w:val="clear" w:fill="FFFFFF"/>
          <w:lang w:val="en-US" w:eastAsia="zh-CN"/>
        </w:rPr>
        <w:t>，污水处理措施采用“一级强化处理工艺”，医院后勤管理部门下设环保机构，并设专职环保管理人员1名，</w:t>
      </w:r>
      <w:r>
        <w:rPr>
          <w:rFonts w:hint="default" w:ascii="Times New Roman" w:hAnsi="Times New Roman" w:cs="Times New Roman"/>
          <w:i w:val="0"/>
          <w:caps w:val="0"/>
          <w:color w:val="FF0000"/>
          <w:spacing w:val="0"/>
          <w:sz w:val="24"/>
          <w:szCs w:val="24"/>
          <w:highlight w:val="none"/>
          <w:shd w:val="clear" w:fill="FFFFFF"/>
          <w:lang w:val="en-US" w:eastAsia="zh-CN"/>
        </w:rPr>
        <w:t>该项目</w:t>
      </w:r>
      <w:r>
        <w:rPr>
          <w:rFonts w:hint="eastAsia" w:cs="Times New Roman"/>
          <w:i w:val="0"/>
          <w:caps w:val="0"/>
          <w:color w:val="FF0000"/>
          <w:spacing w:val="0"/>
          <w:sz w:val="24"/>
          <w:szCs w:val="24"/>
          <w:highlight w:val="none"/>
          <w:shd w:val="clear" w:fill="FFFFFF"/>
          <w:lang w:val="en-US" w:eastAsia="zh-CN"/>
        </w:rPr>
        <w:t>原辅料成分、诊疗工艺、污水</w:t>
      </w:r>
      <w:r>
        <w:rPr>
          <w:rFonts w:hint="default" w:ascii="Times New Roman" w:hAnsi="Times New Roman" w:cs="Times New Roman"/>
          <w:i w:val="0"/>
          <w:caps w:val="0"/>
          <w:color w:val="FF0000"/>
          <w:spacing w:val="0"/>
          <w:sz w:val="24"/>
          <w:szCs w:val="24"/>
          <w:highlight w:val="none"/>
          <w:shd w:val="clear" w:fill="FFFFFF"/>
          <w:lang w:val="en-US" w:eastAsia="zh-CN"/>
        </w:rPr>
        <w:t>规模</w:t>
      </w:r>
      <w:r>
        <w:rPr>
          <w:rFonts w:hint="eastAsia" w:cs="Times New Roman"/>
          <w:i w:val="0"/>
          <w:caps w:val="0"/>
          <w:color w:val="FF0000"/>
          <w:spacing w:val="0"/>
          <w:sz w:val="24"/>
          <w:szCs w:val="24"/>
          <w:highlight w:val="none"/>
          <w:shd w:val="clear" w:fill="FFFFFF"/>
          <w:lang w:val="en-US" w:eastAsia="zh-CN"/>
        </w:rPr>
        <w:t>、管理水平</w:t>
      </w:r>
      <w:r>
        <w:rPr>
          <w:rFonts w:hint="default" w:ascii="Times New Roman" w:hAnsi="Times New Roman" w:cs="Times New Roman"/>
          <w:i w:val="0"/>
          <w:caps w:val="0"/>
          <w:color w:val="FF0000"/>
          <w:spacing w:val="0"/>
          <w:sz w:val="24"/>
          <w:szCs w:val="24"/>
          <w:highlight w:val="none"/>
          <w:shd w:val="clear" w:fill="FFFFFF"/>
          <w:lang w:val="en-US" w:eastAsia="zh-CN"/>
        </w:rPr>
        <w:t>及污染控制措施与本项目相近，可以进行类比，</w:t>
      </w:r>
      <w:r>
        <w:rPr>
          <w:rFonts w:hint="eastAsia" w:cs="Times New Roman"/>
          <w:i w:val="0"/>
          <w:caps w:val="0"/>
          <w:color w:val="auto"/>
          <w:spacing w:val="0"/>
          <w:sz w:val="24"/>
          <w:szCs w:val="24"/>
          <w:highlight w:val="none"/>
          <w:shd w:val="clear" w:fill="FFFFFF"/>
          <w:lang w:val="en-US" w:eastAsia="zh-CN"/>
        </w:rPr>
        <w:t>则</w:t>
      </w:r>
      <w:r>
        <w:rPr>
          <w:rFonts w:hint="default" w:ascii="Times New Roman" w:hAnsi="Times New Roman" w:cs="Times New Roman"/>
          <w:i w:val="0"/>
          <w:caps w:val="0"/>
          <w:color w:val="auto"/>
          <w:spacing w:val="0"/>
          <w:sz w:val="24"/>
          <w:szCs w:val="24"/>
          <w:highlight w:val="none"/>
          <w:shd w:val="clear" w:fill="FFFFFF"/>
          <w:lang w:val="en-US" w:eastAsia="zh-CN"/>
        </w:rPr>
        <w:t>本项目恶臭气体NH</w:t>
      </w:r>
      <w:r>
        <w:rPr>
          <w:rFonts w:hint="default" w:ascii="Times New Roman" w:hAnsi="Times New Roman" w:cs="Times New Roman"/>
          <w:i w:val="0"/>
          <w:caps w:val="0"/>
          <w:color w:val="auto"/>
          <w:spacing w:val="0"/>
          <w:sz w:val="24"/>
          <w:szCs w:val="24"/>
          <w:highlight w:val="none"/>
          <w:shd w:val="clear" w:fill="FFFFFF"/>
          <w:vertAlign w:val="subscript"/>
          <w:lang w:val="en-US" w:eastAsia="zh-CN"/>
        </w:rPr>
        <w:t>3</w:t>
      </w:r>
      <w:r>
        <w:rPr>
          <w:rFonts w:hint="default" w:ascii="Times New Roman" w:hAnsi="Times New Roman" w:cs="Times New Roman"/>
          <w:i w:val="0"/>
          <w:caps w:val="0"/>
          <w:color w:val="auto"/>
          <w:spacing w:val="0"/>
          <w:sz w:val="24"/>
          <w:szCs w:val="24"/>
          <w:highlight w:val="none"/>
          <w:shd w:val="clear" w:fill="FFFFFF"/>
          <w:lang w:val="en-US" w:eastAsia="zh-CN"/>
        </w:rPr>
        <w:t>和H</w:t>
      </w:r>
      <w:r>
        <w:rPr>
          <w:rFonts w:hint="default" w:ascii="Times New Roman" w:hAnsi="Times New Roman" w:cs="Times New Roman"/>
          <w:i w:val="0"/>
          <w:caps w:val="0"/>
          <w:color w:val="auto"/>
          <w:spacing w:val="0"/>
          <w:sz w:val="24"/>
          <w:szCs w:val="24"/>
          <w:highlight w:val="none"/>
          <w:shd w:val="clear" w:fill="FFFFFF"/>
          <w:vertAlign w:val="subscript"/>
          <w:lang w:val="en-US" w:eastAsia="zh-CN"/>
        </w:rPr>
        <w:t>2</w:t>
      </w:r>
      <w:r>
        <w:rPr>
          <w:rFonts w:hint="default" w:ascii="Times New Roman" w:hAnsi="Times New Roman" w:cs="Times New Roman"/>
          <w:i w:val="0"/>
          <w:caps w:val="0"/>
          <w:color w:val="auto"/>
          <w:spacing w:val="0"/>
          <w:sz w:val="24"/>
          <w:szCs w:val="24"/>
          <w:highlight w:val="none"/>
          <w:shd w:val="clear" w:fill="FFFFFF"/>
          <w:lang w:val="en-US" w:eastAsia="zh-CN"/>
        </w:rPr>
        <w:t>S的产生量分别为</w:t>
      </w:r>
      <w:r>
        <w:rPr>
          <w:rFonts w:hint="eastAsia" w:cs="Times New Roman"/>
          <w:i w:val="0"/>
          <w:caps w:val="0"/>
          <w:color w:val="auto"/>
          <w:spacing w:val="0"/>
          <w:sz w:val="24"/>
          <w:szCs w:val="24"/>
          <w:highlight w:val="none"/>
          <w:shd w:val="clear" w:fill="FFFFFF"/>
          <w:lang w:val="en-US" w:eastAsia="zh-CN"/>
        </w:rPr>
        <w:t>9.38</w:t>
      </w:r>
      <w:r>
        <w:rPr>
          <w:rFonts w:hint="default" w:ascii="Times New Roman" w:hAnsi="Times New Roman" w:cs="Times New Roman"/>
          <w:i w:val="0"/>
          <w:caps w:val="0"/>
          <w:color w:val="auto"/>
          <w:spacing w:val="0"/>
          <w:sz w:val="24"/>
          <w:szCs w:val="24"/>
          <w:highlight w:val="none"/>
          <w:shd w:val="clear" w:fill="FFFFFF"/>
          <w:lang w:val="en-US" w:eastAsia="zh-CN"/>
        </w:rPr>
        <w:t>kg/a、0.</w:t>
      </w:r>
      <w:r>
        <w:rPr>
          <w:rFonts w:hint="eastAsia" w:cs="Times New Roman"/>
          <w:i w:val="0"/>
          <w:caps w:val="0"/>
          <w:color w:val="auto"/>
          <w:spacing w:val="0"/>
          <w:sz w:val="24"/>
          <w:szCs w:val="24"/>
          <w:highlight w:val="none"/>
          <w:shd w:val="clear" w:fill="FFFFFF"/>
          <w:lang w:val="en-US" w:eastAsia="zh-CN"/>
        </w:rPr>
        <w:t>33</w:t>
      </w:r>
      <w:r>
        <w:rPr>
          <w:rFonts w:hint="default" w:ascii="Times New Roman" w:hAnsi="Times New Roman" w:cs="Times New Roman"/>
          <w:i w:val="0"/>
          <w:caps w:val="0"/>
          <w:color w:val="auto"/>
          <w:spacing w:val="0"/>
          <w:sz w:val="24"/>
          <w:szCs w:val="24"/>
          <w:highlight w:val="none"/>
          <w:shd w:val="clear" w:fill="FFFFFF"/>
          <w:lang w:val="en-US" w:eastAsia="zh-CN"/>
        </w:rPr>
        <w:t>kg/a</w:t>
      </w:r>
      <w:r>
        <w:rPr>
          <w:rFonts w:hint="eastAsia" w:ascii="Times New Roman" w:hAnsi="Times New Roman" w:cs="Times New Roman"/>
          <w:i w:val="0"/>
          <w:caps w:val="0"/>
          <w:color w:val="auto"/>
          <w:spacing w:val="0"/>
          <w:sz w:val="24"/>
          <w:szCs w:val="24"/>
          <w:highlight w:val="none"/>
          <w:shd w:val="clear" w:fill="FFFFFF"/>
          <w:lang w:val="en-US" w:eastAsia="zh-CN"/>
        </w:rPr>
        <w:t>。</w:t>
      </w:r>
      <w:r>
        <w:rPr>
          <w:rFonts w:hint="eastAsia" w:cs="Times New Roman"/>
          <w:i w:val="0"/>
          <w:caps w:val="0"/>
          <w:color w:val="auto"/>
          <w:spacing w:val="0"/>
          <w:sz w:val="24"/>
          <w:szCs w:val="24"/>
          <w:highlight w:val="none"/>
          <w:shd w:val="clear" w:fill="FFFFFF"/>
          <w:lang w:val="en-US" w:eastAsia="zh-CN"/>
        </w:rPr>
        <w:t>污水处理设施为一体化处理设备，</w:t>
      </w:r>
      <w:r>
        <w:rPr>
          <w:rFonts w:hint="eastAsia" w:ascii="Times New Roman" w:hAnsi="Times New Roman" w:cs="Times New Roman"/>
          <w:i w:val="0"/>
          <w:caps w:val="0"/>
          <w:color w:val="auto"/>
          <w:spacing w:val="0"/>
          <w:sz w:val="24"/>
          <w:szCs w:val="24"/>
          <w:highlight w:val="none"/>
          <w:shd w:val="clear" w:fill="FFFFFF"/>
          <w:lang w:val="en-US" w:eastAsia="zh-CN"/>
        </w:rPr>
        <w:t>污水处理</w:t>
      </w:r>
      <w:r>
        <w:rPr>
          <w:rFonts w:hint="eastAsia" w:cs="Times New Roman"/>
          <w:i w:val="0"/>
          <w:caps w:val="0"/>
          <w:color w:val="auto"/>
          <w:spacing w:val="0"/>
          <w:sz w:val="24"/>
          <w:szCs w:val="24"/>
          <w:highlight w:val="none"/>
          <w:shd w:val="clear" w:fill="FFFFFF"/>
          <w:lang w:val="en-US" w:eastAsia="zh-CN"/>
        </w:rPr>
        <w:t>设施加盖</w:t>
      </w:r>
      <w:r>
        <w:rPr>
          <w:rFonts w:hint="eastAsia" w:ascii="Times New Roman" w:hAnsi="Times New Roman" w:cs="Times New Roman"/>
          <w:i w:val="0"/>
          <w:caps w:val="0"/>
          <w:color w:val="auto"/>
          <w:spacing w:val="0"/>
          <w:sz w:val="24"/>
          <w:szCs w:val="24"/>
          <w:highlight w:val="none"/>
          <w:shd w:val="clear" w:fill="FFFFFF"/>
          <w:lang w:val="en-US" w:eastAsia="zh-CN"/>
        </w:rPr>
        <w:t>封闭</w:t>
      </w:r>
      <w:r>
        <w:rPr>
          <w:rFonts w:hint="eastAsia" w:cs="Times New Roman"/>
          <w:i w:val="0"/>
          <w:caps w:val="0"/>
          <w:color w:val="auto"/>
          <w:spacing w:val="0"/>
          <w:sz w:val="24"/>
          <w:szCs w:val="24"/>
          <w:highlight w:val="none"/>
          <w:shd w:val="clear" w:fill="FFFFFF"/>
          <w:lang w:val="en-US" w:eastAsia="zh-CN"/>
        </w:rPr>
        <w:t>，</w:t>
      </w:r>
      <w:r>
        <w:rPr>
          <w:rFonts w:hint="eastAsia" w:cs="Times New Roman"/>
          <w:i w:val="0"/>
          <w:caps w:val="0"/>
          <w:color w:val="FF0000"/>
          <w:spacing w:val="0"/>
          <w:sz w:val="24"/>
          <w:szCs w:val="24"/>
          <w:highlight w:val="none"/>
          <w:shd w:val="clear" w:fill="FFFFFF"/>
          <w:lang w:val="en-US" w:eastAsia="zh-CN"/>
        </w:rPr>
        <w:t>投放除臭剂，</w:t>
      </w:r>
      <w:r>
        <w:rPr>
          <w:rFonts w:hint="eastAsia" w:cs="Times New Roman"/>
          <w:i w:val="0"/>
          <w:caps w:val="0"/>
          <w:color w:val="auto"/>
          <w:spacing w:val="0"/>
          <w:sz w:val="24"/>
          <w:szCs w:val="24"/>
          <w:highlight w:val="none"/>
          <w:shd w:val="clear" w:fill="FFFFFF"/>
          <w:lang w:val="en-US" w:eastAsia="zh-CN"/>
        </w:rPr>
        <w:t>同时</w:t>
      </w:r>
      <w:r>
        <w:rPr>
          <w:rFonts w:hint="eastAsia" w:ascii="宋体" w:hAnsi="宋体" w:cs="宋体"/>
          <w:color w:val="auto"/>
          <w:sz w:val="24"/>
          <w:szCs w:val="24"/>
          <w:highlight w:val="none"/>
        </w:rPr>
        <w:t>在</w:t>
      </w:r>
      <w:r>
        <w:rPr>
          <w:rFonts w:hint="eastAsia" w:ascii="宋体" w:hAnsi="宋体" w:cs="宋体"/>
          <w:color w:val="auto"/>
          <w:sz w:val="24"/>
          <w:szCs w:val="24"/>
          <w:highlight w:val="none"/>
          <w:lang w:eastAsia="zh-CN"/>
        </w:rPr>
        <w:t>污水站周边</w:t>
      </w:r>
      <w:r>
        <w:rPr>
          <w:rFonts w:hint="eastAsia" w:ascii="宋体" w:hAnsi="宋体" w:cs="宋体"/>
          <w:color w:val="auto"/>
          <w:sz w:val="24"/>
          <w:szCs w:val="24"/>
          <w:highlight w:val="none"/>
        </w:rPr>
        <w:t>放置</w:t>
      </w:r>
      <w:r>
        <w:rPr>
          <w:rFonts w:hint="eastAsia" w:ascii="宋体" w:hAnsi="宋体" w:cs="宋体"/>
          <w:color w:val="auto"/>
          <w:sz w:val="24"/>
          <w:szCs w:val="24"/>
          <w:highlight w:val="none"/>
          <w:lang w:eastAsia="zh-CN"/>
        </w:rPr>
        <w:t>吸附恶臭气体较强的</w:t>
      </w:r>
      <w:r>
        <w:rPr>
          <w:rFonts w:hint="eastAsia" w:ascii="宋体" w:hAnsi="宋体" w:cs="宋体"/>
          <w:color w:val="auto"/>
          <w:sz w:val="24"/>
          <w:szCs w:val="24"/>
          <w:highlight w:val="none"/>
        </w:rPr>
        <w:t>盆栽植物进行绿化吸收</w:t>
      </w:r>
      <w:r>
        <w:rPr>
          <w:rFonts w:hint="eastAsia" w:ascii="宋体" w:hAnsi="宋体" w:cs="宋体"/>
          <w:color w:val="auto"/>
          <w:sz w:val="24"/>
          <w:szCs w:val="24"/>
          <w:highlight w:val="none"/>
          <w:lang w:eastAsia="zh-CN"/>
        </w:rPr>
        <w:t>，采取上述措施处理后，污水站无组织恶臭气体可以满足《医疗机构水污染物排放标准》（</w:t>
      </w:r>
      <w:r>
        <w:rPr>
          <w:rFonts w:hint="eastAsia" w:ascii="宋体" w:hAnsi="宋体" w:cs="宋体"/>
          <w:color w:val="auto"/>
          <w:sz w:val="24"/>
          <w:szCs w:val="24"/>
          <w:highlight w:val="none"/>
          <w:lang w:val="en-US" w:eastAsia="zh-CN"/>
        </w:rPr>
        <w:t>GB18466-2005</w:t>
      </w:r>
      <w:r>
        <w:rPr>
          <w:rFonts w:hint="eastAsia" w:ascii="宋体" w:hAnsi="宋体" w:cs="宋体"/>
          <w:color w:val="auto"/>
          <w:sz w:val="24"/>
          <w:szCs w:val="24"/>
          <w:highlight w:val="none"/>
          <w:lang w:eastAsia="zh-CN"/>
        </w:rPr>
        <w:t>）表</w:t>
      </w:r>
      <w:r>
        <w:rPr>
          <w:rFonts w:hint="eastAsia" w:ascii="宋体" w:hAnsi="宋体" w:cs="宋体"/>
          <w:color w:val="auto"/>
          <w:sz w:val="24"/>
          <w:szCs w:val="24"/>
          <w:highlight w:val="none"/>
          <w:lang w:val="en-US" w:eastAsia="zh-CN"/>
        </w:rPr>
        <w:t>3污水处理站周边大气污染物最高允许浓度要求</w:t>
      </w:r>
      <w:r>
        <w:rPr>
          <w:rFonts w:hint="default" w:ascii="Times New Roman" w:hAnsi="Times New Roman" w:cs="Times New Roman"/>
          <w:i w:val="0"/>
          <w:caps w:val="0"/>
          <w:color w:val="auto"/>
          <w:spacing w:val="0"/>
          <w:sz w:val="24"/>
          <w:szCs w:val="24"/>
          <w:highlight w:val="none"/>
          <w:shd w:val="clear" w:fill="FFFFFF"/>
          <w:lang w:val="en-US" w:eastAsia="zh-CN"/>
        </w:rPr>
        <w:t>。</w:t>
      </w:r>
    </w:p>
    <w:p w14:paraId="3B2421DD">
      <w:pPr>
        <w:pStyle w:val="2"/>
        <w:keepNext w:val="0"/>
        <w:keepLines w:val="0"/>
        <w:pageBreakBefore w:val="0"/>
        <w:widowControl w:val="0"/>
        <w:numPr>
          <w:ilvl w:val="0"/>
          <w:numId w:val="3"/>
        </w:numPr>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color w:val="auto"/>
          <w:sz w:val="24"/>
          <w:szCs w:val="28"/>
          <w:highlight w:val="none"/>
          <w:lang w:eastAsia="zh-CN"/>
        </w:rPr>
      </w:pPr>
      <w:r>
        <w:rPr>
          <w:rFonts w:hint="eastAsia"/>
          <w:color w:val="auto"/>
          <w:sz w:val="24"/>
          <w:szCs w:val="28"/>
          <w:highlight w:val="none"/>
          <w:lang w:eastAsia="zh-CN"/>
        </w:rPr>
        <w:t>中药异味</w:t>
      </w:r>
    </w:p>
    <w:p w14:paraId="48D390F0">
      <w:pPr>
        <w:pStyle w:val="23"/>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color w:val="auto"/>
          <w:highlight w:val="none"/>
          <w:lang w:val="en-US" w:eastAsia="zh-CN"/>
        </w:rPr>
      </w:pPr>
      <w:r>
        <w:rPr>
          <w:rFonts w:hint="eastAsia" w:ascii="宋体" w:hAnsi="宋体" w:eastAsia="宋体" w:cs="宋体"/>
          <w:color w:val="auto"/>
          <w:kern w:val="2"/>
          <w:sz w:val="24"/>
          <w:szCs w:val="24"/>
          <w:highlight w:val="none"/>
          <w:lang w:val="en-US" w:eastAsia="zh-CN" w:bidi="ar-SA"/>
        </w:rPr>
        <w:t>中药异味主要产生于煎药、熏蒸环节</w:t>
      </w:r>
      <w:r>
        <w:rPr>
          <w:rFonts w:hint="eastAsia" w:ascii="宋体" w:hAnsi="宋体" w:cs="宋体"/>
          <w:color w:val="auto"/>
          <w:kern w:val="2"/>
          <w:sz w:val="24"/>
          <w:szCs w:val="24"/>
          <w:highlight w:val="none"/>
          <w:lang w:val="en-US" w:eastAsia="zh-CN" w:bidi="ar-SA"/>
        </w:rPr>
        <w:t>。本项目使用中药材为成品药材，不再进行精加工，在进入终端使用前一般只进行简单的洗、切等物理加工过程，</w:t>
      </w:r>
      <w:r>
        <w:rPr>
          <w:rFonts w:hint="eastAsia" w:ascii="宋体" w:hAnsi="宋体" w:eastAsia="宋体" w:cs="宋体"/>
          <w:color w:val="auto"/>
          <w:kern w:val="2"/>
          <w:sz w:val="24"/>
          <w:szCs w:val="24"/>
          <w:highlight w:val="none"/>
          <w:lang w:val="en-US" w:eastAsia="zh-CN" w:bidi="ar-SA"/>
        </w:rPr>
        <w:t>中药煎药和熏蒸过程中，主要把中药材</w:t>
      </w:r>
      <w:r>
        <w:rPr>
          <w:rFonts w:hint="eastAsia" w:ascii="宋体" w:hAnsi="宋体" w:cs="宋体"/>
          <w:color w:val="auto"/>
          <w:kern w:val="2"/>
          <w:sz w:val="24"/>
          <w:szCs w:val="24"/>
          <w:highlight w:val="none"/>
          <w:lang w:val="en-US" w:eastAsia="zh-CN" w:bidi="ar-SA"/>
        </w:rPr>
        <w:t>送</w:t>
      </w:r>
      <w:r>
        <w:rPr>
          <w:rFonts w:hint="eastAsia" w:ascii="宋体" w:hAnsi="宋体" w:eastAsia="宋体" w:cs="宋体"/>
          <w:color w:val="auto"/>
          <w:kern w:val="2"/>
          <w:sz w:val="24"/>
          <w:szCs w:val="24"/>
          <w:highlight w:val="none"/>
          <w:lang w:val="en-US" w:eastAsia="zh-CN" w:bidi="ar-SA"/>
        </w:rPr>
        <w:t>入</w:t>
      </w:r>
      <w:r>
        <w:rPr>
          <w:rFonts w:hint="eastAsia" w:ascii="宋体" w:hAnsi="宋体" w:cs="宋体"/>
          <w:color w:val="auto"/>
          <w:kern w:val="2"/>
          <w:sz w:val="24"/>
          <w:szCs w:val="24"/>
          <w:highlight w:val="none"/>
          <w:lang w:val="en-US" w:eastAsia="zh-CN" w:bidi="ar-SA"/>
        </w:rPr>
        <w:t>煎药机</w:t>
      </w:r>
      <w:r>
        <w:rPr>
          <w:rFonts w:hint="eastAsia" w:ascii="宋体" w:hAnsi="宋体" w:eastAsia="宋体" w:cs="宋体"/>
          <w:color w:val="auto"/>
          <w:kern w:val="2"/>
          <w:sz w:val="24"/>
          <w:szCs w:val="24"/>
          <w:highlight w:val="none"/>
          <w:lang w:val="en-US" w:eastAsia="zh-CN" w:bidi="ar-SA"/>
        </w:rPr>
        <w:t>进行熬制。</w:t>
      </w:r>
      <w:r>
        <w:rPr>
          <w:rFonts w:hint="eastAsia" w:ascii="宋体" w:hAnsi="宋体" w:eastAsia="宋体" w:cs="宋体"/>
          <w:color w:val="FF0000"/>
          <w:kern w:val="2"/>
          <w:sz w:val="24"/>
          <w:szCs w:val="24"/>
          <w:highlight w:val="none"/>
          <w:lang w:val="en-US" w:eastAsia="zh-CN" w:bidi="ar-SA"/>
        </w:rPr>
        <w:t>本项目操作间为煎药室和熏蒸室，在工作过程中会产生淡淡的中药特殊异味</w:t>
      </w:r>
      <w:r>
        <w:rPr>
          <w:rFonts w:hint="eastAsia" w:ascii="宋体" w:hAnsi="宋体" w:cs="宋体"/>
          <w:color w:val="FF0000"/>
          <w:kern w:val="2"/>
          <w:sz w:val="24"/>
          <w:szCs w:val="24"/>
          <w:highlight w:val="none"/>
          <w:lang w:val="en-US" w:eastAsia="zh-CN" w:bidi="ar-SA"/>
        </w:rPr>
        <w:t>，经排风扇排至室外经空气稀释后对本项目自身及周围环境保护目标影响较小</w:t>
      </w:r>
      <w:r>
        <w:rPr>
          <w:rFonts w:hint="eastAsia" w:ascii="宋体" w:hAnsi="宋体" w:eastAsia="宋体" w:cs="宋体"/>
          <w:color w:val="FF0000"/>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本项目就诊规模较小，</w:t>
      </w:r>
      <w:r>
        <w:rPr>
          <w:rFonts w:hint="eastAsia" w:ascii="宋体" w:hAnsi="宋体" w:cs="宋体"/>
          <w:color w:val="auto"/>
          <w:kern w:val="2"/>
          <w:sz w:val="24"/>
          <w:szCs w:val="24"/>
          <w:highlight w:val="none"/>
          <w:lang w:val="en-US" w:eastAsia="zh-CN" w:bidi="ar-SA"/>
        </w:rPr>
        <w:t>煎药室、熏蒸室位于远离居民侧，中药异味经自然扩散后，不会对周围环境产生较大影响</w:t>
      </w:r>
      <w:r>
        <w:rPr>
          <w:rFonts w:hint="eastAsia" w:ascii="宋体" w:hAnsi="宋体" w:eastAsia="宋体" w:cs="宋体"/>
          <w:color w:val="auto"/>
          <w:kern w:val="2"/>
          <w:sz w:val="24"/>
          <w:szCs w:val="24"/>
          <w:highlight w:val="none"/>
          <w:lang w:val="en-US" w:eastAsia="zh-CN" w:bidi="ar-SA"/>
        </w:rPr>
        <w:t>。</w:t>
      </w:r>
    </w:p>
    <w:p w14:paraId="363ACD2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2.2废水污染</w:t>
      </w:r>
    </w:p>
    <w:p w14:paraId="03044B9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2.2.1水质特点</w:t>
      </w:r>
    </w:p>
    <w:p w14:paraId="2DBEEA9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①病房楼排水：</w:t>
      </w:r>
      <w:r>
        <w:rPr>
          <w:rFonts w:hint="eastAsia" w:cs="Times New Roman"/>
          <w:color w:val="auto"/>
          <w:sz w:val="24"/>
          <w:szCs w:val="24"/>
          <w:highlight w:val="none"/>
          <w:lang w:eastAsia="zh-CN"/>
        </w:rPr>
        <w:t>本项目不设置化验室，化验工作委托本溪市第一人民医院进行，</w:t>
      </w:r>
      <w:r>
        <w:rPr>
          <w:rFonts w:ascii="Times New Roman" w:hAnsi="Times New Roman" w:cs="Times New Roman"/>
          <w:color w:val="auto"/>
          <w:sz w:val="24"/>
          <w:szCs w:val="24"/>
          <w:highlight w:val="none"/>
        </w:rPr>
        <w:t>除少量来自治疗及污洗间的医疗排水外，主要是来自病人和医护、家属的冲厕、盥洗及清洗餐具水果</w:t>
      </w:r>
      <w:r>
        <w:rPr>
          <w:rFonts w:hint="eastAsia" w:cs="Times New Roman"/>
          <w:color w:val="auto"/>
          <w:sz w:val="24"/>
          <w:szCs w:val="24"/>
          <w:highlight w:val="none"/>
          <w:lang w:eastAsia="zh-CN"/>
        </w:rPr>
        <w:t>、药浴废水</w:t>
      </w:r>
      <w:r>
        <w:rPr>
          <w:rFonts w:ascii="Times New Roman" w:hAnsi="Times New Roman" w:cs="Times New Roman"/>
          <w:color w:val="auto"/>
          <w:sz w:val="24"/>
          <w:szCs w:val="24"/>
          <w:highlight w:val="none"/>
        </w:rPr>
        <w:t>等的排水。</w:t>
      </w:r>
    </w:p>
    <w:p w14:paraId="0232E16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②门诊排水：医院门诊求医者加上陪同人员，人流量较大。门诊楼卫生间的冲厕水排放量也比较大，此外还有卫生排水等。这类污水含有一定浓度的有机物，部分具有传染性。</w:t>
      </w:r>
    </w:p>
    <w:p w14:paraId="562C52B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left"/>
        <w:textAlignment w:val="auto"/>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③办公、清洁废水：</w:t>
      </w:r>
      <w:r>
        <w:rPr>
          <w:rFonts w:hint="eastAsia" w:cs="Times New Roman"/>
          <w:color w:val="auto"/>
          <w:sz w:val="24"/>
          <w:szCs w:val="24"/>
          <w:highlight w:val="none"/>
          <w:lang w:eastAsia="zh-CN"/>
        </w:rPr>
        <w:t>本项目不设置洗衣房，洗衣外委，</w:t>
      </w:r>
      <w:r>
        <w:rPr>
          <w:rFonts w:ascii="Times New Roman" w:hAnsi="Times New Roman" w:cs="Times New Roman"/>
          <w:color w:val="auto"/>
          <w:sz w:val="24"/>
          <w:szCs w:val="24"/>
          <w:highlight w:val="none"/>
        </w:rPr>
        <w:t>办公、清洁废水含有一定浓度的有机物。</w:t>
      </w:r>
    </w:p>
    <w:p w14:paraId="086534F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2.2.</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污水量</w:t>
      </w:r>
    </w:p>
    <w:p w14:paraId="6DFC280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default" w:ascii="Times New Roman" w:hAnsi="Times New Roman" w:cs="Times New Roman"/>
          <w:color w:val="FF0000"/>
          <w:sz w:val="24"/>
          <w:szCs w:val="24"/>
          <w:highlight w:val="none"/>
        </w:rPr>
      </w:pP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本项目</w:t>
      </w:r>
      <w:r>
        <w:rPr>
          <w:rFonts w:hint="eastAsia" w:cs="Times New Roman"/>
          <w:color w:val="auto"/>
          <w:sz w:val="24"/>
          <w:szCs w:val="24"/>
          <w:highlight w:val="none"/>
          <w:lang w:eastAsia="zh-CN"/>
        </w:rPr>
        <w:t>医院排水</w:t>
      </w:r>
      <w:r>
        <w:rPr>
          <w:rFonts w:hint="default" w:ascii="Times New Roman" w:hAnsi="Times New Roman" w:cs="Times New Roman"/>
          <w:color w:val="auto"/>
          <w:sz w:val="24"/>
          <w:szCs w:val="24"/>
          <w:highlight w:val="none"/>
        </w:rPr>
        <w:t>主要包括</w:t>
      </w:r>
      <w:r>
        <w:rPr>
          <w:rFonts w:hint="default" w:ascii="Times New Roman" w:hAnsi="Times New Roman" w:cs="Times New Roman"/>
          <w:color w:val="auto"/>
          <w:sz w:val="24"/>
          <w:szCs w:val="24"/>
          <w:highlight w:val="none"/>
          <w:lang w:eastAsia="zh-CN"/>
        </w:rPr>
        <w:t>医疗</w:t>
      </w:r>
      <w:r>
        <w:rPr>
          <w:rFonts w:hint="eastAsia" w:cs="Times New Roman"/>
          <w:color w:val="auto"/>
          <w:sz w:val="24"/>
          <w:szCs w:val="24"/>
          <w:highlight w:val="none"/>
          <w:lang w:eastAsia="zh-CN"/>
        </w:rPr>
        <w:t>废水及</w:t>
      </w:r>
      <w:r>
        <w:rPr>
          <w:rFonts w:hint="default" w:ascii="Times New Roman" w:hAnsi="Times New Roman" w:cs="Times New Roman"/>
          <w:color w:val="auto"/>
          <w:sz w:val="24"/>
          <w:szCs w:val="24"/>
          <w:highlight w:val="none"/>
          <w:lang w:eastAsia="zh-CN"/>
        </w:rPr>
        <w:t>生活</w:t>
      </w:r>
      <w:r>
        <w:rPr>
          <w:rFonts w:hint="eastAsia" w:cs="Times New Roman"/>
          <w:color w:val="auto"/>
          <w:sz w:val="24"/>
          <w:szCs w:val="24"/>
          <w:highlight w:val="none"/>
          <w:lang w:eastAsia="zh-CN"/>
        </w:rPr>
        <w:t>污</w:t>
      </w:r>
      <w:r>
        <w:rPr>
          <w:rFonts w:hint="default" w:ascii="Times New Roman" w:hAnsi="Times New Roman" w:cs="Times New Roman"/>
          <w:color w:val="auto"/>
          <w:sz w:val="24"/>
          <w:szCs w:val="24"/>
          <w:highlight w:val="none"/>
          <w:lang w:eastAsia="zh-CN"/>
        </w:rPr>
        <w:t>水</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eastAsia="zh-CN"/>
        </w:rPr>
        <w:t>本项目不设置洗衣房，洗衣外委，中央空调水冷机组冷却水循环使用，定期补充，无废水产生。</w:t>
      </w:r>
      <w:r>
        <w:rPr>
          <w:rFonts w:hint="default" w:ascii="Times New Roman" w:hAnsi="Times New Roman" w:cs="Times New Roman"/>
          <w:color w:val="auto"/>
          <w:sz w:val="24"/>
          <w:szCs w:val="24"/>
          <w:highlight w:val="none"/>
          <w:lang w:eastAsia="zh-CN"/>
        </w:rPr>
        <w:t>根据</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全国</w:t>
      </w:r>
      <w:r>
        <w:rPr>
          <w:rFonts w:hint="default" w:ascii="Times New Roman" w:hAnsi="Times New Roman" w:eastAsia="宋体" w:cs="Times New Roman"/>
          <w:color w:val="auto"/>
          <w:sz w:val="24"/>
          <w:szCs w:val="24"/>
          <w:highlight w:val="none"/>
        </w:rPr>
        <w:t>民用建筑工程设计技术措施</w:t>
      </w:r>
      <w:r>
        <w:rPr>
          <w:rFonts w:hint="default" w:ascii="Times New Roman" w:hAnsi="Times New Roman" w:eastAsia="宋体" w:cs="Times New Roman"/>
          <w:color w:val="auto"/>
          <w:sz w:val="24"/>
          <w:szCs w:val="24"/>
          <w:highlight w:val="none"/>
          <w:lang w:val="en-US" w:eastAsia="zh-CN"/>
        </w:rPr>
        <w:t>2009</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eastAsia="zh-CN"/>
        </w:rPr>
        <w:t>、《医院污水处理工程技术规范》（</w:t>
      </w:r>
      <w:r>
        <w:rPr>
          <w:rFonts w:hint="eastAsia" w:cs="Times New Roman"/>
          <w:color w:val="auto"/>
          <w:sz w:val="24"/>
          <w:szCs w:val="24"/>
          <w:highlight w:val="none"/>
          <w:lang w:val="en-US" w:eastAsia="zh-CN"/>
        </w:rPr>
        <w:t>HJ2029-2013</w:t>
      </w:r>
      <w:r>
        <w:rPr>
          <w:rFonts w:hint="eastAsia" w:cs="Times New Roman"/>
          <w:color w:val="auto"/>
          <w:sz w:val="24"/>
          <w:szCs w:val="24"/>
          <w:highlight w:val="none"/>
          <w:lang w:eastAsia="zh-CN"/>
        </w:rPr>
        <w:t>）及辽宁省《行业用水定额》（</w:t>
      </w:r>
      <w:r>
        <w:rPr>
          <w:rFonts w:hint="eastAsia" w:cs="Times New Roman"/>
          <w:color w:val="auto"/>
          <w:sz w:val="24"/>
          <w:szCs w:val="24"/>
          <w:highlight w:val="none"/>
          <w:lang w:val="en-US" w:eastAsia="zh-CN"/>
        </w:rPr>
        <w:t>DB</w:t>
      </w:r>
      <w:r>
        <w:rPr>
          <w:rFonts w:hint="default" w:cs="Times New Roman"/>
          <w:color w:val="auto"/>
          <w:sz w:val="24"/>
          <w:szCs w:val="24"/>
          <w:highlight w:val="none"/>
          <w:lang w:val="en-US" w:eastAsia="zh-CN"/>
        </w:rPr>
        <w:t>21/</w:t>
      </w:r>
      <w:r>
        <w:rPr>
          <w:rFonts w:hint="eastAsia" w:cs="Times New Roman"/>
          <w:color w:val="auto"/>
          <w:sz w:val="24"/>
          <w:szCs w:val="24"/>
          <w:highlight w:val="none"/>
          <w:lang w:val="en-US" w:eastAsia="zh-CN"/>
        </w:rPr>
        <w:t>T</w:t>
      </w:r>
      <w:r>
        <w:rPr>
          <w:rFonts w:hint="default" w:cs="Times New Roman"/>
          <w:color w:val="auto"/>
          <w:sz w:val="24"/>
          <w:szCs w:val="24"/>
          <w:highlight w:val="none"/>
          <w:lang w:val="en-US" w:eastAsia="zh-CN"/>
        </w:rPr>
        <w:t>1237-2015</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规定，</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医院用水常用系数为：</w:t>
      </w:r>
      <w:r>
        <w:rPr>
          <w:rFonts w:ascii="Times New Roman" w:hAnsi="Times New Roman" w:cs="Times New Roman"/>
          <w:color w:val="FF0000"/>
          <w:sz w:val="24"/>
          <w:szCs w:val="24"/>
          <w:highlight w:val="none"/>
        </w:rPr>
        <w:t>住院部</w:t>
      </w:r>
      <w:r>
        <w:rPr>
          <w:rFonts w:hint="eastAsia" w:cs="Times New Roman"/>
          <w:color w:val="FF0000"/>
          <w:sz w:val="24"/>
          <w:szCs w:val="24"/>
          <w:highlight w:val="none"/>
          <w:lang w:val="en-US" w:eastAsia="zh-CN"/>
        </w:rPr>
        <w:t>22</w:t>
      </w:r>
      <w:r>
        <w:rPr>
          <w:rFonts w:ascii="Times New Roman" w:hAnsi="Times New Roman" w:cs="Times New Roman"/>
          <w:color w:val="FF0000"/>
          <w:sz w:val="24"/>
          <w:szCs w:val="24"/>
          <w:highlight w:val="none"/>
        </w:rPr>
        <w:t>0L/床•d</w:t>
      </w:r>
      <w:r>
        <w:rPr>
          <w:rFonts w:hint="eastAsia" w:cs="Times New Roman"/>
          <w:color w:val="FF0000"/>
          <w:sz w:val="24"/>
          <w:szCs w:val="24"/>
          <w:highlight w:val="none"/>
          <w:lang w:eastAsia="zh-CN"/>
        </w:rPr>
        <w:t>，医务人员</w:t>
      </w:r>
      <w:r>
        <w:rPr>
          <w:rFonts w:ascii="Times New Roman" w:hAnsi="Times New Roman" w:cs="Times New Roman"/>
          <w:color w:val="FF0000"/>
          <w:sz w:val="24"/>
          <w:szCs w:val="24"/>
          <w:highlight w:val="none"/>
        </w:rPr>
        <w:t>用水量为</w:t>
      </w:r>
      <w:r>
        <w:rPr>
          <w:rFonts w:hint="eastAsia" w:cs="Times New Roman"/>
          <w:color w:val="FF0000"/>
          <w:sz w:val="24"/>
          <w:szCs w:val="24"/>
          <w:highlight w:val="none"/>
          <w:lang w:val="en-US" w:eastAsia="zh-CN"/>
        </w:rPr>
        <w:t>1</w:t>
      </w:r>
      <w:r>
        <w:rPr>
          <w:rFonts w:hint="eastAsia" w:ascii="Times New Roman" w:hAnsi="Times New Roman" w:cs="Times New Roman"/>
          <w:color w:val="FF0000"/>
          <w:sz w:val="24"/>
          <w:szCs w:val="24"/>
          <w:highlight w:val="none"/>
          <w:lang w:val="en-US" w:eastAsia="zh-CN"/>
        </w:rPr>
        <w:t>5</w:t>
      </w:r>
      <w:r>
        <w:rPr>
          <w:rFonts w:ascii="Times New Roman" w:hAnsi="Times New Roman" w:cs="Times New Roman"/>
          <w:color w:val="FF0000"/>
          <w:sz w:val="24"/>
          <w:szCs w:val="24"/>
          <w:highlight w:val="none"/>
        </w:rPr>
        <w:t>0L/人•d</w:t>
      </w:r>
      <w:r>
        <w:rPr>
          <w:rFonts w:hint="eastAsia" w:cs="Times New Roman"/>
          <w:color w:val="FF0000"/>
          <w:sz w:val="24"/>
          <w:szCs w:val="24"/>
          <w:highlight w:val="none"/>
          <w:lang w:eastAsia="zh-CN"/>
        </w:rPr>
        <w:t>，</w:t>
      </w:r>
      <w:r>
        <w:rPr>
          <w:rFonts w:ascii="Times New Roman" w:hAnsi="Times New Roman" w:cs="Times New Roman"/>
          <w:color w:val="FF0000"/>
          <w:sz w:val="24"/>
          <w:szCs w:val="24"/>
          <w:highlight w:val="none"/>
        </w:rPr>
        <w:t>门诊部1</w:t>
      </w:r>
      <w:r>
        <w:rPr>
          <w:rFonts w:hint="eastAsia" w:cs="Times New Roman"/>
          <w:color w:val="FF0000"/>
          <w:sz w:val="24"/>
          <w:szCs w:val="24"/>
          <w:highlight w:val="none"/>
          <w:lang w:val="en-US" w:eastAsia="zh-CN"/>
        </w:rPr>
        <w:t>0</w:t>
      </w:r>
      <w:r>
        <w:rPr>
          <w:rFonts w:ascii="Times New Roman" w:hAnsi="Times New Roman" w:cs="Times New Roman"/>
          <w:color w:val="FF0000"/>
          <w:sz w:val="24"/>
          <w:szCs w:val="24"/>
          <w:highlight w:val="none"/>
        </w:rPr>
        <w:t xml:space="preserve"> L/人•d，公建设施清洁用水1 L/m</w:t>
      </w:r>
      <w:r>
        <w:rPr>
          <w:rFonts w:ascii="Times New Roman" w:hAnsi="Times New Roman" w:cs="Times New Roman"/>
          <w:color w:val="FF0000"/>
          <w:sz w:val="24"/>
          <w:szCs w:val="24"/>
          <w:highlight w:val="none"/>
          <w:vertAlign w:val="superscript"/>
        </w:rPr>
        <w:t>2</w:t>
      </w:r>
      <w:r>
        <w:rPr>
          <w:rFonts w:ascii="Times New Roman" w:hAnsi="Times New Roman" w:cs="Times New Roman"/>
          <w:color w:val="FF0000"/>
          <w:sz w:val="24"/>
          <w:szCs w:val="24"/>
          <w:highlight w:val="none"/>
        </w:rPr>
        <w:t>•d</w:t>
      </w:r>
      <w:r>
        <w:rPr>
          <w:rFonts w:hint="eastAsia" w:cs="Times New Roman"/>
          <w:color w:val="FF0000"/>
          <w:sz w:val="24"/>
          <w:szCs w:val="24"/>
          <w:highlight w:val="none"/>
          <w:lang w:eastAsia="zh-CN"/>
        </w:rPr>
        <w:t>，药浴</w:t>
      </w:r>
      <w:r>
        <w:rPr>
          <w:rFonts w:hint="eastAsia" w:cs="Times New Roman"/>
          <w:color w:val="FF0000"/>
          <w:sz w:val="24"/>
          <w:szCs w:val="24"/>
          <w:highlight w:val="none"/>
          <w:lang w:val="en-US" w:eastAsia="zh-CN"/>
        </w:rPr>
        <w:t>120L</w:t>
      </w:r>
      <w:r>
        <w:rPr>
          <w:rFonts w:hint="default" w:cs="Times New Roman"/>
          <w:color w:val="FF0000"/>
          <w:sz w:val="24"/>
          <w:szCs w:val="24"/>
          <w:highlight w:val="none"/>
          <w:lang w:val="en-US" w:eastAsia="zh-CN"/>
        </w:rPr>
        <w:t>/(</w:t>
      </w:r>
      <w:r>
        <w:rPr>
          <w:rFonts w:hint="eastAsia" w:cs="Times New Roman"/>
          <w:color w:val="FF0000"/>
          <w:sz w:val="24"/>
          <w:szCs w:val="24"/>
          <w:highlight w:val="none"/>
          <w:lang w:val="en-US" w:eastAsia="zh-CN"/>
        </w:rPr>
        <w:t>人·次</w:t>
      </w:r>
      <w:r>
        <w:rPr>
          <w:rFonts w:hint="default" w:cs="Times New Roman"/>
          <w:color w:val="FF0000"/>
          <w:sz w:val="24"/>
          <w:szCs w:val="24"/>
          <w:highlight w:val="none"/>
          <w:lang w:val="en-US" w:eastAsia="zh-CN"/>
        </w:rPr>
        <w:t>)</w:t>
      </w:r>
      <w:r>
        <w:rPr>
          <w:rFonts w:ascii="Times New Roman" w:hAnsi="Times New Roman" w:cs="Times New Roman"/>
          <w:color w:val="FF0000"/>
          <w:sz w:val="24"/>
          <w:szCs w:val="24"/>
          <w:highlight w:val="none"/>
        </w:rPr>
        <w:t>。本项目工作人员为</w:t>
      </w:r>
      <w:r>
        <w:rPr>
          <w:rFonts w:hint="eastAsia" w:cs="Times New Roman"/>
          <w:color w:val="FF0000"/>
          <w:sz w:val="24"/>
          <w:szCs w:val="24"/>
          <w:highlight w:val="none"/>
          <w:lang w:val="en-US" w:eastAsia="zh-CN"/>
        </w:rPr>
        <w:t>85</w:t>
      </w:r>
      <w:r>
        <w:rPr>
          <w:rFonts w:ascii="Times New Roman" w:hAnsi="Times New Roman" w:cs="Times New Roman"/>
          <w:color w:val="FF0000"/>
          <w:sz w:val="24"/>
          <w:szCs w:val="24"/>
          <w:highlight w:val="none"/>
        </w:rPr>
        <w:t>人，日门诊量约为</w:t>
      </w:r>
      <w:r>
        <w:rPr>
          <w:rFonts w:hint="eastAsia" w:cs="Times New Roman"/>
          <w:color w:val="FF0000"/>
          <w:sz w:val="24"/>
          <w:szCs w:val="24"/>
          <w:highlight w:val="none"/>
          <w:lang w:val="en-US" w:eastAsia="zh-CN"/>
        </w:rPr>
        <w:t>80</w:t>
      </w:r>
      <w:r>
        <w:rPr>
          <w:rFonts w:ascii="Times New Roman" w:hAnsi="Times New Roman" w:cs="Times New Roman"/>
          <w:color w:val="FF0000"/>
          <w:sz w:val="24"/>
          <w:szCs w:val="24"/>
          <w:highlight w:val="none"/>
        </w:rPr>
        <w:t>人，床位为</w:t>
      </w:r>
      <w:r>
        <w:rPr>
          <w:rFonts w:hint="eastAsia" w:cs="Times New Roman"/>
          <w:color w:val="FF0000"/>
          <w:sz w:val="24"/>
          <w:szCs w:val="24"/>
          <w:highlight w:val="none"/>
          <w:lang w:val="en-US" w:eastAsia="zh-CN"/>
        </w:rPr>
        <w:t>80</w:t>
      </w:r>
      <w:r>
        <w:rPr>
          <w:rFonts w:ascii="Times New Roman" w:hAnsi="Times New Roman" w:cs="Times New Roman"/>
          <w:color w:val="FF0000"/>
          <w:sz w:val="24"/>
          <w:szCs w:val="24"/>
          <w:highlight w:val="none"/>
        </w:rPr>
        <w:t>张，</w:t>
      </w:r>
      <w:r>
        <w:rPr>
          <w:rFonts w:hint="eastAsia" w:ascii="Times New Roman" w:hAnsi="Times New Roman" w:cs="Times New Roman"/>
          <w:color w:val="FF0000"/>
          <w:sz w:val="24"/>
          <w:szCs w:val="24"/>
          <w:highlight w:val="none"/>
          <w:lang w:eastAsia="zh-CN"/>
        </w:rPr>
        <w:t>建筑面积</w:t>
      </w:r>
      <w:r>
        <w:rPr>
          <w:rFonts w:hint="eastAsia" w:cs="Times New Roman"/>
          <w:color w:val="FF0000"/>
          <w:sz w:val="24"/>
          <w:szCs w:val="24"/>
          <w:highlight w:val="none"/>
          <w:lang w:val="en-US" w:eastAsia="zh-CN"/>
        </w:rPr>
        <w:t>2700</w:t>
      </w:r>
      <w:r>
        <w:rPr>
          <w:rFonts w:hint="eastAsia" w:ascii="Times New Roman" w:hAnsi="Times New Roman" w:cs="Times New Roman"/>
          <w:color w:val="FF0000"/>
          <w:sz w:val="24"/>
          <w:szCs w:val="24"/>
          <w:highlight w:val="none"/>
          <w:lang w:val="en-US" w:eastAsia="zh-CN"/>
        </w:rPr>
        <w:t>m</w:t>
      </w:r>
      <w:r>
        <w:rPr>
          <w:rFonts w:hint="eastAsia" w:ascii="Times New Roman" w:hAnsi="Times New Roman" w:cs="Times New Roman"/>
          <w:color w:val="FF0000"/>
          <w:sz w:val="24"/>
          <w:szCs w:val="24"/>
          <w:highlight w:val="none"/>
          <w:vertAlign w:val="superscript"/>
          <w:lang w:val="en-US" w:eastAsia="zh-CN"/>
        </w:rPr>
        <w:t>2</w:t>
      </w:r>
      <w:r>
        <w:rPr>
          <w:rFonts w:hint="eastAsia" w:ascii="Times New Roman" w:hAnsi="Times New Roman" w:cs="Times New Roman"/>
          <w:color w:val="FF0000"/>
          <w:sz w:val="24"/>
          <w:szCs w:val="24"/>
          <w:highlight w:val="none"/>
          <w:vertAlign w:val="baseline"/>
          <w:lang w:val="en-US" w:eastAsia="zh-CN"/>
        </w:rPr>
        <w:t>，</w:t>
      </w:r>
      <w:r>
        <w:rPr>
          <w:rFonts w:hint="eastAsia" w:cs="Times New Roman"/>
          <w:color w:val="FF0000"/>
          <w:sz w:val="24"/>
          <w:szCs w:val="24"/>
          <w:highlight w:val="none"/>
          <w:vertAlign w:val="baseline"/>
          <w:lang w:val="en-US" w:eastAsia="zh-CN"/>
        </w:rPr>
        <w:t>药浴每日约20人次，</w:t>
      </w:r>
      <w:r>
        <w:rPr>
          <w:rFonts w:ascii="Times New Roman" w:hAnsi="Times New Roman" w:cs="Times New Roman"/>
          <w:color w:val="FF0000"/>
          <w:sz w:val="24"/>
          <w:szCs w:val="24"/>
          <w:highlight w:val="none"/>
        </w:rPr>
        <w:t>则</w:t>
      </w:r>
      <w:r>
        <w:rPr>
          <w:rFonts w:hint="default" w:ascii="Times New Roman" w:hAnsi="Times New Roman" w:cs="Times New Roman"/>
          <w:color w:val="FF0000"/>
          <w:sz w:val="24"/>
          <w:szCs w:val="24"/>
          <w:highlight w:val="none"/>
          <w:lang w:eastAsia="zh-CN"/>
        </w:rPr>
        <w:t>总</w:t>
      </w:r>
      <w:r>
        <w:rPr>
          <w:rFonts w:hint="default" w:ascii="Times New Roman" w:hAnsi="Times New Roman" w:cs="Times New Roman"/>
          <w:color w:val="FF0000"/>
          <w:sz w:val="24"/>
          <w:szCs w:val="24"/>
          <w:highlight w:val="none"/>
        </w:rPr>
        <w:t>用水量为</w:t>
      </w:r>
      <w:r>
        <w:rPr>
          <w:rFonts w:hint="eastAsia" w:cs="Times New Roman"/>
          <w:color w:val="FF0000"/>
          <w:sz w:val="24"/>
          <w:szCs w:val="24"/>
          <w:highlight w:val="none"/>
          <w:lang w:val="en-US" w:eastAsia="zh-CN"/>
        </w:rPr>
        <w:t>36.95</w:t>
      </w:r>
      <w:r>
        <w:rPr>
          <w:rFonts w:hint="default" w:ascii="Times New Roman" w:hAnsi="Times New Roman" w:cs="Times New Roman"/>
          <w:color w:val="FF0000"/>
          <w:sz w:val="24"/>
          <w:szCs w:val="24"/>
          <w:highlight w:val="none"/>
        </w:rPr>
        <w:t>m</w:t>
      </w:r>
      <w:r>
        <w:rPr>
          <w:rFonts w:hint="default" w:ascii="Times New Roman" w:hAnsi="Times New Roman" w:cs="Times New Roman"/>
          <w:color w:val="FF0000"/>
          <w:sz w:val="24"/>
          <w:szCs w:val="24"/>
          <w:highlight w:val="none"/>
          <w:vertAlign w:val="superscript"/>
        </w:rPr>
        <w:t>3</w:t>
      </w:r>
      <w:r>
        <w:rPr>
          <w:rFonts w:hint="default" w:ascii="Times New Roman" w:hAnsi="Times New Roman" w:cs="Times New Roman"/>
          <w:color w:val="FF0000"/>
          <w:sz w:val="24"/>
          <w:szCs w:val="24"/>
          <w:highlight w:val="none"/>
        </w:rPr>
        <w:t>/d（</w:t>
      </w:r>
      <w:r>
        <w:rPr>
          <w:rFonts w:hint="eastAsia" w:cs="Times New Roman"/>
          <w:color w:val="FF0000"/>
          <w:sz w:val="24"/>
          <w:szCs w:val="24"/>
          <w:highlight w:val="none"/>
          <w:lang w:val="en-US" w:eastAsia="zh-CN"/>
        </w:rPr>
        <w:t>13486.75</w:t>
      </w:r>
      <w:r>
        <w:rPr>
          <w:rFonts w:hint="default" w:ascii="Times New Roman" w:hAnsi="Times New Roman" w:cs="Times New Roman"/>
          <w:color w:val="FF0000"/>
          <w:sz w:val="24"/>
          <w:szCs w:val="24"/>
          <w:highlight w:val="none"/>
        </w:rPr>
        <w:t>m</w:t>
      </w:r>
      <w:r>
        <w:rPr>
          <w:rFonts w:hint="default" w:ascii="Times New Roman" w:hAnsi="Times New Roman" w:cs="Times New Roman"/>
          <w:color w:val="FF0000"/>
          <w:sz w:val="24"/>
          <w:szCs w:val="24"/>
          <w:highlight w:val="none"/>
          <w:vertAlign w:val="superscript"/>
        </w:rPr>
        <w:t>3</w:t>
      </w:r>
      <w:r>
        <w:rPr>
          <w:rFonts w:hint="default" w:ascii="Times New Roman" w:hAnsi="Times New Roman" w:cs="Times New Roman"/>
          <w:color w:val="FF0000"/>
          <w:sz w:val="24"/>
          <w:szCs w:val="24"/>
          <w:highlight w:val="none"/>
        </w:rPr>
        <w:t>/a），医疗废水产生量</w:t>
      </w:r>
      <w:r>
        <w:rPr>
          <w:rFonts w:hint="eastAsia" w:cs="Times New Roman"/>
          <w:color w:val="FF0000"/>
          <w:sz w:val="24"/>
          <w:szCs w:val="24"/>
          <w:highlight w:val="none"/>
          <w:lang w:val="en-US" w:eastAsia="zh-CN"/>
        </w:rPr>
        <w:t>17.68</w:t>
      </w:r>
      <w:r>
        <w:rPr>
          <w:rFonts w:hint="default" w:ascii="Times New Roman" w:hAnsi="Times New Roman" w:cs="Times New Roman"/>
          <w:color w:val="FF0000"/>
          <w:sz w:val="24"/>
          <w:szCs w:val="24"/>
          <w:highlight w:val="none"/>
        </w:rPr>
        <w:t>m</w:t>
      </w:r>
      <w:r>
        <w:rPr>
          <w:rFonts w:hint="default" w:ascii="Times New Roman" w:hAnsi="Times New Roman" w:cs="Times New Roman"/>
          <w:color w:val="FF0000"/>
          <w:sz w:val="24"/>
          <w:szCs w:val="24"/>
          <w:highlight w:val="none"/>
          <w:vertAlign w:val="superscript"/>
        </w:rPr>
        <w:t>3</w:t>
      </w:r>
      <w:r>
        <w:rPr>
          <w:rFonts w:hint="default" w:ascii="Times New Roman" w:hAnsi="Times New Roman" w:cs="Times New Roman"/>
          <w:color w:val="FF0000"/>
          <w:sz w:val="24"/>
          <w:szCs w:val="24"/>
          <w:highlight w:val="none"/>
        </w:rPr>
        <w:t>/d（</w:t>
      </w:r>
      <w:r>
        <w:rPr>
          <w:rFonts w:hint="eastAsia" w:cs="Times New Roman"/>
          <w:color w:val="FF0000"/>
          <w:sz w:val="24"/>
          <w:szCs w:val="24"/>
          <w:highlight w:val="none"/>
          <w:lang w:val="en-US" w:eastAsia="zh-CN"/>
        </w:rPr>
        <w:t>6453.2</w:t>
      </w:r>
      <w:r>
        <w:rPr>
          <w:rFonts w:hint="default" w:ascii="Times New Roman" w:hAnsi="Times New Roman" w:cs="Times New Roman"/>
          <w:color w:val="FF0000"/>
          <w:sz w:val="24"/>
          <w:szCs w:val="24"/>
          <w:highlight w:val="none"/>
        </w:rPr>
        <w:t>m</w:t>
      </w:r>
      <w:r>
        <w:rPr>
          <w:rFonts w:hint="default" w:ascii="Times New Roman" w:hAnsi="Times New Roman" w:cs="Times New Roman"/>
          <w:color w:val="FF0000"/>
          <w:sz w:val="24"/>
          <w:szCs w:val="24"/>
          <w:highlight w:val="none"/>
          <w:vertAlign w:val="superscript"/>
        </w:rPr>
        <w:t>3</w:t>
      </w:r>
      <w:r>
        <w:rPr>
          <w:rFonts w:hint="default" w:ascii="Times New Roman" w:hAnsi="Times New Roman" w:cs="Times New Roman"/>
          <w:color w:val="FF0000"/>
          <w:sz w:val="24"/>
          <w:szCs w:val="24"/>
          <w:highlight w:val="none"/>
        </w:rPr>
        <w:t>/a），生活污水产量</w:t>
      </w:r>
      <w:r>
        <w:rPr>
          <w:rFonts w:hint="eastAsia" w:cs="Times New Roman"/>
          <w:color w:val="FF0000"/>
          <w:sz w:val="24"/>
          <w:szCs w:val="24"/>
          <w:highlight w:val="none"/>
          <w:lang w:val="en-US" w:eastAsia="zh-CN"/>
        </w:rPr>
        <w:t>13.14</w:t>
      </w:r>
      <w:r>
        <w:rPr>
          <w:rFonts w:hint="default" w:ascii="Times New Roman" w:hAnsi="Times New Roman" w:cs="Times New Roman"/>
          <w:color w:val="FF0000"/>
          <w:sz w:val="24"/>
          <w:szCs w:val="24"/>
          <w:highlight w:val="none"/>
        </w:rPr>
        <w:t>m</w:t>
      </w:r>
      <w:r>
        <w:rPr>
          <w:rFonts w:hint="default" w:ascii="Times New Roman" w:hAnsi="Times New Roman" w:cs="Times New Roman"/>
          <w:color w:val="FF0000"/>
          <w:sz w:val="24"/>
          <w:szCs w:val="24"/>
          <w:highlight w:val="none"/>
          <w:vertAlign w:val="superscript"/>
        </w:rPr>
        <w:t>3</w:t>
      </w:r>
      <w:r>
        <w:rPr>
          <w:rFonts w:hint="default" w:ascii="Times New Roman" w:hAnsi="Times New Roman" w:cs="Times New Roman"/>
          <w:color w:val="FF0000"/>
          <w:sz w:val="24"/>
          <w:szCs w:val="24"/>
          <w:highlight w:val="none"/>
        </w:rPr>
        <w:t>/d（</w:t>
      </w:r>
      <w:r>
        <w:rPr>
          <w:rFonts w:hint="eastAsia" w:cs="Times New Roman"/>
          <w:color w:val="FF0000"/>
          <w:sz w:val="24"/>
          <w:szCs w:val="24"/>
          <w:highlight w:val="none"/>
          <w:lang w:val="en-US" w:eastAsia="zh-CN"/>
        </w:rPr>
        <w:t>4796.1</w:t>
      </w:r>
      <w:r>
        <w:rPr>
          <w:rFonts w:hint="default" w:ascii="Times New Roman" w:hAnsi="Times New Roman" w:cs="Times New Roman"/>
          <w:color w:val="FF0000"/>
          <w:sz w:val="24"/>
          <w:szCs w:val="24"/>
          <w:highlight w:val="none"/>
        </w:rPr>
        <w:t>m</w:t>
      </w:r>
      <w:r>
        <w:rPr>
          <w:rFonts w:hint="default" w:ascii="Times New Roman" w:hAnsi="Times New Roman" w:cs="Times New Roman"/>
          <w:color w:val="FF0000"/>
          <w:sz w:val="24"/>
          <w:szCs w:val="24"/>
          <w:highlight w:val="none"/>
          <w:vertAlign w:val="superscript"/>
        </w:rPr>
        <w:t>3</w:t>
      </w:r>
      <w:r>
        <w:rPr>
          <w:rFonts w:hint="default" w:ascii="Times New Roman" w:hAnsi="Times New Roman" w:cs="Times New Roman"/>
          <w:color w:val="FF0000"/>
          <w:sz w:val="24"/>
          <w:szCs w:val="24"/>
          <w:highlight w:val="none"/>
        </w:rPr>
        <w:t>/a），总废水量为</w:t>
      </w:r>
      <w:r>
        <w:rPr>
          <w:rFonts w:hint="eastAsia" w:cs="Times New Roman"/>
          <w:color w:val="FF0000"/>
          <w:sz w:val="24"/>
          <w:szCs w:val="24"/>
          <w:highlight w:val="none"/>
          <w:lang w:val="en-US" w:eastAsia="zh-CN"/>
        </w:rPr>
        <w:t>11249.3</w:t>
      </w:r>
      <w:r>
        <w:rPr>
          <w:rFonts w:hint="default" w:ascii="Times New Roman" w:hAnsi="Times New Roman" w:cs="Times New Roman"/>
          <w:color w:val="FF0000"/>
          <w:sz w:val="24"/>
          <w:szCs w:val="24"/>
          <w:highlight w:val="none"/>
        </w:rPr>
        <w:t>m</w:t>
      </w:r>
      <w:r>
        <w:rPr>
          <w:rFonts w:hint="default" w:ascii="Times New Roman" w:hAnsi="Times New Roman" w:cs="Times New Roman"/>
          <w:color w:val="FF0000"/>
          <w:sz w:val="24"/>
          <w:szCs w:val="24"/>
          <w:highlight w:val="none"/>
          <w:vertAlign w:val="superscript"/>
        </w:rPr>
        <w:t>3</w:t>
      </w:r>
      <w:r>
        <w:rPr>
          <w:rFonts w:hint="default" w:ascii="Times New Roman" w:hAnsi="Times New Roman" w:cs="Times New Roman"/>
          <w:color w:val="FF0000"/>
          <w:sz w:val="24"/>
          <w:szCs w:val="24"/>
          <w:highlight w:val="none"/>
        </w:rPr>
        <w:t>/a详见表</w:t>
      </w:r>
      <w:r>
        <w:rPr>
          <w:rFonts w:hint="eastAsia" w:cs="Times New Roman"/>
          <w:color w:val="FF0000"/>
          <w:sz w:val="24"/>
          <w:szCs w:val="24"/>
          <w:highlight w:val="none"/>
          <w:lang w:val="en-US" w:eastAsia="zh-CN"/>
        </w:rPr>
        <w:t>22</w:t>
      </w:r>
      <w:r>
        <w:rPr>
          <w:rFonts w:hint="default" w:ascii="Times New Roman" w:hAnsi="Times New Roman" w:cs="Times New Roman"/>
          <w:color w:val="FF0000"/>
          <w:sz w:val="24"/>
          <w:szCs w:val="24"/>
          <w:highlight w:val="none"/>
        </w:rPr>
        <w:t>。项目水平衡图见图</w:t>
      </w:r>
      <w:r>
        <w:rPr>
          <w:rFonts w:hint="eastAsia" w:cs="Times New Roman"/>
          <w:color w:val="FF0000"/>
          <w:sz w:val="24"/>
          <w:szCs w:val="24"/>
          <w:highlight w:val="none"/>
          <w:lang w:val="en-US" w:eastAsia="zh-CN"/>
        </w:rPr>
        <w:t>5</w:t>
      </w:r>
      <w:r>
        <w:rPr>
          <w:rFonts w:hint="default" w:ascii="Times New Roman" w:hAnsi="Times New Roman" w:cs="Times New Roman"/>
          <w:color w:val="FF0000"/>
          <w:sz w:val="24"/>
          <w:szCs w:val="24"/>
          <w:highlight w:val="none"/>
        </w:rPr>
        <w:t>。</w:t>
      </w:r>
    </w:p>
    <w:p w14:paraId="7617DB8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w:t>
      </w:r>
      <w:r>
        <w:rPr>
          <w:rFonts w:hint="eastAsia" w:cs="Times New Roman"/>
          <w:b/>
          <w:bCs/>
          <w:color w:val="auto"/>
          <w:highlight w:val="none"/>
          <w:lang w:val="en-US" w:eastAsia="zh-CN"/>
        </w:rPr>
        <w:t xml:space="preserve">22                            </w:t>
      </w:r>
      <w:r>
        <w:rPr>
          <w:rFonts w:hint="default" w:ascii="Times New Roman" w:hAnsi="Times New Roman" w:cs="Times New Roman"/>
          <w:b/>
          <w:bCs/>
          <w:color w:val="auto"/>
          <w:highlight w:val="none"/>
        </w:rPr>
        <w:t>医院用</w:t>
      </w:r>
      <w:r>
        <w:rPr>
          <w:rFonts w:hint="eastAsia" w:cs="Times New Roman"/>
          <w:b/>
          <w:bCs/>
          <w:color w:val="auto"/>
          <w:highlight w:val="none"/>
          <w:lang w:eastAsia="zh-CN"/>
        </w:rPr>
        <w:t>、排</w:t>
      </w:r>
      <w:r>
        <w:rPr>
          <w:rFonts w:hint="default" w:ascii="Times New Roman" w:hAnsi="Times New Roman" w:cs="Times New Roman"/>
          <w:b/>
          <w:bCs/>
          <w:color w:val="auto"/>
          <w:highlight w:val="none"/>
        </w:rPr>
        <w:t>水量一览表</w:t>
      </w:r>
    </w:p>
    <w:tbl>
      <w:tblPr>
        <w:tblStyle w:val="24"/>
        <w:tblW w:w="928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1343"/>
        <w:gridCol w:w="1243"/>
        <w:gridCol w:w="1453"/>
        <w:gridCol w:w="1818"/>
        <w:gridCol w:w="2097"/>
      </w:tblGrid>
      <w:tr w14:paraId="31C0A5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2" w:type="dxa"/>
            <w:tcBorders>
              <w:top w:val="single" w:color="auto" w:sz="12" w:space="0"/>
            </w:tcBorders>
            <w:vAlign w:val="center"/>
          </w:tcPr>
          <w:p w14:paraId="56C681D4">
            <w:pPr>
              <w:spacing w:line="32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用水对象</w:t>
            </w:r>
          </w:p>
        </w:tc>
        <w:tc>
          <w:tcPr>
            <w:tcW w:w="1343" w:type="dxa"/>
            <w:tcBorders>
              <w:top w:val="single" w:color="auto" w:sz="12" w:space="0"/>
            </w:tcBorders>
            <w:vAlign w:val="center"/>
          </w:tcPr>
          <w:p w14:paraId="2B2290CD">
            <w:pPr>
              <w:spacing w:line="32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类型</w:t>
            </w:r>
          </w:p>
        </w:tc>
        <w:tc>
          <w:tcPr>
            <w:tcW w:w="1243" w:type="dxa"/>
            <w:tcBorders>
              <w:top w:val="single" w:color="auto" w:sz="12" w:space="0"/>
            </w:tcBorders>
            <w:vAlign w:val="center"/>
          </w:tcPr>
          <w:p w14:paraId="7B9C00AC">
            <w:pPr>
              <w:spacing w:line="32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用水标准</w:t>
            </w:r>
          </w:p>
        </w:tc>
        <w:tc>
          <w:tcPr>
            <w:tcW w:w="1453" w:type="dxa"/>
            <w:tcBorders>
              <w:top w:val="single" w:color="auto" w:sz="12" w:space="0"/>
            </w:tcBorders>
            <w:vAlign w:val="center"/>
          </w:tcPr>
          <w:p w14:paraId="1891275E">
            <w:pPr>
              <w:spacing w:line="32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数量（单位）</w:t>
            </w:r>
          </w:p>
        </w:tc>
        <w:tc>
          <w:tcPr>
            <w:tcW w:w="1818" w:type="dxa"/>
            <w:tcBorders>
              <w:top w:val="single" w:color="auto" w:sz="12" w:space="0"/>
            </w:tcBorders>
            <w:vAlign w:val="center"/>
          </w:tcPr>
          <w:p w14:paraId="079F8689">
            <w:pPr>
              <w:spacing w:line="32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用水量（m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w:t>
            </w:r>
          </w:p>
        </w:tc>
        <w:tc>
          <w:tcPr>
            <w:tcW w:w="2097" w:type="dxa"/>
            <w:tcBorders>
              <w:top w:val="single" w:color="auto" w:sz="12" w:space="0"/>
            </w:tcBorders>
            <w:vAlign w:val="center"/>
          </w:tcPr>
          <w:p w14:paraId="269FCB06">
            <w:pPr>
              <w:spacing w:line="32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废水排放量（m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/d）</w:t>
            </w:r>
          </w:p>
        </w:tc>
      </w:tr>
      <w:tr w14:paraId="196FAE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332" w:type="dxa"/>
            <w:vAlign w:val="center"/>
          </w:tcPr>
          <w:p w14:paraId="095BC034">
            <w:pPr>
              <w:spacing w:line="320" w:lineRule="exact"/>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门诊部</w:t>
            </w:r>
          </w:p>
        </w:tc>
        <w:tc>
          <w:tcPr>
            <w:tcW w:w="1343" w:type="dxa"/>
            <w:vAlign w:val="center"/>
          </w:tcPr>
          <w:p w14:paraId="0B5D2D06">
            <w:pPr>
              <w:spacing w:line="32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医疗废水</w:t>
            </w:r>
          </w:p>
        </w:tc>
        <w:tc>
          <w:tcPr>
            <w:tcW w:w="1243" w:type="dxa"/>
            <w:vAlign w:val="center"/>
          </w:tcPr>
          <w:p w14:paraId="4A52D426">
            <w:pPr>
              <w:spacing w:line="32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r>
              <w:rPr>
                <w:rFonts w:hint="eastAsia" w:cs="Times New Roman"/>
                <w:color w:val="auto"/>
                <w:sz w:val="21"/>
                <w:szCs w:val="21"/>
                <w:highlight w:val="none"/>
                <w:lang w:val="en-US" w:eastAsia="zh-CN"/>
              </w:rPr>
              <w:t>0</w:t>
            </w:r>
            <w:r>
              <w:rPr>
                <w:rFonts w:hint="default" w:ascii="Times New Roman" w:hAnsi="Times New Roman" w:cs="Times New Roman"/>
                <w:color w:val="auto"/>
                <w:sz w:val="21"/>
                <w:szCs w:val="21"/>
                <w:highlight w:val="none"/>
              </w:rPr>
              <w:t>L/人次</w:t>
            </w:r>
          </w:p>
        </w:tc>
        <w:tc>
          <w:tcPr>
            <w:tcW w:w="1453" w:type="dxa"/>
            <w:vAlign w:val="center"/>
          </w:tcPr>
          <w:p w14:paraId="3985FCC7">
            <w:pPr>
              <w:spacing w:line="320" w:lineRule="exact"/>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80</w:t>
            </w:r>
            <w:r>
              <w:rPr>
                <w:rFonts w:hint="default" w:ascii="Times New Roman" w:hAnsi="Times New Roman" w:cs="Times New Roman"/>
                <w:color w:val="auto"/>
                <w:sz w:val="21"/>
                <w:szCs w:val="21"/>
                <w:highlight w:val="none"/>
              </w:rPr>
              <w:t>人次/d</w:t>
            </w:r>
          </w:p>
        </w:tc>
        <w:tc>
          <w:tcPr>
            <w:tcW w:w="1818" w:type="dxa"/>
            <w:vAlign w:val="center"/>
          </w:tcPr>
          <w:p w14:paraId="7F931802">
            <w:pPr>
              <w:spacing w:line="320" w:lineRule="exact"/>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0.8</w:t>
            </w:r>
          </w:p>
        </w:tc>
        <w:tc>
          <w:tcPr>
            <w:tcW w:w="2097" w:type="dxa"/>
            <w:vAlign w:val="center"/>
          </w:tcPr>
          <w:p w14:paraId="107BFB1E">
            <w:pPr>
              <w:spacing w:line="320" w:lineRule="exact"/>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0.68</w:t>
            </w:r>
          </w:p>
        </w:tc>
      </w:tr>
      <w:tr w14:paraId="3F6E50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332" w:type="dxa"/>
            <w:vAlign w:val="center"/>
          </w:tcPr>
          <w:p w14:paraId="409C3121">
            <w:pPr>
              <w:spacing w:line="320" w:lineRule="exact"/>
              <w:jc w:val="center"/>
              <w:rPr>
                <w:rFonts w:hint="eastAsia" w:cs="Times New Roman"/>
                <w:color w:val="FF0000"/>
                <w:sz w:val="21"/>
                <w:szCs w:val="21"/>
                <w:highlight w:val="none"/>
                <w:lang w:eastAsia="zh-CN"/>
              </w:rPr>
            </w:pPr>
            <w:r>
              <w:rPr>
                <w:rFonts w:hint="eastAsia" w:cs="Times New Roman"/>
                <w:color w:val="FF0000"/>
                <w:sz w:val="21"/>
                <w:szCs w:val="21"/>
                <w:highlight w:val="none"/>
                <w:lang w:eastAsia="zh-CN"/>
              </w:rPr>
              <w:t>病房</w:t>
            </w:r>
          </w:p>
        </w:tc>
        <w:tc>
          <w:tcPr>
            <w:tcW w:w="1343" w:type="dxa"/>
            <w:vAlign w:val="center"/>
          </w:tcPr>
          <w:p w14:paraId="74D86EF5">
            <w:pPr>
              <w:spacing w:line="320" w:lineRule="exact"/>
              <w:jc w:val="center"/>
              <w:rPr>
                <w:rFonts w:hint="default" w:ascii="Times New Roman" w:hAnsi="Times New Roman" w:cs="Times New Roman"/>
                <w:color w:val="FF0000"/>
                <w:sz w:val="21"/>
                <w:szCs w:val="21"/>
                <w:highlight w:val="none"/>
              </w:rPr>
            </w:pPr>
            <w:r>
              <w:rPr>
                <w:rFonts w:hint="default" w:ascii="Times New Roman" w:hAnsi="Times New Roman" w:cs="Times New Roman"/>
                <w:color w:val="FF0000"/>
                <w:sz w:val="21"/>
                <w:szCs w:val="21"/>
                <w:highlight w:val="none"/>
              </w:rPr>
              <w:t>医疗废水</w:t>
            </w:r>
          </w:p>
        </w:tc>
        <w:tc>
          <w:tcPr>
            <w:tcW w:w="1243" w:type="dxa"/>
            <w:vAlign w:val="center"/>
          </w:tcPr>
          <w:p w14:paraId="54EF53F5">
            <w:pPr>
              <w:spacing w:line="320" w:lineRule="exact"/>
              <w:jc w:val="center"/>
              <w:rPr>
                <w:rFonts w:hint="default" w:ascii="Times New Roman" w:hAnsi="Times New Roman" w:cs="Times New Roman"/>
                <w:color w:val="FF0000"/>
                <w:sz w:val="21"/>
                <w:szCs w:val="21"/>
                <w:highlight w:val="none"/>
              </w:rPr>
            </w:pPr>
            <w:r>
              <w:rPr>
                <w:rFonts w:hint="eastAsia" w:cs="Times New Roman"/>
                <w:color w:val="FF0000"/>
                <w:sz w:val="21"/>
                <w:szCs w:val="21"/>
                <w:highlight w:val="none"/>
                <w:lang w:val="en-US" w:eastAsia="zh-CN"/>
              </w:rPr>
              <w:t>220</w:t>
            </w:r>
            <w:r>
              <w:rPr>
                <w:rFonts w:ascii="Times New Roman" w:hAnsi="Times New Roman" w:cs="Times New Roman"/>
                <w:color w:val="FF0000"/>
                <w:sz w:val="21"/>
                <w:szCs w:val="21"/>
                <w:highlight w:val="none"/>
              </w:rPr>
              <w:t>L/床•d</w:t>
            </w:r>
          </w:p>
        </w:tc>
        <w:tc>
          <w:tcPr>
            <w:tcW w:w="1453" w:type="dxa"/>
            <w:vAlign w:val="center"/>
          </w:tcPr>
          <w:p w14:paraId="4950C8D3">
            <w:pPr>
              <w:spacing w:line="320" w:lineRule="exact"/>
              <w:jc w:val="center"/>
              <w:rPr>
                <w:rFonts w:hint="eastAsia" w:ascii="Times New Roman" w:hAnsi="Times New Roman" w:eastAsia="宋体" w:cs="Times New Roman"/>
                <w:color w:val="FF0000"/>
                <w:sz w:val="21"/>
                <w:szCs w:val="21"/>
                <w:highlight w:val="none"/>
                <w:lang w:val="en-US" w:eastAsia="zh-CN"/>
              </w:rPr>
            </w:pPr>
            <w:r>
              <w:rPr>
                <w:rFonts w:hint="eastAsia" w:cs="Times New Roman"/>
                <w:color w:val="FF0000"/>
                <w:sz w:val="21"/>
                <w:szCs w:val="21"/>
                <w:highlight w:val="none"/>
                <w:lang w:val="en-US" w:eastAsia="zh-CN"/>
              </w:rPr>
              <w:t>80张</w:t>
            </w:r>
          </w:p>
        </w:tc>
        <w:tc>
          <w:tcPr>
            <w:tcW w:w="1818" w:type="dxa"/>
            <w:vAlign w:val="center"/>
          </w:tcPr>
          <w:p w14:paraId="5A76DB51">
            <w:pPr>
              <w:spacing w:line="320" w:lineRule="exact"/>
              <w:jc w:val="center"/>
              <w:rPr>
                <w:rFonts w:hint="eastAsia" w:ascii="Times New Roman" w:hAnsi="Times New Roman" w:eastAsia="宋体" w:cs="Times New Roman"/>
                <w:color w:val="FF0000"/>
                <w:sz w:val="21"/>
                <w:szCs w:val="21"/>
                <w:highlight w:val="none"/>
                <w:lang w:val="en-US" w:eastAsia="zh-CN"/>
              </w:rPr>
            </w:pPr>
            <w:r>
              <w:rPr>
                <w:rFonts w:hint="eastAsia" w:cs="Times New Roman"/>
                <w:color w:val="FF0000"/>
                <w:sz w:val="21"/>
                <w:szCs w:val="21"/>
                <w:highlight w:val="none"/>
                <w:lang w:val="en-US" w:eastAsia="zh-CN"/>
              </w:rPr>
              <w:t>17.6</w:t>
            </w:r>
          </w:p>
        </w:tc>
        <w:tc>
          <w:tcPr>
            <w:tcW w:w="2097" w:type="dxa"/>
            <w:vAlign w:val="center"/>
          </w:tcPr>
          <w:p w14:paraId="5B264172">
            <w:pPr>
              <w:spacing w:line="320" w:lineRule="exact"/>
              <w:jc w:val="center"/>
              <w:rPr>
                <w:rFonts w:hint="eastAsia" w:ascii="Times New Roman" w:hAnsi="Times New Roman" w:eastAsia="宋体" w:cs="Times New Roman"/>
                <w:color w:val="FF0000"/>
                <w:sz w:val="21"/>
                <w:szCs w:val="21"/>
                <w:highlight w:val="none"/>
                <w:lang w:val="en-US" w:eastAsia="zh-CN"/>
              </w:rPr>
            </w:pPr>
            <w:r>
              <w:rPr>
                <w:rFonts w:hint="eastAsia" w:cs="Times New Roman"/>
                <w:color w:val="FF0000"/>
                <w:sz w:val="21"/>
                <w:szCs w:val="21"/>
                <w:highlight w:val="none"/>
                <w:lang w:val="en-US" w:eastAsia="zh-CN"/>
              </w:rPr>
              <w:t>14.96</w:t>
            </w:r>
          </w:p>
        </w:tc>
      </w:tr>
      <w:tr w14:paraId="4EA7CB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332" w:type="dxa"/>
            <w:vAlign w:val="center"/>
          </w:tcPr>
          <w:p w14:paraId="0FD1ED9E">
            <w:pPr>
              <w:spacing w:line="320" w:lineRule="exact"/>
              <w:jc w:val="center"/>
              <w:rPr>
                <w:rFonts w:hint="eastAsia" w:cs="Times New Roman"/>
                <w:color w:val="FF0000"/>
                <w:sz w:val="21"/>
                <w:szCs w:val="21"/>
                <w:highlight w:val="none"/>
                <w:lang w:eastAsia="zh-CN"/>
              </w:rPr>
            </w:pPr>
            <w:r>
              <w:rPr>
                <w:rFonts w:hint="eastAsia" w:cs="Times New Roman"/>
                <w:color w:val="FF0000"/>
                <w:sz w:val="21"/>
                <w:szCs w:val="21"/>
                <w:highlight w:val="none"/>
                <w:lang w:eastAsia="zh-CN"/>
              </w:rPr>
              <w:t>药浴</w:t>
            </w:r>
          </w:p>
        </w:tc>
        <w:tc>
          <w:tcPr>
            <w:tcW w:w="1343" w:type="dxa"/>
            <w:vAlign w:val="center"/>
          </w:tcPr>
          <w:p w14:paraId="1DF2B595">
            <w:pPr>
              <w:spacing w:line="320" w:lineRule="exact"/>
              <w:jc w:val="center"/>
              <w:rPr>
                <w:rFonts w:hint="eastAsia" w:ascii="Times New Roman" w:hAnsi="Times New Roman" w:eastAsia="宋体" w:cs="Times New Roman"/>
                <w:color w:val="FF0000"/>
                <w:sz w:val="21"/>
                <w:szCs w:val="21"/>
                <w:highlight w:val="none"/>
                <w:lang w:eastAsia="zh-CN"/>
              </w:rPr>
            </w:pPr>
            <w:r>
              <w:rPr>
                <w:rFonts w:hint="eastAsia" w:cs="Times New Roman"/>
                <w:color w:val="FF0000"/>
                <w:sz w:val="21"/>
                <w:szCs w:val="21"/>
                <w:highlight w:val="none"/>
                <w:lang w:eastAsia="zh-CN"/>
              </w:rPr>
              <w:t>医疗废水</w:t>
            </w:r>
          </w:p>
        </w:tc>
        <w:tc>
          <w:tcPr>
            <w:tcW w:w="1243" w:type="dxa"/>
            <w:vAlign w:val="center"/>
          </w:tcPr>
          <w:p w14:paraId="7057E1A7">
            <w:pPr>
              <w:spacing w:line="320" w:lineRule="exact"/>
              <w:jc w:val="center"/>
              <w:rPr>
                <w:rFonts w:hint="eastAsia" w:cs="Times New Roman"/>
                <w:color w:val="FF0000"/>
                <w:sz w:val="21"/>
                <w:szCs w:val="21"/>
                <w:highlight w:val="none"/>
                <w:lang w:val="en-US" w:eastAsia="zh-CN"/>
              </w:rPr>
            </w:pPr>
            <w:r>
              <w:rPr>
                <w:rFonts w:hint="eastAsia" w:cs="Times New Roman"/>
                <w:color w:val="FF0000"/>
                <w:sz w:val="21"/>
                <w:szCs w:val="21"/>
                <w:highlight w:val="none"/>
                <w:lang w:val="en-US" w:eastAsia="zh-CN"/>
              </w:rPr>
              <w:t>120L/人次</w:t>
            </w:r>
          </w:p>
        </w:tc>
        <w:tc>
          <w:tcPr>
            <w:tcW w:w="1453" w:type="dxa"/>
            <w:vAlign w:val="center"/>
          </w:tcPr>
          <w:p w14:paraId="35292DC6">
            <w:pPr>
              <w:spacing w:line="320" w:lineRule="exact"/>
              <w:jc w:val="center"/>
              <w:rPr>
                <w:rFonts w:hint="eastAsia" w:cs="Times New Roman"/>
                <w:color w:val="FF0000"/>
                <w:sz w:val="21"/>
                <w:szCs w:val="21"/>
                <w:highlight w:val="none"/>
                <w:lang w:val="en-US" w:eastAsia="zh-CN"/>
              </w:rPr>
            </w:pPr>
            <w:r>
              <w:rPr>
                <w:rFonts w:hint="eastAsia" w:cs="Times New Roman"/>
                <w:color w:val="FF0000"/>
                <w:sz w:val="21"/>
                <w:szCs w:val="21"/>
                <w:highlight w:val="none"/>
                <w:lang w:val="en-US" w:eastAsia="zh-CN"/>
              </w:rPr>
              <w:t>20人次/d</w:t>
            </w:r>
          </w:p>
        </w:tc>
        <w:tc>
          <w:tcPr>
            <w:tcW w:w="1818" w:type="dxa"/>
            <w:vAlign w:val="center"/>
          </w:tcPr>
          <w:p w14:paraId="7BC90381">
            <w:pPr>
              <w:spacing w:line="320" w:lineRule="exact"/>
              <w:jc w:val="center"/>
              <w:rPr>
                <w:rFonts w:hint="eastAsia" w:cs="Times New Roman"/>
                <w:color w:val="FF0000"/>
                <w:sz w:val="21"/>
                <w:szCs w:val="21"/>
                <w:highlight w:val="none"/>
                <w:lang w:val="en-US" w:eastAsia="zh-CN"/>
              </w:rPr>
            </w:pPr>
            <w:r>
              <w:rPr>
                <w:rFonts w:hint="eastAsia" w:cs="Times New Roman"/>
                <w:color w:val="FF0000"/>
                <w:sz w:val="21"/>
                <w:szCs w:val="21"/>
                <w:highlight w:val="none"/>
                <w:lang w:val="en-US" w:eastAsia="zh-CN"/>
              </w:rPr>
              <w:t>2.4</w:t>
            </w:r>
          </w:p>
        </w:tc>
        <w:tc>
          <w:tcPr>
            <w:tcW w:w="2097" w:type="dxa"/>
            <w:vAlign w:val="center"/>
          </w:tcPr>
          <w:p w14:paraId="7BF62EDE">
            <w:pPr>
              <w:spacing w:line="320" w:lineRule="exact"/>
              <w:jc w:val="center"/>
              <w:rPr>
                <w:rFonts w:hint="eastAsia" w:cs="Times New Roman"/>
                <w:color w:val="FF0000"/>
                <w:sz w:val="21"/>
                <w:szCs w:val="21"/>
                <w:highlight w:val="none"/>
                <w:lang w:val="en-US" w:eastAsia="zh-CN"/>
              </w:rPr>
            </w:pPr>
            <w:r>
              <w:rPr>
                <w:rFonts w:hint="eastAsia" w:cs="Times New Roman"/>
                <w:color w:val="FF0000"/>
                <w:sz w:val="21"/>
                <w:szCs w:val="21"/>
                <w:highlight w:val="none"/>
                <w:lang w:val="en-US" w:eastAsia="zh-CN"/>
              </w:rPr>
              <w:t>2.04</w:t>
            </w:r>
          </w:p>
        </w:tc>
      </w:tr>
      <w:tr w14:paraId="3B8FAD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2" w:type="dxa"/>
            <w:vAlign w:val="center"/>
          </w:tcPr>
          <w:p w14:paraId="53017759">
            <w:pPr>
              <w:spacing w:line="32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清洁用水</w:t>
            </w:r>
          </w:p>
        </w:tc>
        <w:tc>
          <w:tcPr>
            <w:tcW w:w="1343" w:type="dxa"/>
            <w:vAlign w:val="center"/>
          </w:tcPr>
          <w:p w14:paraId="3FBF6D02">
            <w:pPr>
              <w:spacing w:line="32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生活污水</w:t>
            </w:r>
          </w:p>
        </w:tc>
        <w:tc>
          <w:tcPr>
            <w:tcW w:w="1243" w:type="dxa"/>
            <w:vAlign w:val="center"/>
          </w:tcPr>
          <w:p w14:paraId="40000A15">
            <w:pPr>
              <w:spacing w:line="32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1L/m</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rPr>
              <w:t>•d</w:t>
            </w:r>
          </w:p>
        </w:tc>
        <w:tc>
          <w:tcPr>
            <w:tcW w:w="1453" w:type="dxa"/>
            <w:vAlign w:val="center"/>
          </w:tcPr>
          <w:p w14:paraId="5FD59A3E">
            <w:pPr>
              <w:spacing w:line="320" w:lineRule="exact"/>
              <w:jc w:val="center"/>
              <w:rPr>
                <w:rFonts w:hint="default" w:ascii="Times New Roman" w:hAnsi="Times New Roman" w:cs="Times New Roman"/>
                <w:color w:val="auto"/>
                <w:sz w:val="21"/>
                <w:szCs w:val="21"/>
                <w:highlight w:val="none"/>
              </w:rPr>
            </w:pPr>
            <w:r>
              <w:rPr>
                <w:rFonts w:hint="eastAsia"/>
                <w:color w:val="auto"/>
                <w:sz w:val="21"/>
                <w:szCs w:val="21"/>
                <w:highlight w:val="none"/>
                <w:lang w:val="en-US" w:eastAsia="zh-CN"/>
              </w:rPr>
              <w:t>2700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2</w:t>
            </w:r>
          </w:p>
        </w:tc>
        <w:tc>
          <w:tcPr>
            <w:tcW w:w="1818" w:type="dxa"/>
            <w:vAlign w:val="center"/>
          </w:tcPr>
          <w:p w14:paraId="40B8B9EB">
            <w:pPr>
              <w:spacing w:line="320" w:lineRule="exact"/>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w:t>
            </w:r>
          </w:p>
        </w:tc>
        <w:tc>
          <w:tcPr>
            <w:tcW w:w="2097" w:type="dxa"/>
            <w:vAlign w:val="center"/>
          </w:tcPr>
          <w:p w14:paraId="68178822">
            <w:pPr>
              <w:spacing w:line="320" w:lineRule="exact"/>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2.3</w:t>
            </w:r>
          </w:p>
        </w:tc>
      </w:tr>
      <w:tr w14:paraId="5A4F69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332" w:type="dxa"/>
            <w:vAlign w:val="center"/>
          </w:tcPr>
          <w:p w14:paraId="3789479A">
            <w:pPr>
              <w:spacing w:line="320" w:lineRule="exact"/>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医务人员</w:t>
            </w:r>
          </w:p>
        </w:tc>
        <w:tc>
          <w:tcPr>
            <w:tcW w:w="1343" w:type="dxa"/>
            <w:vAlign w:val="center"/>
          </w:tcPr>
          <w:p w14:paraId="580F26BF">
            <w:pPr>
              <w:spacing w:line="32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生活污水</w:t>
            </w:r>
          </w:p>
        </w:tc>
        <w:tc>
          <w:tcPr>
            <w:tcW w:w="1243" w:type="dxa"/>
            <w:vAlign w:val="center"/>
          </w:tcPr>
          <w:p w14:paraId="54EBD8D5">
            <w:pPr>
              <w:spacing w:line="320" w:lineRule="exact"/>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50L/人.</w:t>
            </w:r>
            <w:r>
              <w:rPr>
                <w:rFonts w:hint="eastAsia" w:cs="Times New Roman"/>
                <w:color w:val="auto"/>
                <w:sz w:val="21"/>
                <w:szCs w:val="21"/>
                <w:highlight w:val="none"/>
                <w:lang w:val="en-US" w:eastAsia="zh-CN"/>
              </w:rPr>
              <w:t>d</w:t>
            </w:r>
          </w:p>
        </w:tc>
        <w:tc>
          <w:tcPr>
            <w:tcW w:w="1453" w:type="dxa"/>
            <w:vAlign w:val="center"/>
          </w:tcPr>
          <w:p w14:paraId="0AB7C4CD">
            <w:pPr>
              <w:spacing w:line="320" w:lineRule="exact"/>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85</w:t>
            </w:r>
            <w:r>
              <w:rPr>
                <w:rFonts w:hint="default" w:ascii="Times New Roman" w:hAnsi="Times New Roman" w:cs="Times New Roman"/>
                <w:color w:val="auto"/>
                <w:sz w:val="21"/>
                <w:szCs w:val="21"/>
                <w:highlight w:val="none"/>
              </w:rPr>
              <w:t>人</w:t>
            </w:r>
          </w:p>
        </w:tc>
        <w:tc>
          <w:tcPr>
            <w:tcW w:w="1818" w:type="dxa"/>
            <w:vAlign w:val="center"/>
          </w:tcPr>
          <w:p w14:paraId="791A2AE5">
            <w:pPr>
              <w:spacing w:line="320" w:lineRule="exact"/>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12.75</w:t>
            </w:r>
          </w:p>
        </w:tc>
        <w:tc>
          <w:tcPr>
            <w:tcW w:w="2097" w:type="dxa"/>
            <w:vAlign w:val="center"/>
          </w:tcPr>
          <w:p w14:paraId="32E31FEA">
            <w:pPr>
              <w:spacing w:line="320" w:lineRule="exact"/>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10.84</w:t>
            </w:r>
          </w:p>
        </w:tc>
      </w:tr>
      <w:tr w14:paraId="5FCE59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332" w:type="dxa"/>
            <w:vAlign w:val="center"/>
          </w:tcPr>
          <w:p w14:paraId="0E114BC8">
            <w:pPr>
              <w:spacing w:line="320" w:lineRule="exact"/>
              <w:jc w:val="center"/>
              <w:rPr>
                <w:rFonts w:hint="eastAsia" w:cs="Times New Roman"/>
                <w:color w:val="auto"/>
                <w:sz w:val="21"/>
                <w:szCs w:val="21"/>
                <w:highlight w:val="none"/>
                <w:lang w:eastAsia="zh-CN"/>
              </w:rPr>
            </w:pPr>
            <w:r>
              <w:rPr>
                <w:rFonts w:hint="eastAsia" w:cs="Times New Roman"/>
                <w:color w:val="auto"/>
                <w:sz w:val="21"/>
                <w:szCs w:val="21"/>
                <w:highlight w:val="none"/>
                <w:lang w:eastAsia="zh-CN"/>
              </w:rPr>
              <w:t>中央空调水冷机组</w:t>
            </w:r>
          </w:p>
        </w:tc>
        <w:tc>
          <w:tcPr>
            <w:tcW w:w="1343" w:type="dxa"/>
            <w:vAlign w:val="center"/>
          </w:tcPr>
          <w:p w14:paraId="7DA24560">
            <w:pPr>
              <w:spacing w:line="320" w:lineRule="exact"/>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循环冷却水</w:t>
            </w:r>
          </w:p>
        </w:tc>
        <w:tc>
          <w:tcPr>
            <w:tcW w:w="1243" w:type="dxa"/>
            <w:vAlign w:val="center"/>
          </w:tcPr>
          <w:p w14:paraId="679B0147">
            <w:pPr>
              <w:spacing w:line="320" w:lineRule="exact"/>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453" w:type="dxa"/>
            <w:vAlign w:val="center"/>
          </w:tcPr>
          <w:p w14:paraId="29ADEC74">
            <w:pPr>
              <w:spacing w:line="320" w:lineRule="exact"/>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818" w:type="dxa"/>
            <w:vAlign w:val="center"/>
          </w:tcPr>
          <w:p w14:paraId="21E7FCA5">
            <w:pPr>
              <w:spacing w:line="320" w:lineRule="exact"/>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0.7（补充）/2.9（循环）</w:t>
            </w:r>
          </w:p>
        </w:tc>
        <w:tc>
          <w:tcPr>
            <w:tcW w:w="2097" w:type="dxa"/>
            <w:vAlign w:val="center"/>
          </w:tcPr>
          <w:p w14:paraId="0019AFA2">
            <w:pPr>
              <w:spacing w:line="320" w:lineRule="exact"/>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r>
      <w:tr w14:paraId="22771A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71" w:type="dxa"/>
            <w:gridSpan w:val="4"/>
            <w:tcBorders>
              <w:bottom w:val="single" w:color="auto" w:sz="12" w:space="0"/>
            </w:tcBorders>
            <w:vAlign w:val="center"/>
          </w:tcPr>
          <w:p w14:paraId="3BAD4BBB">
            <w:pPr>
              <w:spacing w:line="32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合计</w:t>
            </w:r>
          </w:p>
        </w:tc>
        <w:tc>
          <w:tcPr>
            <w:tcW w:w="1818" w:type="dxa"/>
            <w:tcBorders>
              <w:bottom w:val="single" w:color="auto" w:sz="12" w:space="0"/>
            </w:tcBorders>
            <w:vAlign w:val="center"/>
          </w:tcPr>
          <w:p w14:paraId="5F0A21F0">
            <w:pPr>
              <w:spacing w:line="320" w:lineRule="exact"/>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36.95</w:t>
            </w:r>
          </w:p>
        </w:tc>
        <w:tc>
          <w:tcPr>
            <w:tcW w:w="2097" w:type="dxa"/>
            <w:tcBorders>
              <w:bottom w:val="single" w:color="auto" w:sz="12" w:space="0"/>
            </w:tcBorders>
            <w:vAlign w:val="center"/>
          </w:tcPr>
          <w:p w14:paraId="39241F7F">
            <w:pPr>
              <w:spacing w:line="320" w:lineRule="exact"/>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30.82</w:t>
            </w:r>
          </w:p>
        </w:tc>
      </w:tr>
    </w:tbl>
    <w:p w14:paraId="497582B8">
      <w:pPr>
        <w:spacing w:line="360" w:lineRule="auto"/>
        <w:rPr>
          <w:rFonts w:hint="eastAsia" w:cs="Times New Roman"/>
          <w:color w:val="auto"/>
          <w:highlight w:val="none"/>
          <w:lang w:val="en-US" w:eastAsia="zh-CN"/>
        </w:rPr>
      </w:pP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1450975</wp:posOffset>
                </wp:positionH>
                <wp:positionV relativeFrom="paragraph">
                  <wp:posOffset>267335</wp:posOffset>
                </wp:positionV>
                <wp:extent cx="436245" cy="30099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436245" cy="300990"/>
                        </a:xfrm>
                        <a:prstGeom prst="rect">
                          <a:avLst/>
                        </a:prstGeom>
                        <a:noFill/>
                        <a:ln w="9525">
                          <a:noFill/>
                        </a:ln>
                      </wps:spPr>
                      <wps:txbx>
                        <w:txbxContent>
                          <w:p w14:paraId="209B1EAC">
                            <w:pPr>
                              <w:rPr>
                                <w:rFonts w:hint="eastAsia" w:eastAsia="宋体"/>
                                <w:lang w:val="en-US" w:eastAsia="zh-CN"/>
                              </w:rPr>
                            </w:pPr>
                            <w:r>
                              <w:rPr>
                                <w:rFonts w:hint="eastAsia"/>
                                <w:lang w:val="en-US" w:eastAsia="zh-CN"/>
                              </w:rPr>
                              <w:t>2.64</w:t>
                            </w:r>
                          </w:p>
                        </w:txbxContent>
                      </wps:txbx>
                      <wps:bodyPr upright="1"/>
                    </wps:wsp>
                  </a:graphicData>
                </a:graphic>
              </wp:anchor>
            </w:drawing>
          </mc:Choice>
          <mc:Fallback>
            <w:pict>
              <v:shape id="_x0000_s1026" o:spid="_x0000_s1026" o:spt="202" type="#_x0000_t202" style="position:absolute;left:0pt;margin-left:114.25pt;margin-top:21.05pt;height:23.7pt;width:34.35pt;z-index:251684864;mso-width-relative:page;mso-height-relative:page;" filled="f" stroked="f" coordsize="21600,21600" o:gfxdata="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HQ46I1wAAAAkBAAAPAAAAAAAAAAEAIAAAACIAAABkcnMvZG93bnJldi54bWxQSwECFAAUAAAA&#10;CACHTuJAteYEUbYBAABYAwAADgAAAAAAAAABACAAAAAmAQAAZHJzL2Uyb0RvYy54bWxQSwUGAAAA&#10;AAYABgBZAQAATgUAAAAA&#10;">
                <v:fill on="f" focussize="0,0"/>
                <v:stroke on="f"/>
                <v:imagedata o:title=""/>
                <o:lock v:ext="edit" aspectratio="f"/>
                <v:textbox>
                  <w:txbxContent>
                    <w:p w14:paraId="209B1EAC">
                      <w:pPr>
                        <w:rPr>
                          <w:rFonts w:hint="eastAsia" w:eastAsia="宋体"/>
                          <w:lang w:val="en-US" w:eastAsia="zh-CN"/>
                        </w:rPr>
                      </w:pPr>
                      <w:r>
                        <w:rPr>
                          <w:rFonts w:hint="eastAsia"/>
                          <w:lang w:val="en-US" w:eastAsia="zh-CN"/>
                        </w:rPr>
                        <w:t>2.64</w:t>
                      </w:r>
                    </w:p>
                  </w:txbxContent>
                </v:textbox>
              </v:shape>
            </w:pict>
          </mc:Fallback>
        </mc:AlternateContent>
      </w:r>
      <w:r>
        <w:rPr>
          <w:rFonts w:hint="default" w:ascii="Times New Roman" w:hAnsi="Times New Roman" w:cs="Times New Roman"/>
          <w:color w:val="auto"/>
          <w:highlight w:val="none"/>
        </w:rPr>
        <w:t>注：用水排放系数取0.8</w:t>
      </w:r>
      <w:r>
        <w:rPr>
          <w:rFonts w:hint="eastAsia" w:cs="Times New Roman"/>
          <w:color w:val="auto"/>
          <w:highlight w:val="none"/>
          <w:lang w:val="en-US" w:eastAsia="zh-CN"/>
        </w:rPr>
        <w:t>5</w:t>
      </w:r>
    </w:p>
    <w:p w14:paraId="27C41343">
      <w:pPr>
        <w:pStyle w:val="2"/>
        <w:keepNext w:val="0"/>
        <w:keepLines w:val="0"/>
        <w:pageBreakBefore w:val="0"/>
        <w:widowControl w:val="0"/>
        <w:kinsoku/>
        <w:wordWrap/>
        <w:overflowPunct/>
        <w:topLinePunct w:val="0"/>
        <w:autoSpaceDE/>
        <w:autoSpaceDN/>
        <w:bidi w:val="0"/>
        <w:adjustRightInd/>
        <w:snapToGrid/>
        <w:spacing w:after="0" w:line="240" w:lineRule="auto"/>
        <w:textAlignment w:val="auto"/>
        <w:outlineLvl w:val="9"/>
        <w:rPr>
          <w:rFonts w:hint="eastAsia"/>
          <w:lang w:val="en-US" w:eastAsia="zh-CN"/>
        </w:rPr>
      </w:pP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1829435</wp:posOffset>
                </wp:positionH>
                <wp:positionV relativeFrom="paragraph">
                  <wp:posOffset>183515</wp:posOffset>
                </wp:positionV>
                <wp:extent cx="500380" cy="29527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500380" cy="295275"/>
                        </a:xfrm>
                        <a:prstGeom prst="rect">
                          <a:avLst/>
                        </a:prstGeom>
                        <a:noFill/>
                        <a:ln w="9525">
                          <a:noFill/>
                        </a:ln>
                      </wps:spPr>
                      <wps:txbx>
                        <w:txbxContent>
                          <w:p w14:paraId="5E023976">
                            <w:pPr>
                              <w:rPr>
                                <w:rFonts w:hint="eastAsia" w:eastAsia="宋体"/>
                                <w:lang w:val="en-US" w:eastAsia="zh-CN"/>
                              </w:rPr>
                            </w:pPr>
                            <w:r>
                              <w:rPr>
                                <w:rFonts w:hint="eastAsia"/>
                                <w:lang w:val="en-US" w:eastAsia="zh-CN"/>
                              </w:rPr>
                              <w:t>14.96</w:t>
                            </w:r>
                          </w:p>
                        </w:txbxContent>
                      </wps:txbx>
                      <wps:bodyPr upright="1"/>
                    </wps:wsp>
                  </a:graphicData>
                </a:graphic>
              </wp:anchor>
            </w:drawing>
          </mc:Choice>
          <mc:Fallback>
            <w:pict>
              <v:shape id="_x0000_s1026" o:spid="_x0000_s1026" o:spt="202" type="#_x0000_t202" style="position:absolute;left:0pt;margin-left:144.05pt;margin-top:14.45pt;height:23.25pt;width:39.4pt;z-index:251684864;mso-width-relative:page;mso-height-relative:page;" filled="f" stroked="f" coordsize="21600,21600" o:gfxdata="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Ixq&#10;7CLWAAAACQEAAA8AAAAAAAAAAQAgAAAAIgAAAGRycy9kb3ducmV2LnhtbFBLAQIUABQAAAAIAIdO&#10;4kAuWAHtswEAAFgDAAAOAAAAAAAAAAEAIAAAACUBAABkcnMvZTJvRG9jLnhtbFBLBQYAAAAABgAG&#10;AFkBAABKBQAAAAA=&#10;">
                <v:fill on="f" focussize="0,0"/>
                <v:stroke on="f"/>
                <v:imagedata o:title=""/>
                <o:lock v:ext="edit" aspectratio="f"/>
                <v:textbox>
                  <w:txbxContent>
                    <w:p w14:paraId="5E023976">
                      <w:pPr>
                        <w:rPr>
                          <w:rFonts w:hint="eastAsia" w:eastAsia="宋体"/>
                          <w:lang w:val="en-US" w:eastAsia="zh-CN"/>
                        </w:rPr>
                      </w:pPr>
                      <w:r>
                        <w:rPr>
                          <w:rFonts w:hint="eastAsia"/>
                          <w:lang w:val="en-US" w:eastAsia="zh-CN"/>
                        </w:rPr>
                        <w:t>14.96</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1390650</wp:posOffset>
                </wp:positionH>
                <wp:positionV relativeFrom="paragraph">
                  <wp:posOffset>175895</wp:posOffset>
                </wp:positionV>
                <wp:extent cx="161925" cy="116205"/>
                <wp:effectExtent l="3810" t="3175" r="5715" b="13970"/>
                <wp:wrapNone/>
                <wp:docPr id="20" name="任意多边形 20"/>
                <wp:cNvGraphicFramePr/>
                <a:graphic xmlns:a="http://schemas.openxmlformats.org/drawingml/2006/main">
                  <a:graphicData uri="http://schemas.microsoft.com/office/word/2010/wordprocessingShape">
                    <wps:wsp>
                      <wps:cNvSpPr/>
                      <wps:spPr>
                        <a:xfrm>
                          <a:off x="0" y="0"/>
                          <a:ext cx="161925" cy="116205"/>
                        </a:xfrm>
                        <a:custGeom>
                          <a:avLst/>
                          <a:gdLst/>
                          <a:ahLst/>
                          <a:cxnLst/>
                          <a:pathLst>
                            <a:path w="268" h="312">
                              <a:moveTo>
                                <a:pt x="0" y="312"/>
                              </a:moveTo>
                              <a:cubicBezTo>
                                <a:pt x="38" y="218"/>
                                <a:pt x="76" y="124"/>
                                <a:pt x="101" y="110"/>
                              </a:cubicBezTo>
                              <a:cubicBezTo>
                                <a:pt x="126" y="96"/>
                                <a:pt x="123" y="246"/>
                                <a:pt x="151" y="228"/>
                              </a:cubicBezTo>
                              <a:cubicBezTo>
                                <a:pt x="179" y="210"/>
                                <a:pt x="249" y="38"/>
                                <a:pt x="268" y="0"/>
                              </a:cubicBez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09.5pt;margin-top:13.85pt;height:9.15pt;width:12.75pt;z-index:251684864;mso-width-relative:page;mso-height-relative:page;" filled="f" stroked="t" coordsize="268,312" o:gfxdata="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9amnE9kAAAAJAQAADwAAAAAA&#10;AAABACAAAAAiAAAAZHJzL2Rvd25yZXYueG1sUEsBAhQAFAAAAAgAh07iQI5GOw+EAgAAigUAAA4A&#10;AAAAAAAAAQAgAAAAKAEAAGRycy9lMm9Eb2MueG1sUEsFBgAAAAAGAAYAWQEAAB4GAAAAAA==&#10;" path="m0,312c38,218,76,124,101,110c126,96,123,246,151,228c179,210,249,38,268,0e">
                <v:fill on="f" focussize="0,0"/>
                <v:stroke color="#000000" joinstyle="round"/>
                <v:imagedata o:title=""/>
                <o:lock v:ext="edit" aspectratio="f"/>
              </v:shape>
            </w:pict>
          </mc:Fallback>
        </mc:AlternateContent>
      </w:r>
    </w:p>
    <w:p w14:paraId="67F4CC6D">
      <w:pPr>
        <w:pStyle w:val="2"/>
        <w:rPr>
          <w:rFonts w:hint="eastAsia"/>
          <w:lang w:val="en-US" w:eastAsia="zh-CN"/>
        </w:rPr>
      </w:pPr>
      <w:r>
        <w:rPr>
          <w:rFonts w:hint="eastAsia"/>
          <w:lang w:val="en-US" w:eastAsia="zh-CN"/>
        </w:rPr>
        <mc:AlternateContent>
          <mc:Choice Requires="wps">
            <w:drawing>
              <wp:anchor distT="0" distB="0" distL="114300" distR="114300" simplePos="0" relativeHeight="251674624" behindDoc="0" locked="0" layoutInCell="1" allowOverlap="1">
                <wp:simplePos x="0" y="0"/>
                <wp:positionH relativeFrom="column">
                  <wp:posOffset>1454150</wp:posOffset>
                </wp:positionH>
                <wp:positionV relativeFrom="paragraph">
                  <wp:posOffset>376555</wp:posOffset>
                </wp:positionV>
                <wp:extent cx="436245" cy="30099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436245" cy="300990"/>
                        </a:xfrm>
                        <a:prstGeom prst="rect">
                          <a:avLst/>
                        </a:prstGeom>
                        <a:noFill/>
                        <a:ln w="9525">
                          <a:noFill/>
                        </a:ln>
                      </wps:spPr>
                      <wps:txbx>
                        <w:txbxContent>
                          <w:p w14:paraId="21114F7D">
                            <w:pPr>
                              <w:rPr>
                                <w:rFonts w:hint="eastAsia" w:eastAsia="宋体"/>
                                <w:lang w:val="en-US" w:eastAsia="zh-CN"/>
                              </w:rPr>
                            </w:pPr>
                            <w:r>
                              <w:rPr>
                                <w:rFonts w:hint="eastAsia"/>
                                <w:lang w:val="en-US" w:eastAsia="zh-CN"/>
                              </w:rPr>
                              <w:t>0.36</w:t>
                            </w:r>
                          </w:p>
                        </w:txbxContent>
                      </wps:txbx>
                      <wps:bodyPr upright="1"/>
                    </wps:wsp>
                  </a:graphicData>
                </a:graphic>
              </wp:anchor>
            </w:drawing>
          </mc:Choice>
          <mc:Fallback>
            <w:pict>
              <v:shape id="_x0000_s1026" o:spid="_x0000_s1026" o:spt="202" type="#_x0000_t202" style="position:absolute;left:0pt;margin-left:114.5pt;margin-top:29.65pt;height:23.7pt;width:34.35pt;z-index:251674624;mso-width-relative:page;mso-height-relative:page;" filled="f" stroked="f" coordsize="21600,21600" o:gfxdata="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kvACHYAAAACgEAAA8AAAAAAAAAAQAgAAAAIgAAAGRycy9kb3ducmV2LnhtbFBLAQIUABQA&#10;AAAIAIdO4kBSIMcBtwEAAFoDAAAOAAAAAAAAAAEAIAAAACcBAABkcnMvZTJvRG9jLnhtbFBLBQYA&#10;AAAABgAGAFkBAABQBQAAAAA=&#10;">
                <v:fill on="f" focussize="0,0"/>
                <v:stroke on="f"/>
                <v:imagedata o:title=""/>
                <o:lock v:ext="edit" aspectratio="f"/>
                <v:textbox>
                  <w:txbxContent>
                    <w:p w14:paraId="21114F7D">
                      <w:pPr>
                        <w:rPr>
                          <w:rFonts w:hint="eastAsia" w:eastAsia="宋体"/>
                          <w:lang w:val="en-US" w:eastAsia="zh-CN"/>
                        </w:rPr>
                      </w:pPr>
                      <w:r>
                        <w:rPr>
                          <w:rFonts w:hint="eastAsia"/>
                          <w:lang w:val="en-US" w:eastAsia="zh-CN"/>
                        </w:rPr>
                        <w:t>0.36</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810260</wp:posOffset>
                </wp:positionH>
                <wp:positionV relativeFrom="paragraph">
                  <wp:posOffset>9525</wp:posOffset>
                </wp:positionV>
                <wp:extent cx="449580" cy="295275"/>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449580" cy="295275"/>
                        </a:xfrm>
                        <a:prstGeom prst="rect">
                          <a:avLst/>
                        </a:prstGeom>
                        <a:noFill/>
                        <a:ln w="9525">
                          <a:noFill/>
                        </a:ln>
                      </wps:spPr>
                      <wps:txbx>
                        <w:txbxContent>
                          <w:p w14:paraId="301FF857">
                            <w:pPr>
                              <w:rPr>
                                <w:rFonts w:hint="eastAsia" w:eastAsia="宋体"/>
                                <w:lang w:val="en-US" w:eastAsia="zh-CN"/>
                              </w:rPr>
                            </w:pPr>
                            <w:r>
                              <w:rPr>
                                <w:rFonts w:hint="eastAsia"/>
                                <w:lang w:val="en-US" w:eastAsia="zh-CN"/>
                              </w:rPr>
                              <w:t>17.6</w:t>
                            </w:r>
                          </w:p>
                        </w:txbxContent>
                      </wps:txbx>
                      <wps:bodyPr upright="1"/>
                    </wps:wsp>
                  </a:graphicData>
                </a:graphic>
              </wp:anchor>
            </w:drawing>
          </mc:Choice>
          <mc:Fallback>
            <w:pict>
              <v:shape id="_x0000_s1026" o:spid="_x0000_s1026" o:spt="202" type="#_x0000_t202" style="position:absolute;left:0pt;margin-left:63.8pt;margin-top:0.75pt;height:23.25pt;width:35.4pt;z-index:251684864;mso-width-relative:page;mso-height-relative:page;" filled="f" stroked="f" coordsize="21600,21600" o:gfxdata="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tI&#10;OHbVAAAACAEAAA8AAAAAAAAAAQAgAAAAIgAAAGRycy9kb3ducmV2LnhtbFBLAQIUABQAAAAIAIdO&#10;4kAIrMQPtAEAAFgDAAAOAAAAAAAAAAEAIAAAACQBAABkcnMvZTJvRG9jLnhtbFBLBQYAAAAABgAG&#10;AFkBAABKBQAAAAA=&#10;">
                <v:fill on="f" focussize="0,0"/>
                <v:stroke on="f"/>
                <v:imagedata o:title=""/>
                <o:lock v:ext="edit" aspectratio="f"/>
                <v:textbox>
                  <w:txbxContent>
                    <w:p w14:paraId="301FF857">
                      <w:pPr>
                        <w:rPr>
                          <w:rFonts w:hint="eastAsia" w:eastAsia="宋体"/>
                          <w:lang w:val="en-US" w:eastAsia="zh-CN"/>
                        </w:rPr>
                      </w:pPr>
                      <w:r>
                        <w:rPr>
                          <w:rFonts w:hint="eastAsia"/>
                          <w:lang w:val="en-US" w:eastAsia="zh-CN"/>
                        </w:rPr>
                        <w:t>17.6</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727710</wp:posOffset>
                </wp:positionH>
                <wp:positionV relativeFrom="paragraph">
                  <wp:posOffset>241300</wp:posOffset>
                </wp:positionV>
                <wp:extent cx="1905" cy="3192780"/>
                <wp:effectExtent l="4445" t="0" r="12700" b="7620"/>
                <wp:wrapNone/>
                <wp:docPr id="23" name="直接箭头连接符 23"/>
                <wp:cNvGraphicFramePr/>
                <a:graphic xmlns:a="http://schemas.openxmlformats.org/drawingml/2006/main">
                  <a:graphicData uri="http://schemas.microsoft.com/office/word/2010/wordprocessingShape">
                    <wps:wsp>
                      <wps:cNvCnPr/>
                      <wps:spPr>
                        <a:xfrm>
                          <a:off x="0" y="0"/>
                          <a:ext cx="1905" cy="31927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7.3pt;margin-top:19pt;height:251.4pt;width:0.15pt;z-index:251684864;mso-width-relative:page;mso-height-relative:page;" filled="f" stroked="t" coordsize="21600,21600" o:gfxdata="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I8ptbYAAAACgEAAA8AAAAAAAAAAQAgAAAAIgAAAGRycy9k&#10;b3ducmV2LnhtbFBLAQIUABQAAAAIAIdO4kB10HeWAgIAAPEDAAAOAAAAAAAAAAEAIAAAACcBAABk&#10;cnMvZTJvRG9jLnhtbFBLBQYAAAAABgAGAFkBAACbBQAAAAA=&#10;">
                <v:fill on="f" focussize="0,0"/>
                <v:stroke color="#000000" joinstyle="round"/>
                <v:imagedata o:title=""/>
                <o:lock v:ext="edit" aspectratio="f"/>
              </v:shape>
            </w:pict>
          </mc:Fallback>
        </mc:AlternateContent>
      </w:r>
      <w:r>
        <w:rPr>
          <w:rFonts w:hint="eastAsia"/>
          <w:lang w:val="en-US" w:eastAsia="zh-CN"/>
        </w:rPr>
        <mc:AlternateContent>
          <mc:Choice Requires="wps">
            <w:drawing>
              <wp:anchor distT="0" distB="0" distL="114300" distR="114300" simplePos="0" relativeHeight="251737088" behindDoc="0" locked="0" layoutInCell="1" allowOverlap="1">
                <wp:simplePos x="0" y="0"/>
                <wp:positionH relativeFrom="column">
                  <wp:posOffset>747395</wp:posOffset>
                </wp:positionH>
                <wp:positionV relativeFrom="paragraph">
                  <wp:posOffset>247015</wp:posOffset>
                </wp:positionV>
                <wp:extent cx="575310" cy="2540"/>
                <wp:effectExtent l="0" t="36195" r="15240" b="37465"/>
                <wp:wrapNone/>
                <wp:docPr id="125" name="直接箭头连接符 125"/>
                <wp:cNvGraphicFramePr/>
                <a:graphic xmlns:a="http://schemas.openxmlformats.org/drawingml/2006/main">
                  <a:graphicData uri="http://schemas.microsoft.com/office/word/2010/wordprocessingShape">
                    <wps:wsp>
                      <wps:cNvCnPr/>
                      <wps:spPr>
                        <a:xfrm>
                          <a:off x="0" y="0"/>
                          <a:ext cx="575310" cy="25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58.85pt;margin-top:19.45pt;height:0.2pt;width:45.3pt;z-index:251737088;mso-width-relative:page;mso-height-relative:page;" filled="f" stroked="t" coordsize="21600,21600" o:gfxdata="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gow/cNoAAAAJAQAADwAAAAAAAAABACAAAAAi&#10;AAAAZHJzL2Rvd25yZXYueG1sUEsBAhQAFAAAAAgAh07iQAu/OLMIAgAA9gMAAA4AAAAAAAAAAQAg&#10;AAAAKQEAAGRycy9lMm9Eb2MueG1sUEsFBgAAAAAGAAYAWQEAAKMFAAAAAA==&#10;">
                <v:fill on="f" focussize="0,0"/>
                <v:stroke color="#000000" joinstyle="round" endarrow="block"/>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1333500</wp:posOffset>
                </wp:positionH>
                <wp:positionV relativeFrom="paragraph">
                  <wp:posOffset>95885</wp:posOffset>
                </wp:positionV>
                <wp:extent cx="490855" cy="276225"/>
                <wp:effectExtent l="4445" t="4445" r="19050" b="5080"/>
                <wp:wrapNone/>
                <wp:docPr id="19" name="文本框 19"/>
                <wp:cNvGraphicFramePr/>
                <a:graphic xmlns:a="http://schemas.openxmlformats.org/drawingml/2006/main">
                  <a:graphicData uri="http://schemas.microsoft.com/office/word/2010/wordprocessingShape">
                    <wps:wsp>
                      <wps:cNvSpPr txBox="1"/>
                      <wps:spPr>
                        <a:xfrm>
                          <a:off x="0" y="0"/>
                          <a:ext cx="490855" cy="2762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DA83CE">
                            <w:pPr>
                              <w:jc w:val="both"/>
                              <w:rPr>
                                <w:rFonts w:hint="eastAsia" w:eastAsia="宋体"/>
                                <w:lang w:eastAsia="zh-CN"/>
                              </w:rPr>
                            </w:pPr>
                            <w:r>
                              <w:rPr>
                                <w:rFonts w:hint="eastAsia"/>
                                <w:lang w:eastAsia="zh-CN"/>
                              </w:rPr>
                              <w:t>病房</w:t>
                            </w:r>
                          </w:p>
                        </w:txbxContent>
                      </wps:txbx>
                      <wps:bodyPr upright="1"/>
                    </wps:wsp>
                  </a:graphicData>
                </a:graphic>
              </wp:anchor>
            </w:drawing>
          </mc:Choice>
          <mc:Fallback>
            <w:pict>
              <v:shape id="_x0000_s1026" o:spid="_x0000_s1026" o:spt="202" type="#_x0000_t202" style="position:absolute;left:0pt;margin-left:105pt;margin-top:7.55pt;height:21.75pt;width:38.65pt;z-index:251684864;mso-width-relative:page;mso-height-relative:page;" fillcolor="#FFFFFF" filled="t" stroked="t" coordsize="21600,21600" o:gfxdata="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EmO+d2QAAAAkBAAAPAAAAAAAAAAEAIAAA&#10;ACIAAABkcnMvZG93bnJldi54bWxQSwECFAAUAAAACACHTuJAt4vCGwsCAAA3BAAADgAAAAAAAAAB&#10;ACAAAAAoAQAAZHJzL2Uyb0RvYy54bWxQSwUGAAAAAAYABgBZAQAApQUAAAAA&#10;">
                <v:fill on="t" focussize="0,0"/>
                <v:stroke color="#000000" joinstyle="miter"/>
                <v:imagedata o:title=""/>
                <o:lock v:ext="edit" aspectratio="f"/>
                <v:textbox>
                  <w:txbxContent>
                    <w:p w14:paraId="7FDA83CE">
                      <w:pPr>
                        <w:jc w:val="both"/>
                        <w:rPr>
                          <w:rFonts w:hint="eastAsia" w:eastAsia="宋体"/>
                          <w:lang w:eastAsia="zh-CN"/>
                        </w:rPr>
                      </w:pPr>
                      <w:r>
                        <w:rPr>
                          <w:rFonts w:hint="eastAsia"/>
                          <w:lang w:eastAsia="zh-CN"/>
                        </w:rPr>
                        <w:t>病房</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1830705</wp:posOffset>
                </wp:positionH>
                <wp:positionV relativeFrom="paragraph">
                  <wp:posOffset>225425</wp:posOffset>
                </wp:positionV>
                <wp:extent cx="552450" cy="2540"/>
                <wp:effectExtent l="0" t="36195" r="0" b="37465"/>
                <wp:wrapNone/>
                <wp:docPr id="17" name="直接箭头连接符 17"/>
                <wp:cNvGraphicFramePr/>
                <a:graphic xmlns:a="http://schemas.openxmlformats.org/drawingml/2006/main">
                  <a:graphicData uri="http://schemas.microsoft.com/office/word/2010/wordprocessingShape">
                    <wps:wsp>
                      <wps:cNvCnPr/>
                      <wps:spPr>
                        <a:xfrm>
                          <a:off x="0" y="0"/>
                          <a:ext cx="552450" cy="25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15pt;margin-top:17.75pt;height:0.2pt;width:43.5pt;z-index:251684864;mso-width-relative:page;mso-height-relative:page;" filled="f" stroked="t" coordsize="21600,21600" o:gfxdata="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ZeIhNoAAAAJAQAADwAAAAAAAAABACAAAAAi&#10;AAAAZHJzL2Rvd25yZXYueG1sUEsBAhQAFAAAAAgAh07iQHoAZKgIAgAA9AMAAA4AAAAAAAAAAQAg&#10;AAAAKQEAAGRycy9lMm9Eb2MueG1sUEsFBgAAAAAGAAYAWQEAAKMFAAAAAA==&#10;">
                <v:fill on="f" focussize="0,0"/>
                <v:stroke color="#000000" joinstyle="round" endarrow="block"/>
                <v:imagedata o:title=""/>
                <o:lock v:ext="edit" aspectratio="f"/>
              </v:shape>
            </w:pict>
          </mc:Fallback>
        </mc:AlternateContent>
      </w:r>
    </w:p>
    <w:p w14:paraId="7A6EDD5B">
      <w:pPr>
        <w:pStyle w:val="23"/>
        <w:rPr>
          <w:rFonts w:hint="default" w:ascii="Times New Roman" w:hAnsi="Times New Roman" w:cs="Times New Roman"/>
          <w:b/>
          <w:bCs/>
          <w:color w:val="auto"/>
          <w:sz w:val="28"/>
          <w:szCs w:val="28"/>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727872" behindDoc="0" locked="0" layoutInCell="1" allowOverlap="1">
                <wp:simplePos x="0" y="0"/>
                <wp:positionH relativeFrom="column">
                  <wp:posOffset>2428240</wp:posOffset>
                </wp:positionH>
                <wp:positionV relativeFrom="paragraph">
                  <wp:posOffset>88265</wp:posOffset>
                </wp:positionV>
                <wp:extent cx="509270" cy="268605"/>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509270" cy="268605"/>
                        </a:xfrm>
                        <a:prstGeom prst="rect">
                          <a:avLst/>
                        </a:prstGeom>
                        <a:noFill/>
                        <a:ln w="9525">
                          <a:noFill/>
                        </a:ln>
                      </wps:spPr>
                      <wps:txbx>
                        <w:txbxContent>
                          <w:p w14:paraId="26AC10B9">
                            <w:pPr>
                              <w:rPr>
                                <w:rFonts w:hint="eastAsia" w:eastAsia="宋体"/>
                                <w:lang w:val="en-US" w:eastAsia="zh-CN"/>
                              </w:rPr>
                            </w:pPr>
                            <w:r>
                              <w:rPr>
                                <w:rFonts w:hint="eastAsia"/>
                                <w:lang w:val="en-US" w:eastAsia="zh-CN"/>
                              </w:rPr>
                              <w:t>17.68</w:t>
                            </w:r>
                          </w:p>
                        </w:txbxContent>
                      </wps:txbx>
                      <wps:bodyPr upright="1"/>
                    </wps:wsp>
                  </a:graphicData>
                </a:graphic>
              </wp:anchor>
            </w:drawing>
          </mc:Choice>
          <mc:Fallback>
            <w:pict>
              <v:shape id="_x0000_s1026" o:spid="_x0000_s1026" o:spt="202" type="#_x0000_t202" style="position:absolute;left:0pt;margin-left:191.2pt;margin-top:6.95pt;height:21.15pt;width:40.1pt;z-index:251727872;mso-width-relative:page;mso-height-relative:page;" filled="f" stroked="f" coordsize="21600,21600" o:gfxdata="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CnmvfXAAAACQEAAA8AAAAAAAAAAQAgAAAAIgAAAGRycy9kb3ducmV2LnhtbFBLAQIUABQAAAAI&#10;AIdO4kBlOAPUtQEAAFgDAAAOAAAAAAAAAAEAIAAAACYBAABkcnMvZTJvRG9jLnhtbFBLBQYAAAAA&#10;BgAGAFkBAABNBQAAAAA=&#10;">
                <v:fill on="f" focussize="0,0"/>
                <v:stroke on="f"/>
                <v:imagedata o:title=""/>
                <o:lock v:ext="edit" aspectratio="f"/>
                <v:textbox>
                  <w:txbxContent>
                    <w:p w14:paraId="26AC10B9">
                      <w:pPr>
                        <w:rPr>
                          <w:rFonts w:hint="eastAsia" w:eastAsia="宋体"/>
                          <w:lang w:val="en-US" w:eastAsia="zh-CN"/>
                        </w:rPr>
                      </w:pPr>
                      <w:r>
                        <w:rPr>
                          <w:rFonts w:hint="eastAsia"/>
                          <w:lang w:val="en-US" w:eastAsia="zh-CN"/>
                        </w:rPr>
                        <w:t>17.68</w:t>
                      </w:r>
                    </w:p>
                  </w:txbxContent>
                </v:textbox>
              </v:shape>
            </w:pict>
          </mc:Fallback>
        </mc:AlternateContent>
      </w:r>
      <w:r>
        <w:rPr>
          <w:color w:val="auto"/>
          <w:sz w:val="21"/>
          <w:highlight w:val="none"/>
        </w:rPr>
        <mc:AlternateContent>
          <mc:Choice Requires="wps">
            <w:drawing>
              <wp:anchor distT="0" distB="0" distL="114300" distR="114300" simplePos="0" relativeHeight="251715584" behindDoc="0" locked="0" layoutInCell="1" allowOverlap="1">
                <wp:simplePos x="0" y="0"/>
                <wp:positionH relativeFrom="column">
                  <wp:posOffset>2442845</wp:posOffset>
                </wp:positionH>
                <wp:positionV relativeFrom="paragraph">
                  <wp:posOffset>309880</wp:posOffset>
                </wp:positionV>
                <wp:extent cx="563245" cy="8255"/>
                <wp:effectExtent l="0" t="31115" r="8255" b="36830"/>
                <wp:wrapNone/>
                <wp:docPr id="37" name="直接连接符 37"/>
                <wp:cNvGraphicFramePr/>
                <a:graphic xmlns:a="http://schemas.openxmlformats.org/drawingml/2006/main">
                  <a:graphicData uri="http://schemas.microsoft.com/office/word/2010/wordprocessingShape">
                    <wps:wsp>
                      <wps:cNvCnPr/>
                      <wps:spPr>
                        <a:xfrm>
                          <a:off x="0" y="0"/>
                          <a:ext cx="563245" cy="825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2.35pt;margin-top:24.4pt;height:0.65pt;width:44.35pt;z-index:251715584;mso-width-relative:page;mso-height-relative:page;" filled="f" stroked="t" coordsize="21600,21600" o:gfxdata="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0/qONoAAAAJAQAADwAAAAAAAAABACAAAAAiAAAAZHJzL2Rv&#10;d25yZXYueG1sUEsBAhQAFAAAAAgAh07iQHaUeeT/AQAA7AMAAA4AAAAAAAAAAQAgAAAAKQEAAGRy&#10;cy9lMm9Eb2MueG1sUEsFBgAAAAAGAAYAWQEAAJoFAAAAAA==&#10;">
                <v:fill on="f" focussize="0,0"/>
                <v:stroke color="#000000" joinstyle="round" endarrow="block"/>
                <v:imagedata o:title=""/>
                <o:lock v:ext="edit" aspectratio="f"/>
              </v:lin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703296" behindDoc="0" locked="0" layoutInCell="1" allowOverlap="1">
                <wp:simplePos x="0" y="0"/>
                <wp:positionH relativeFrom="column">
                  <wp:posOffset>2997200</wp:posOffset>
                </wp:positionH>
                <wp:positionV relativeFrom="paragraph">
                  <wp:posOffset>172085</wp:posOffset>
                </wp:positionV>
                <wp:extent cx="878205" cy="258445"/>
                <wp:effectExtent l="4445" t="4445" r="12700" b="22860"/>
                <wp:wrapNone/>
                <wp:docPr id="36" name="文本框 36"/>
                <wp:cNvGraphicFramePr/>
                <a:graphic xmlns:a="http://schemas.openxmlformats.org/drawingml/2006/main">
                  <a:graphicData uri="http://schemas.microsoft.com/office/word/2010/wordprocessingShape">
                    <wps:wsp>
                      <wps:cNvSpPr txBox="1"/>
                      <wps:spPr>
                        <a:xfrm>
                          <a:off x="0" y="0"/>
                          <a:ext cx="878205" cy="258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C6B33A">
                            <w:pPr>
                              <w:rPr>
                                <w:rFonts w:hint="eastAsia" w:eastAsia="宋体"/>
                                <w:lang w:eastAsia="zh-CN"/>
                              </w:rPr>
                            </w:pPr>
                            <w:r>
                              <w:rPr>
                                <w:rFonts w:hint="eastAsia" w:ascii="宋体" w:hAnsi="宋体" w:cs="宋体"/>
                                <w:sz w:val="21"/>
                                <w:szCs w:val="21"/>
                                <w:lang w:eastAsia="zh-CN"/>
                              </w:rPr>
                              <w:t>污水处理站</w:t>
                            </w:r>
                          </w:p>
                        </w:txbxContent>
                      </wps:txbx>
                      <wps:bodyPr upright="1"/>
                    </wps:wsp>
                  </a:graphicData>
                </a:graphic>
              </wp:anchor>
            </w:drawing>
          </mc:Choice>
          <mc:Fallback>
            <w:pict>
              <v:shape id="_x0000_s1026" o:spid="_x0000_s1026" o:spt="202" type="#_x0000_t202" style="position:absolute;left:0pt;margin-left:236pt;margin-top:13.55pt;height:20.35pt;width:69.15pt;z-index:251703296;mso-width-relative:page;mso-height-relative:page;" fillcolor="#FFFFFF" filled="t" stroked="t" coordsize="21600,21600" o:gfxdata="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QA8VK2QAAAAkBAAAPAAAAAAAAAAEAIAAA&#10;ACIAAABkcnMvZG93bnJldi54bWxQSwECFAAUAAAACACHTuJAX4mOYgsCAAA3BAAADgAAAAAAAAAB&#10;ACAAAAAoAQAAZHJzL2Uyb0RvYy54bWxQSwUGAAAAAAYABgBZAQAApQUAAAAA&#10;">
                <v:fill on="t" focussize="0,0"/>
                <v:stroke color="#000000" joinstyle="miter"/>
                <v:imagedata o:title=""/>
                <o:lock v:ext="edit" aspectratio="f"/>
                <v:textbox>
                  <w:txbxContent>
                    <w:p w14:paraId="04C6B33A">
                      <w:pPr>
                        <w:rPr>
                          <w:rFonts w:hint="eastAsia" w:eastAsia="宋体"/>
                          <w:lang w:eastAsia="zh-CN"/>
                        </w:rPr>
                      </w:pPr>
                      <w:r>
                        <w:rPr>
                          <w:rFonts w:hint="eastAsia" w:ascii="宋体" w:hAnsi="宋体" w:cs="宋体"/>
                          <w:sz w:val="21"/>
                          <w:szCs w:val="21"/>
                          <w:lang w:eastAsia="zh-CN"/>
                        </w:rPr>
                        <w:t>污水处理站</w:t>
                      </w:r>
                    </w:p>
                  </w:txbxContent>
                </v:textbox>
              </v:shape>
            </w:pict>
          </mc:Fallback>
        </mc:AlternateContent>
      </w:r>
      <w:r>
        <w:rPr>
          <w:rFonts w:hint="default" w:ascii="Times New Roman" w:hAnsi="Times New Roman" w:cs="Times New Roman"/>
          <w:b/>
          <w:bCs/>
          <w:color w:val="auto"/>
          <w:sz w:val="28"/>
          <w:szCs w:val="28"/>
          <w:highlight w:val="none"/>
          <w:lang w:val="en-US" w:eastAsia="zh-CN"/>
        </w:rPr>
        <mc:AlternateContent>
          <mc:Choice Requires="wps">
            <w:drawing>
              <wp:anchor distT="0" distB="0" distL="114300" distR="114300" simplePos="0" relativeHeight="251677696" behindDoc="0" locked="0" layoutInCell="1" allowOverlap="1">
                <wp:simplePos x="0" y="0"/>
                <wp:positionH relativeFrom="column">
                  <wp:posOffset>1885315</wp:posOffset>
                </wp:positionH>
                <wp:positionV relativeFrom="paragraph">
                  <wp:posOffset>111760</wp:posOffset>
                </wp:positionV>
                <wp:extent cx="449580" cy="295275"/>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449580" cy="295275"/>
                        </a:xfrm>
                        <a:prstGeom prst="rect">
                          <a:avLst/>
                        </a:prstGeom>
                        <a:noFill/>
                        <a:ln w="9525">
                          <a:noFill/>
                        </a:ln>
                      </wps:spPr>
                      <wps:txbx>
                        <w:txbxContent>
                          <w:p w14:paraId="011CB82C">
                            <w:pPr>
                              <w:rPr>
                                <w:rFonts w:hint="eastAsia" w:eastAsia="宋体"/>
                                <w:lang w:val="en-US" w:eastAsia="zh-CN"/>
                              </w:rPr>
                            </w:pPr>
                            <w:r>
                              <w:rPr>
                                <w:rFonts w:hint="eastAsia"/>
                                <w:lang w:val="en-US" w:eastAsia="zh-CN"/>
                              </w:rPr>
                              <w:t>2.04</w:t>
                            </w:r>
                          </w:p>
                        </w:txbxContent>
                      </wps:txbx>
                      <wps:bodyPr upright="1"/>
                    </wps:wsp>
                  </a:graphicData>
                </a:graphic>
              </wp:anchor>
            </w:drawing>
          </mc:Choice>
          <mc:Fallback>
            <w:pict>
              <v:shape id="_x0000_s1026" o:spid="_x0000_s1026" o:spt="202" type="#_x0000_t202" style="position:absolute;left:0pt;margin-left:148.45pt;margin-top:8.8pt;height:23.25pt;width:35.4pt;z-index:251677696;mso-width-relative:page;mso-height-relative:page;" filled="f" stroked="f" coordsize="21600,21600" o:gfxdata="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cI1QhtYAAAAJAQAADwAAAAAAAAABACAAAAAiAAAAZHJzL2Rvd25yZXYueG1sUEsBAhQAFAAAAAgA&#10;h07iQEdzA/W1AQAAWgMAAA4AAAAAAAAAAQAgAAAAJQEAAGRycy9lMm9Eb2MueG1sUEsFBgAAAAAG&#10;AAYAWQEAAEwFAAAAAA==&#10;">
                <v:fill on="f" focussize="0,0"/>
                <v:stroke on="f"/>
                <v:imagedata o:title=""/>
                <o:lock v:ext="edit" aspectratio="f"/>
                <v:textbox>
                  <w:txbxContent>
                    <w:p w14:paraId="011CB82C">
                      <w:pPr>
                        <w:rPr>
                          <w:rFonts w:hint="eastAsia" w:eastAsia="宋体"/>
                          <w:lang w:val="en-US" w:eastAsia="zh-CN"/>
                        </w:rPr>
                      </w:pPr>
                      <w:r>
                        <w:rPr>
                          <w:rFonts w:hint="eastAsia"/>
                          <w:lang w:val="en-US" w:eastAsia="zh-CN"/>
                        </w:rPr>
                        <w:t>2.04</w:t>
                      </w:r>
                    </w:p>
                  </w:txbxContent>
                </v:textbox>
              </v:shape>
            </w:pict>
          </mc:Fallback>
        </mc:AlternateContent>
      </w:r>
      <w:r>
        <w:rPr>
          <w:rFonts w:hint="eastAsia"/>
          <w:lang w:val="en-US" w:eastAsia="zh-CN"/>
        </w:rPr>
        <mc:AlternateContent>
          <mc:Choice Requires="wps">
            <w:drawing>
              <wp:anchor distT="0" distB="0" distL="114300" distR="114300" simplePos="0" relativeHeight="251737088" behindDoc="0" locked="0" layoutInCell="1" allowOverlap="1">
                <wp:simplePos x="0" y="0"/>
                <wp:positionH relativeFrom="column">
                  <wp:posOffset>780415</wp:posOffset>
                </wp:positionH>
                <wp:positionV relativeFrom="paragraph">
                  <wp:posOffset>102235</wp:posOffset>
                </wp:positionV>
                <wp:extent cx="449580" cy="295275"/>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449580" cy="295275"/>
                        </a:xfrm>
                        <a:prstGeom prst="rect">
                          <a:avLst/>
                        </a:prstGeom>
                        <a:noFill/>
                        <a:ln w="9525">
                          <a:noFill/>
                        </a:ln>
                      </wps:spPr>
                      <wps:txbx>
                        <w:txbxContent>
                          <w:p w14:paraId="1690A90E">
                            <w:pPr>
                              <w:rPr>
                                <w:rFonts w:hint="eastAsia" w:eastAsia="宋体"/>
                                <w:lang w:val="en-US" w:eastAsia="zh-CN"/>
                              </w:rPr>
                            </w:pPr>
                            <w:r>
                              <w:rPr>
                                <w:rFonts w:hint="eastAsia"/>
                                <w:lang w:val="en-US" w:eastAsia="zh-CN"/>
                              </w:rPr>
                              <w:t>2.4</w:t>
                            </w:r>
                          </w:p>
                        </w:txbxContent>
                      </wps:txbx>
                      <wps:bodyPr upright="1"/>
                    </wps:wsp>
                  </a:graphicData>
                </a:graphic>
              </wp:anchor>
            </w:drawing>
          </mc:Choice>
          <mc:Fallback>
            <w:pict>
              <v:shape id="_x0000_s1026" o:spid="_x0000_s1026" o:spt="202" type="#_x0000_t202" style="position:absolute;left:0pt;margin-left:61.45pt;margin-top:8.05pt;height:23.25pt;width:35.4pt;z-index:251737088;mso-width-relative:page;mso-height-relative:page;" filled="f" stroked="f" coordsize="21600,21600" o:gfxdata="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JsVJtYAAAAJAQAADwAAAAAAAAABACAAAAAiAAAAZHJzL2Rvd25yZXYueG1sUEsBAhQAFAAAAAgA&#10;h07iQP6goqa1AQAAWgMAAA4AAAAAAAAAAQAgAAAAJQEAAGRycy9lMm9Eb2MueG1sUEsFBgAAAAAG&#10;AAYAWQEAAEwFAAAAAA==&#10;">
                <v:fill on="f" focussize="0,0"/>
                <v:stroke on="f"/>
                <v:imagedata o:title=""/>
                <o:lock v:ext="edit" aspectratio="f"/>
                <v:textbox>
                  <w:txbxContent>
                    <w:p w14:paraId="1690A90E">
                      <w:pPr>
                        <w:rPr>
                          <w:rFonts w:hint="eastAsia" w:eastAsia="宋体"/>
                          <w:lang w:val="en-US" w:eastAsia="zh-CN"/>
                        </w:rPr>
                      </w:pPr>
                      <w:r>
                        <w:rPr>
                          <w:rFonts w:hint="eastAsia"/>
                          <w:lang w:val="en-US" w:eastAsia="zh-CN"/>
                        </w:rPr>
                        <w:t>2.4</w:t>
                      </w:r>
                    </w:p>
                  </w:txbxContent>
                </v:textbox>
              </v:shape>
            </w:pict>
          </mc:Fallback>
        </mc:AlternateContent>
      </w:r>
      <w:r>
        <w:rPr>
          <w:rFonts w:hint="eastAsia"/>
          <w:lang w:val="en-US" w:eastAsia="zh-CN"/>
        </w:rPr>
        <mc:AlternateContent>
          <mc:Choice Requires="wps">
            <w:drawing>
              <wp:anchor distT="0" distB="0" distL="114300" distR="114300" simplePos="0" relativeHeight="251737088" behindDoc="0" locked="0" layoutInCell="1" allowOverlap="1">
                <wp:simplePos x="0" y="0"/>
                <wp:positionH relativeFrom="column">
                  <wp:posOffset>1392555</wp:posOffset>
                </wp:positionH>
                <wp:positionV relativeFrom="paragraph">
                  <wp:posOffset>97790</wp:posOffset>
                </wp:positionV>
                <wp:extent cx="161925" cy="116205"/>
                <wp:effectExtent l="3810" t="3175" r="5715" b="13970"/>
                <wp:wrapNone/>
                <wp:docPr id="128" name="任意多边形 128"/>
                <wp:cNvGraphicFramePr/>
                <a:graphic xmlns:a="http://schemas.openxmlformats.org/drawingml/2006/main">
                  <a:graphicData uri="http://schemas.microsoft.com/office/word/2010/wordprocessingShape">
                    <wps:wsp>
                      <wps:cNvSpPr/>
                      <wps:spPr>
                        <a:xfrm>
                          <a:off x="0" y="0"/>
                          <a:ext cx="161925" cy="116205"/>
                        </a:xfrm>
                        <a:custGeom>
                          <a:avLst/>
                          <a:gdLst/>
                          <a:ahLst/>
                          <a:cxnLst/>
                          <a:pathLst>
                            <a:path w="268" h="312">
                              <a:moveTo>
                                <a:pt x="0" y="312"/>
                              </a:moveTo>
                              <a:cubicBezTo>
                                <a:pt x="38" y="218"/>
                                <a:pt x="76" y="124"/>
                                <a:pt x="101" y="110"/>
                              </a:cubicBezTo>
                              <a:cubicBezTo>
                                <a:pt x="126" y="96"/>
                                <a:pt x="123" y="246"/>
                                <a:pt x="151" y="228"/>
                              </a:cubicBezTo>
                              <a:cubicBezTo>
                                <a:pt x="179" y="210"/>
                                <a:pt x="249" y="38"/>
                                <a:pt x="268" y="0"/>
                              </a:cubicBez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09.65pt;margin-top:7.7pt;height:9.15pt;width:12.75pt;z-index:251737088;mso-width-relative:page;mso-height-relative:page;" filled="f" stroked="t" coordsize="268,312" o:gfxdata="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DfJWlvYAAAACQEAAA8AAAAA&#10;AAAAAQAgAAAAIgAAAGRycy9kb3ducmV2LnhtbFBLAQIUABQAAAAIAIdO4kAXd3fuhgIAAIwFAAAO&#10;AAAAAAAAAAEAIAAAACcBAABkcnMvZTJvRG9jLnhtbFBLBQYAAAAABgAGAFkBAAAfBgAAAAA=&#10;" path="m0,312c38,218,76,124,101,110c126,96,123,246,151,228c179,210,249,38,268,0e">
                <v:fill on="f" focussize="0,0"/>
                <v:stroke color="#000000" joinstyle="round"/>
                <v:imagedata o:title=""/>
                <o:lock v:ext="edit" aspectratio="f"/>
              </v:shape>
            </w:pict>
          </mc:Fallback>
        </mc:AlternateContent>
      </w:r>
      <w:r>
        <w:rPr>
          <w:rFonts w:hint="eastAsia"/>
          <w:lang w:val="en-US" w:eastAsia="zh-CN"/>
        </w:rPr>
        <mc:AlternateContent>
          <mc:Choice Requires="wps">
            <w:drawing>
              <wp:anchor distT="0" distB="0" distL="114300" distR="114300" simplePos="0" relativeHeight="251737088" behindDoc="0" locked="0" layoutInCell="1" allowOverlap="1">
                <wp:simplePos x="0" y="0"/>
                <wp:positionH relativeFrom="column">
                  <wp:posOffset>1840230</wp:posOffset>
                </wp:positionH>
                <wp:positionV relativeFrom="paragraph">
                  <wp:posOffset>349885</wp:posOffset>
                </wp:positionV>
                <wp:extent cx="552450" cy="2540"/>
                <wp:effectExtent l="0" t="36195" r="0" b="37465"/>
                <wp:wrapNone/>
                <wp:docPr id="127" name="直接箭头连接符 127"/>
                <wp:cNvGraphicFramePr/>
                <a:graphic xmlns:a="http://schemas.openxmlformats.org/drawingml/2006/main">
                  <a:graphicData uri="http://schemas.microsoft.com/office/word/2010/wordprocessingShape">
                    <wps:wsp>
                      <wps:cNvCnPr/>
                      <wps:spPr>
                        <a:xfrm>
                          <a:off x="0" y="0"/>
                          <a:ext cx="552450" cy="25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4.9pt;margin-top:27.55pt;height:0.2pt;width:43.5pt;z-index:251737088;mso-width-relative:page;mso-height-relative:page;" filled="f" stroked="t" coordsize="21600,21600" o:gfxdata="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DIPqFdkAAAAJAQAADwAAAAAAAAABACAAAAAi&#10;AAAAZHJzL2Rvd25yZXYueG1sUEsBAhQAFAAAAAgAh07iQBzThXsJAgAA9gMAAA4AAAAAAAAAAQAg&#10;AAAAKAEAAGRycy9lMm9Eb2MueG1sUEsFBgAAAAAGAAYAWQEAAKMFAAAAAA==&#10;">
                <v:fill on="f" focussize="0,0"/>
                <v:stroke color="#000000" joinstyle="round" endarrow="block"/>
                <v:imagedata o:title=""/>
                <o:lock v:ext="edit" aspectratio="f"/>
              </v:shape>
            </w:pict>
          </mc:Fallback>
        </mc:AlternateContent>
      </w:r>
      <w:r>
        <w:rPr>
          <w:rFonts w:hint="eastAsia"/>
          <w:lang w:val="en-US" w:eastAsia="zh-CN"/>
        </w:rPr>
        <mc:AlternateContent>
          <mc:Choice Requires="wps">
            <w:drawing>
              <wp:anchor distT="0" distB="0" distL="114300" distR="114300" simplePos="0" relativeHeight="251737088" behindDoc="0" locked="0" layoutInCell="1" allowOverlap="1">
                <wp:simplePos x="0" y="0"/>
                <wp:positionH relativeFrom="column">
                  <wp:posOffset>1350645</wp:posOffset>
                </wp:positionH>
                <wp:positionV relativeFrom="paragraph">
                  <wp:posOffset>220345</wp:posOffset>
                </wp:positionV>
                <wp:extent cx="490855" cy="276225"/>
                <wp:effectExtent l="4445" t="4445" r="19050" b="5080"/>
                <wp:wrapNone/>
                <wp:docPr id="126" name="文本框 126"/>
                <wp:cNvGraphicFramePr/>
                <a:graphic xmlns:a="http://schemas.openxmlformats.org/drawingml/2006/main">
                  <a:graphicData uri="http://schemas.microsoft.com/office/word/2010/wordprocessingShape">
                    <wps:wsp>
                      <wps:cNvSpPr txBox="1"/>
                      <wps:spPr>
                        <a:xfrm>
                          <a:off x="0" y="0"/>
                          <a:ext cx="490855" cy="2762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AC14521">
                            <w:pPr>
                              <w:jc w:val="both"/>
                              <w:rPr>
                                <w:rFonts w:hint="eastAsia" w:eastAsia="宋体"/>
                                <w:lang w:eastAsia="zh-CN"/>
                              </w:rPr>
                            </w:pPr>
                            <w:r>
                              <w:rPr>
                                <w:rFonts w:hint="eastAsia"/>
                                <w:lang w:eastAsia="zh-CN"/>
                              </w:rPr>
                              <w:t>药浴</w:t>
                            </w:r>
                          </w:p>
                        </w:txbxContent>
                      </wps:txbx>
                      <wps:bodyPr upright="1"/>
                    </wps:wsp>
                  </a:graphicData>
                </a:graphic>
              </wp:anchor>
            </w:drawing>
          </mc:Choice>
          <mc:Fallback>
            <w:pict>
              <v:shape id="_x0000_s1026" o:spid="_x0000_s1026" o:spt="202" type="#_x0000_t202" style="position:absolute;left:0pt;margin-left:106.35pt;margin-top:17.35pt;height:21.75pt;width:38.65pt;z-index:251737088;mso-width-relative:page;mso-height-relative:page;" fillcolor="#FFFFFF" filled="t" stroked="t" coordsize="21600,21600" o:gfxdata="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cQyH2QAAAAkBAAAPAAAAAAAAAAEAIAAA&#10;ACIAAABkcnMvZG93bnJldi54bWxQSwECFAAUAAAACACHTuJAY+is0AsCAAA5BAAADgAAAAAAAAAB&#10;ACAAAAAoAQAAZHJzL2Uyb0RvYy54bWxQSwUGAAAAAAYABgBZAQAApQUAAAAA&#10;">
                <v:fill on="t" focussize="0,0"/>
                <v:stroke color="#000000" joinstyle="miter"/>
                <v:imagedata o:title=""/>
                <o:lock v:ext="edit" aspectratio="f"/>
                <v:textbox>
                  <w:txbxContent>
                    <w:p w14:paraId="1AC14521">
                      <w:pPr>
                        <w:jc w:val="both"/>
                        <w:rPr>
                          <w:rFonts w:hint="eastAsia" w:eastAsia="宋体"/>
                          <w:lang w:eastAsia="zh-CN"/>
                        </w:rPr>
                      </w:pPr>
                      <w:r>
                        <w:rPr>
                          <w:rFonts w:hint="eastAsia"/>
                          <w:lang w:eastAsia="zh-CN"/>
                        </w:rPr>
                        <w:t>药浴</w:t>
                      </w:r>
                    </w:p>
                  </w:txbxContent>
                </v:textbox>
              </v:shape>
            </w:pict>
          </mc:Fallback>
        </mc:AlternateContent>
      </w:r>
      <w:r>
        <w:rPr>
          <w:color w:val="auto"/>
          <w:sz w:val="21"/>
          <w:highlight w:val="none"/>
        </w:rPr>
        <mc:AlternateContent>
          <mc:Choice Requires="wps">
            <w:drawing>
              <wp:anchor distT="0" distB="0" distL="114300" distR="114300" simplePos="0" relativeHeight="251714560" behindDoc="0" locked="0" layoutInCell="1" allowOverlap="1">
                <wp:simplePos x="0" y="0"/>
                <wp:positionH relativeFrom="column">
                  <wp:posOffset>2400935</wp:posOffset>
                </wp:positionH>
                <wp:positionV relativeFrom="paragraph">
                  <wp:posOffset>-247015</wp:posOffset>
                </wp:positionV>
                <wp:extent cx="1270" cy="1313180"/>
                <wp:effectExtent l="0" t="0" r="0" b="0"/>
                <wp:wrapNone/>
                <wp:docPr id="21" name="直接连接符 21"/>
                <wp:cNvGraphicFramePr/>
                <a:graphic xmlns:a="http://schemas.openxmlformats.org/drawingml/2006/main">
                  <a:graphicData uri="http://schemas.microsoft.com/office/word/2010/wordprocessingShape">
                    <wps:wsp>
                      <wps:cNvCnPr/>
                      <wps:spPr>
                        <a:xfrm flipH="1">
                          <a:off x="0" y="0"/>
                          <a:ext cx="1270" cy="13131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189.05pt;margin-top:-19.45pt;height:103.4pt;width:0.1pt;z-index:251714560;mso-width-relative:page;mso-height-relative:page;" filled="f" stroked="t" coordsize="21600,21600" o:gfxdata="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uEv9NgAAAALAQAADwAAAAAAAAABACAAAAAiAAAAZHJzL2Rv&#10;d25yZXYueG1sUEsBAhQAFAAAAAgAh07iQAIRTg0BAgAA8wMAAA4AAAAAAAAAAQAgAAAAJwEAAGRy&#10;cy9lMm9Eb2MueG1sUEsFBgAAAAAGAAYAWQEAAJoFAAAAAA==&#10;">
                <v:fill on="f" focussize="0,0"/>
                <v:stroke color="#000000" joinstyle="round"/>
                <v:imagedata o:title=""/>
                <o:lock v:ext="edit" aspectratio="f"/>
              </v:lin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737870</wp:posOffset>
                </wp:positionH>
                <wp:positionV relativeFrom="paragraph">
                  <wp:posOffset>351790</wp:posOffset>
                </wp:positionV>
                <wp:extent cx="612775" cy="6985"/>
                <wp:effectExtent l="0" t="31750" r="15875" b="37465"/>
                <wp:wrapNone/>
                <wp:docPr id="22" name="直接箭头连接符 22"/>
                <wp:cNvGraphicFramePr/>
                <a:graphic xmlns:a="http://schemas.openxmlformats.org/drawingml/2006/main">
                  <a:graphicData uri="http://schemas.microsoft.com/office/word/2010/wordprocessingShape">
                    <wps:wsp>
                      <wps:cNvCnPr>
                        <a:endCxn id="126" idx="1"/>
                      </wps:cNvCnPr>
                      <wps:spPr>
                        <a:xfrm>
                          <a:off x="0" y="0"/>
                          <a:ext cx="612775" cy="698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58.1pt;margin-top:27.7pt;height:0.55pt;width:48.25pt;z-index:251684864;mso-width-relative:page;mso-height-relative:page;" filled="f" stroked="t" coordsize="21600,21600" o:gfxdata="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X3KIPtkAAAAJ&#10;AQAADwAAAAAAAAABACAAAAAiAAAAZHJzL2Rvd25yZXYueG1sUEsBAhQAFAAAAAgAh07iQD5Lyxsb&#10;AgAAHQQAAA4AAAAAAAAAAQAgAAAAKAEAAGRycy9lMm9Eb2MueG1sUEsFBgAAAAAGAAYAWQEAALUF&#10;AAAAAA==&#10;">
                <v:fill on="f" focussize="0,0"/>
                <v:stroke color="#000000" joinstyle="round" endarrow="block"/>
                <v:imagedata o:title=""/>
                <o:lock v:ext="edit" aspectratio="f"/>
              </v:shape>
            </w:pict>
          </mc:Fallback>
        </mc:AlternateContent>
      </w:r>
      <w:r>
        <w:rPr>
          <w:rFonts w:hint="default" w:ascii="Times New Roman" w:hAnsi="Times New Roman" w:cs="Times New Roman"/>
          <w:b/>
          <w:bCs/>
          <w:color w:val="auto"/>
          <w:sz w:val="28"/>
          <w:szCs w:val="28"/>
          <w:highlight w:val="none"/>
        </w:rPr>
        <w:tab/>
      </w:r>
    </w:p>
    <w:p w14:paraId="369A6F34">
      <w:pPr>
        <w:spacing w:line="360" w:lineRule="auto"/>
        <w:rPr>
          <w:rFonts w:hint="default" w:ascii="Times New Roman" w:hAnsi="Times New Roman" w:cs="Times New Roman"/>
          <w:b/>
          <w:bCs/>
          <w:color w:val="auto"/>
          <w:sz w:val="28"/>
          <w:szCs w:val="28"/>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4024630</wp:posOffset>
                </wp:positionH>
                <wp:positionV relativeFrom="paragraph">
                  <wp:posOffset>356870</wp:posOffset>
                </wp:positionV>
                <wp:extent cx="509270" cy="268605"/>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509270" cy="268605"/>
                        </a:xfrm>
                        <a:prstGeom prst="rect">
                          <a:avLst/>
                        </a:prstGeom>
                        <a:noFill/>
                        <a:ln w="9525">
                          <a:noFill/>
                        </a:ln>
                      </wps:spPr>
                      <wps:txbx>
                        <w:txbxContent>
                          <w:p w14:paraId="582D9BEF">
                            <w:pPr>
                              <w:rPr>
                                <w:rFonts w:hint="eastAsia" w:eastAsia="宋体"/>
                                <w:lang w:val="en-US" w:eastAsia="zh-CN"/>
                              </w:rPr>
                            </w:pPr>
                            <w:r>
                              <w:rPr>
                                <w:rFonts w:hint="eastAsia"/>
                                <w:lang w:val="en-US" w:eastAsia="zh-CN"/>
                              </w:rPr>
                              <w:t>17.68</w:t>
                            </w:r>
                          </w:p>
                        </w:txbxContent>
                      </wps:txbx>
                      <wps:bodyPr upright="1"/>
                    </wps:wsp>
                  </a:graphicData>
                </a:graphic>
              </wp:anchor>
            </w:drawing>
          </mc:Choice>
          <mc:Fallback>
            <w:pict>
              <v:shape id="_x0000_s1026" o:spid="_x0000_s1026" o:spt="202" type="#_x0000_t202" style="position:absolute;left:0pt;margin-left:316.9pt;margin-top:28.1pt;height:21.15pt;width:40.1pt;z-index:251684864;mso-width-relative:page;mso-height-relative:page;" filled="f" stroked="f" coordsize="21600,21600" o:gfxdata="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cMzhj1wAAAAkBAAAPAAAAAAAAAAEAIAAAACIAAABkcnMvZG93bnJldi54bWxQSwECFAAUAAAA&#10;CACHTuJA2GxYxLYBAABYAwAADgAAAAAAAAABACAAAAAmAQAAZHJzL2Uyb0RvYy54bWxQSwUGAAAA&#10;AAYABgBZAQAATgUAAAAA&#10;">
                <v:fill on="f" focussize="0,0"/>
                <v:stroke on="f"/>
                <v:imagedata o:title=""/>
                <o:lock v:ext="edit" aspectratio="f"/>
                <v:textbox>
                  <w:txbxContent>
                    <w:p w14:paraId="582D9BEF">
                      <w:pPr>
                        <w:rPr>
                          <w:rFonts w:hint="eastAsia" w:eastAsia="宋体"/>
                          <w:lang w:val="en-US" w:eastAsia="zh-CN"/>
                        </w:rPr>
                      </w:pPr>
                      <w:r>
                        <w:rPr>
                          <w:rFonts w:hint="eastAsia"/>
                          <w:lang w:val="en-US" w:eastAsia="zh-CN"/>
                        </w:rPr>
                        <w:t>17.68</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5888" behindDoc="0" locked="0" layoutInCell="1" allowOverlap="1">
                <wp:simplePos x="0" y="0"/>
                <wp:positionH relativeFrom="column">
                  <wp:posOffset>1898015</wp:posOffset>
                </wp:positionH>
                <wp:positionV relativeFrom="paragraph">
                  <wp:posOffset>322580</wp:posOffset>
                </wp:positionV>
                <wp:extent cx="445770" cy="2794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445770" cy="279400"/>
                        </a:xfrm>
                        <a:prstGeom prst="rect">
                          <a:avLst/>
                        </a:prstGeom>
                        <a:noFill/>
                        <a:ln w="9525">
                          <a:noFill/>
                        </a:ln>
                      </wps:spPr>
                      <wps:txbx>
                        <w:txbxContent>
                          <w:p w14:paraId="4A28FB46">
                            <w:pPr>
                              <w:rPr>
                                <w:rFonts w:hint="eastAsia" w:eastAsia="宋体"/>
                                <w:lang w:val="en-US" w:eastAsia="zh-CN"/>
                              </w:rPr>
                            </w:pPr>
                            <w:r>
                              <w:rPr>
                                <w:rFonts w:hint="eastAsia"/>
                                <w:lang w:val="en-US" w:eastAsia="zh-CN"/>
                              </w:rPr>
                              <w:t>0.68</w:t>
                            </w:r>
                          </w:p>
                        </w:txbxContent>
                      </wps:txbx>
                      <wps:bodyPr upright="1"/>
                    </wps:wsp>
                  </a:graphicData>
                </a:graphic>
              </wp:anchor>
            </w:drawing>
          </mc:Choice>
          <mc:Fallback>
            <w:pict>
              <v:shape id="_x0000_s1026" o:spid="_x0000_s1026" o:spt="202" type="#_x0000_t202" style="position:absolute;left:0pt;margin-left:149.45pt;margin-top:25.4pt;height:22pt;width:35.1pt;z-index:251685888;mso-width-relative:page;mso-height-relative:page;" filled="f" stroked="f" coordsize="21600,21600" o:gfxdata="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pWt4V1wAAAAkBAAAPAAAAAAAAAAEAIAAAACIAAABkcnMvZG93bnJldi54bWxQSwECFAAUAAAA&#10;CACHTuJABVDXqLYBAABYAwAADgAAAAAAAAABACAAAAAmAQAAZHJzL2Uyb0RvYy54bWxQSwUGAAAA&#10;AAYABgBZAQAATgUAAAAA&#10;">
                <v:fill on="f" focussize="0,0"/>
                <v:stroke on="f"/>
                <v:imagedata o:title=""/>
                <o:lock v:ext="edit" aspectratio="f"/>
                <v:textbox>
                  <w:txbxContent>
                    <w:p w14:paraId="4A28FB46">
                      <w:pPr>
                        <w:rPr>
                          <w:rFonts w:hint="eastAsia" w:eastAsia="宋体"/>
                          <w:lang w:val="en-US" w:eastAsia="zh-CN"/>
                        </w:rPr>
                      </w:pPr>
                      <w:r>
                        <w:rPr>
                          <w:rFonts w:hint="eastAsia"/>
                          <w:lang w:val="en-US" w:eastAsia="zh-CN"/>
                        </w:rPr>
                        <w:t>0.68</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5888" behindDoc="0" locked="0" layoutInCell="1" allowOverlap="1">
                <wp:simplePos x="0" y="0"/>
                <wp:positionH relativeFrom="column">
                  <wp:posOffset>1455420</wp:posOffset>
                </wp:positionH>
                <wp:positionV relativeFrom="paragraph">
                  <wp:posOffset>103505</wp:posOffset>
                </wp:positionV>
                <wp:extent cx="522605" cy="277495"/>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522605" cy="277495"/>
                        </a:xfrm>
                        <a:prstGeom prst="rect">
                          <a:avLst/>
                        </a:prstGeom>
                        <a:noFill/>
                        <a:ln w="9525">
                          <a:noFill/>
                        </a:ln>
                      </wps:spPr>
                      <wps:txbx>
                        <w:txbxContent>
                          <w:p w14:paraId="30C231BB">
                            <w:pPr>
                              <w:rPr>
                                <w:rFonts w:hint="eastAsia" w:eastAsia="宋体"/>
                                <w:lang w:val="en-US" w:eastAsia="zh-CN"/>
                              </w:rPr>
                            </w:pPr>
                            <w:r>
                              <w:rPr>
                                <w:rFonts w:hint="eastAsia"/>
                                <w:lang w:val="en-US" w:eastAsia="zh-CN"/>
                              </w:rPr>
                              <w:t>0.12</w:t>
                            </w:r>
                          </w:p>
                        </w:txbxContent>
                      </wps:txbx>
                      <wps:bodyPr upright="1"/>
                    </wps:wsp>
                  </a:graphicData>
                </a:graphic>
              </wp:anchor>
            </w:drawing>
          </mc:Choice>
          <mc:Fallback>
            <w:pict>
              <v:shape id="_x0000_s1026" o:spid="_x0000_s1026" o:spt="202" type="#_x0000_t202" style="position:absolute;left:0pt;margin-left:114.6pt;margin-top:8.15pt;height:21.85pt;width:41.15pt;z-index:251685888;mso-width-relative:page;mso-height-relative:page;" filled="f" stroked="f" coordsize="21600,21600" o:gfxdata="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EORfk1wAAAAkBAAAPAAAAAAAAAAEAIAAAACIAAABkcnMvZG93bnJldi54bWxQSwECFAAUAAAA&#10;CACHTuJAZDjs5LYBAABYAwAADgAAAAAAAAABACAAAAAmAQAAZHJzL2Uyb0RvYy54bWxQSwUGAAAA&#10;AAYABgBZAQAATgUAAAAA&#10;">
                <v:fill on="f" focussize="0,0"/>
                <v:stroke on="f"/>
                <v:imagedata o:title=""/>
                <o:lock v:ext="edit" aspectratio="f"/>
                <v:textbox>
                  <w:txbxContent>
                    <w:p w14:paraId="30C231BB">
                      <w:pPr>
                        <w:rPr>
                          <w:rFonts w:hint="eastAsia" w:eastAsia="宋体"/>
                          <w:lang w:val="en-US" w:eastAsia="zh-CN"/>
                        </w:rPr>
                      </w:pPr>
                      <w:r>
                        <w:rPr>
                          <w:rFonts w:hint="eastAsia"/>
                          <w:lang w:val="en-US" w:eastAsia="zh-CN"/>
                        </w:rPr>
                        <w:t>0.12</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5162550</wp:posOffset>
                </wp:positionH>
                <wp:positionV relativeFrom="paragraph">
                  <wp:posOffset>374650</wp:posOffset>
                </wp:positionV>
                <wp:extent cx="371475" cy="1571625"/>
                <wp:effectExtent l="4445" t="4445" r="5080" b="5080"/>
                <wp:wrapNone/>
                <wp:docPr id="25" name="文本框 25"/>
                <wp:cNvGraphicFramePr/>
                <a:graphic xmlns:a="http://schemas.openxmlformats.org/drawingml/2006/main">
                  <a:graphicData uri="http://schemas.microsoft.com/office/word/2010/wordprocessingShape">
                    <wps:wsp>
                      <wps:cNvSpPr txBox="1"/>
                      <wps:spPr>
                        <a:xfrm>
                          <a:off x="0" y="0"/>
                          <a:ext cx="371475" cy="15716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A3AE47"/>
                          <w:p w14:paraId="5253B84D">
                            <w:r>
                              <w:rPr>
                                <w:rFonts w:hint="eastAsia" w:cs="宋体"/>
                              </w:rPr>
                              <w:t>城市污水管网</w:t>
                            </w:r>
                          </w:p>
                        </w:txbxContent>
                      </wps:txbx>
                      <wps:bodyPr upright="1"/>
                    </wps:wsp>
                  </a:graphicData>
                </a:graphic>
              </wp:anchor>
            </w:drawing>
          </mc:Choice>
          <mc:Fallback>
            <w:pict>
              <v:shape id="_x0000_s1026" o:spid="_x0000_s1026" o:spt="202" type="#_x0000_t202" style="position:absolute;left:0pt;margin-left:406.5pt;margin-top:29.5pt;height:123.75pt;width:29.25pt;z-index:251684864;mso-width-relative:page;mso-height-relative:page;" fillcolor="#FFFFFF" filled="t" stroked="t" coordsize="21600,21600" o:gfxdata="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BXVKjaAAAACgEAAA8AAAAAAAAAAQAg&#10;AAAAIgAAAGRycy9kb3ducmV2LnhtbFBLAQIUABQAAAAIAIdO4kDwa6IRDAIAADgEAAAOAAAAAAAA&#10;AAEAIAAAACkBAABkcnMvZTJvRG9jLnhtbFBLBQYAAAAABgAGAFkBAACnBQAAAAA=&#10;">
                <v:fill on="t" focussize="0,0"/>
                <v:stroke color="#000000" joinstyle="miter"/>
                <v:imagedata o:title=""/>
                <o:lock v:ext="edit" aspectratio="f"/>
                <v:textbox>
                  <w:txbxContent>
                    <w:p w14:paraId="79A3AE47"/>
                    <w:p w14:paraId="5253B84D">
                      <w:r>
                        <w:rPr>
                          <w:rFonts w:hint="eastAsia" w:cs="宋体"/>
                        </w:rPr>
                        <w:t>城市污水管网</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5888" behindDoc="0" locked="0" layoutInCell="1" allowOverlap="1">
                <wp:simplePos x="0" y="0"/>
                <wp:positionH relativeFrom="column">
                  <wp:posOffset>775970</wp:posOffset>
                </wp:positionH>
                <wp:positionV relativeFrom="paragraph">
                  <wp:posOffset>327025</wp:posOffset>
                </wp:positionV>
                <wp:extent cx="504825" cy="295275"/>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504825" cy="295275"/>
                        </a:xfrm>
                        <a:prstGeom prst="rect">
                          <a:avLst/>
                        </a:prstGeom>
                        <a:noFill/>
                        <a:ln w="9525">
                          <a:noFill/>
                        </a:ln>
                      </wps:spPr>
                      <wps:txbx>
                        <w:txbxContent>
                          <w:p w14:paraId="66A12ED4">
                            <w:pPr>
                              <w:rPr>
                                <w:rFonts w:hint="eastAsia" w:eastAsia="宋体"/>
                                <w:lang w:val="en-US" w:eastAsia="zh-CN"/>
                              </w:rPr>
                            </w:pPr>
                            <w:r>
                              <w:rPr>
                                <w:rFonts w:hint="eastAsia"/>
                                <w:lang w:val="en-US" w:eastAsia="zh-CN"/>
                              </w:rPr>
                              <w:t>0.8</w:t>
                            </w:r>
                          </w:p>
                        </w:txbxContent>
                      </wps:txbx>
                      <wps:bodyPr upright="1"/>
                    </wps:wsp>
                  </a:graphicData>
                </a:graphic>
              </wp:anchor>
            </w:drawing>
          </mc:Choice>
          <mc:Fallback>
            <w:pict>
              <v:shape id="_x0000_s1026" o:spid="_x0000_s1026" o:spt="202" type="#_x0000_t202" style="position:absolute;left:0pt;margin-left:61.1pt;margin-top:25.75pt;height:23.25pt;width:39.75pt;z-index:251685888;mso-width-relative:page;mso-height-relative:page;" filled="f" stroked="f" coordsize="21600,21600" o:gfxdata="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z1CidYAAAAJAQAADwAAAAAAAAABACAAAAAiAAAAZHJzL2Rvd25yZXYueG1sUEsBAhQAFAAAAAgA&#10;h07iQM+UIhG1AQAAWAMAAA4AAAAAAAAAAQAgAAAAJQEAAGRycy9lMm9Eb2MueG1sUEsFBgAAAAAG&#10;AAYAWQEAAEwFAAAAAA==&#10;">
                <v:fill on="f" focussize="0,0"/>
                <v:stroke on="f"/>
                <v:imagedata o:title=""/>
                <o:lock v:ext="edit" aspectratio="f"/>
                <v:textbox>
                  <w:txbxContent>
                    <w:p w14:paraId="66A12ED4">
                      <w:pPr>
                        <w:rPr>
                          <w:rFonts w:hint="eastAsia" w:eastAsia="宋体"/>
                          <w:lang w:val="en-US" w:eastAsia="zh-CN"/>
                        </w:rPr>
                      </w:pPr>
                      <w:r>
                        <w:rPr>
                          <w:rFonts w:hint="eastAsia"/>
                          <w:lang w:val="en-US" w:eastAsia="zh-CN"/>
                        </w:rPr>
                        <w:t>0.8</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5888" behindDoc="0" locked="0" layoutInCell="1" allowOverlap="1">
                <wp:simplePos x="0" y="0"/>
                <wp:positionH relativeFrom="column">
                  <wp:posOffset>1396365</wp:posOffset>
                </wp:positionH>
                <wp:positionV relativeFrom="paragraph">
                  <wp:posOffset>325120</wp:posOffset>
                </wp:positionV>
                <wp:extent cx="161925" cy="116205"/>
                <wp:effectExtent l="3810" t="3175" r="5715" b="13970"/>
                <wp:wrapNone/>
                <wp:docPr id="28" name="任意多边形 28"/>
                <wp:cNvGraphicFramePr/>
                <a:graphic xmlns:a="http://schemas.openxmlformats.org/drawingml/2006/main">
                  <a:graphicData uri="http://schemas.microsoft.com/office/word/2010/wordprocessingShape">
                    <wps:wsp>
                      <wps:cNvSpPr/>
                      <wps:spPr>
                        <a:xfrm>
                          <a:off x="0" y="0"/>
                          <a:ext cx="161925" cy="116205"/>
                        </a:xfrm>
                        <a:custGeom>
                          <a:avLst/>
                          <a:gdLst/>
                          <a:ahLst/>
                          <a:cxnLst/>
                          <a:pathLst>
                            <a:path w="268" h="312">
                              <a:moveTo>
                                <a:pt x="0" y="312"/>
                              </a:moveTo>
                              <a:cubicBezTo>
                                <a:pt x="38" y="218"/>
                                <a:pt x="76" y="124"/>
                                <a:pt x="101" y="110"/>
                              </a:cubicBezTo>
                              <a:cubicBezTo>
                                <a:pt x="126" y="96"/>
                                <a:pt x="123" y="246"/>
                                <a:pt x="151" y="228"/>
                              </a:cubicBezTo>
                              <a:cubicBezTo>
                                <a:pt x="179" y="210"/>
                                <a:pt x="249" y="38"/>
                                <a:pt x="268" y="0"/>
                              </a:cubicBez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09.95pt;margin-top:25.6pt;height:9.15pt;width:12.75pt;z-index:251685888;mso-width-relative:page;mso-height-relative:page;" filled="f" stroked="t" coordsize="268,312" o:gfxdata="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SQe112AAAAAkBAAAPAAAAAAAA&#10;AAEAIAAAACIAAABkcnMvZG93bnJldi54bWxQSwECFAAUAAAACACHTuJA1bR+NoQCAACKBQAADgAA&#10;AAAAAAABACAAAAAnAQAAZHJzL2Uyb0RvYy54bWxQSwUGAAAAAAYABgBZAQAAHQYAAAAA&#10;" path="m0,312c38,218,76,124,101,110c126,96,123,246,151,228c179,210,249,38,268,0e">
                <v:fill on="f" focussize="0,0"/>
                <v:stroke color="#000000" joinstyle="round"/>
                <v:imagedata o:title=""/>
                <o:lock v:ext="edit" aspectratio="f"/>
              </v:shape>
            </w:pict>
          </mc:Fallback>
        </mc:AlternateContent>
      </w:r>
    </w:p>
    <w:p w14:paraId="3F51F7E1">
      <w:pPr>
        <w:spacing w:line="360" w:lineRule="auto"/>
        <w:rPr>
          <w:rFonts w:hint="default" w:ascii="Times New Roman" w:hAnsi="Times New Roman" w:cs="Times New Roman"/>
          <w:b/>
          <w:bCs/>
          <w:color w:val="auto"/>
          <w:sz w:val="28"/>
          <w:szCs w:val="28"/>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685888" behindDoc="0" locked="0" layoutInCell="1" allowOverlap="1">
                <wp:simplePos x="0" y="0"/>
                <wp:positionH relativeFrom="column">
                  <wp:posOffset>1945640</wp:posOffset>
                </wp:positionH>
                <wp:positionV relativeFrom="paragraph">
                  <wp:posOffset>182245</wp:posOffset>
                </wp:positionV>
                <wp:extent cx="455295" cy="1905"/>
                <wp:effectExtent l="0" t="37465" r="1905" b="36830"/>
                <wp:wrapNone/>
                <wp:docPr id="29" name="直接箭头连接符 29"/>
                <wp:cNvGraphicFramePr/>
                <a:graphic xmlns:a="http://schemas.openxmlformats.org/drawingml/2006/main">
                  <a:graphicData uri="http://schemas.microsoft.com/office/word/2010/wordprocessingShape">
                    <wps:wsp>
                      <wps:cNvCnPr/>
                      <wps:spPr>
                        <a:xfrm flipV="1">
                          <a:off x="0" y="0"/>
                          <a:ext cx="455295" cy="19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153.2pt;margin-top:14.35pt;height:0.15pt;width:35.85pt;z-index:251685888;mso-width-relative:page;mso-height-relative:page;" filled="f" stroked="t" coordsize="21600,21600" o:gfxdata="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UhS9dkAAAAJAQAADwAAAAAAAAABACAA&#10;AAAiAAAAZHJzL2Rvd25yZXYueG1sUEsBAhQAFAAAAAgAh07iQHbez68MAgAA/gMAAA4AAAAAAAAA&#10;AQAgAAAAKAEAAGRycy9lMm9Eb2MueG1sUEsFBgAAAAAGAAYAWQEAAKYFAAAAAA==&#10;">
                <v:fill on="f" focussize="0,0"/>
                <v:stroke color="#000000" joinstyle="round" endarrow="block"/>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5888" behindDoc="0" locked="0" layoutInCell="1" allowOverlap="1">
                <wp:simplePos x="0" y="0"/>
                <wp:positionH relativeFrom="column">
                  <wp:posOffset>756920</wp:posOffset>
                </wp:positionH>
                <wp:positionV relativeFrom="paragraph">
                  <wp:posOffset>176530</wp:posOffset>
                </wp:positionV>
                <wp:extent cx="568960" cy="1905"/>
                <wp:effectExtent l="0" t="38100" r="2540" b="36195"/>
                <wp:wrapNone/>
                <wp:docPr id="30" name="直接箭头连接符 30"/>
                <wp:cNvGraphicFramePr/>
                <a:graphic xmlns:a="http://schemas.openxmlformats.org/drawingml/2006/main">
                  <a:graphicData uri="http://schemas.microsoft.com/office/word/2010/wordprocessingShape">
                    <wps:wsp>
                      <wps:cNvCnPr/>
                      <wps:spPr>
                        <a:xfrm flipV="1">
                          <a:off x="0" y="0"/>
                          <a:ext cx="568960" cy="19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59.6pt;margin-top:13.9pt;height:0.15pt;width:44.8pt;z-index:251685888;mso-width-relative:page;mso-height-relative:page;" filled="f" stroked="t" coordsize="21600,21600" o:gfxdata="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3GnZw1wAAAAkBAAAPAAAAAAAAAAEAIAAA&#10;ACIAAABkcnMvZG93bnJldi54bWxQSwECFAAUAAAACACHTuJAGLZL/A0CAAD+AwAADgAAAAAAAAAB&#10;ACAAAAAmAQAAZHJzL2Uyb0RvYy54bWxQSwUGAAAAAAYABgBZAQAApQUAAAAA&#10;">
                <v:fill on="f" focussize="0,0"/>
                <v:stroke color="#000000" joinstyle="round" endarrow="block"/>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5888" behindDoc="0" locked="0" layoutInCell="1" allowOverlap="1">
                <wp:simplePos x="0" y="0"/>
                <wp:positionH relativeFrom="column">
                  <wp:posOffset>1328420</wp:posOffset>
                </wp:positionH>
                <wp:positionV relativeFrom="paragraph">
                  <wp:posOffset>54610</wp:posOffset>
                </wp:positionV>
                <wp:extent cx="601980" cy="266700"/>
                <wp:effectExtent l="4445" t="5080" r="22225" b="13970"/>
                <wp:wrapNone/>
                <wp:docPr id="31" name="文本框 31"/>
                <wp:cNvGraphicFramePr/>
                <a:graphic xmlns:a="http://schemas.openxmlformats.org/drawingml/2006/main">
                  <a:graphicData uri="http://schemas.microsoft.com/office/word/2010/wordprocessingShape">
                    <wps:wsp>
                      <wps:cNvSpPr txBox="1"/>
                      <wps:spPr>
                        <a:xfrm>
                          <a:off x="0" y="0"/>
                          <a:ext cx="60198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64CB6A">
                            <w:pPr>
                              <w:jc w:val="center"/>
                              <w:rPr>
                                <w:rFonts w:hint="eastAsia" w:eastAsia="宋体"/>
                                <w:lang w:eastAsia="zh-CN"/>
                              </w:rPr>
                            </w:pPr>
                            <w:r>
                              <w:rPr>
                                <w:rFonts w:hint="eastAsia"/>
                                <w:lang w:eastAsia="zh-CN"/>
                              </w:rPr>
                              <w:t>门诊部</w:t>
                            </w:r>
                          </w:p>
                        </w:txbxContent>
                      </wps:txbx>
                      <wps:bodyPr upright="1"/>
                    </wps:wsp>
                  </a:graphicData>
                </a:graphic>
              </wp:anchor>
            </w:drawing>
          </mc:Choice>
          <mc:Fallback>
            <w:pict>
              <v:shape id="_x0000_s1026" o:spid="_x0000_s1026" o:spt="202" type="#_x0000_t202" style="position:absolute;left:0pt;margin-left:104.6pt;margin-top:4.3pt;height:21pt;width:47.4pt;z-index:251685888;mso-width-relative:page;mso-height-relative:page;" fillcolor="#FFFFFF" filled="t" stroked="t" coordsize="21600,21600" o:gfxdata="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zEn8tcAAAAIAQAADwAAAAAAAAABACAA&#10;AAAiAAAAZHJzL2Rvd25yZXYueG1sUEsBAhQAFAAAAAgAh07iQL+WUd4OAgAANwQAAA4AAAAAAAAA&#10;AQAgAAAAJgEAAGRycy9lMm9Eb2MueG1sUEsFBgAAAAAGAAYAWQEAAKYFAAAAAA==&#10;">
                <v:fill on="t" focussize="0,0"/>
                <v:stroke color="#000000" joinstyle="miter"/>
                <v:imagedata o:title=""/>
                <o:lock v:ext="edit" aspectratio="f"/>
                <v:textbox>
                  <w:txbxContent>
                    <w:p w14:paraId="6F64CB6A">
                      <w:pPr>
                        <w:jc w:val="center"/>
                        <w:rPr>
                          <w:rFonts w:hint="eastAsia" w:eastAsia="宋体"/>
                          <w:lang w:eastAsia="zh-CN"/>
                        </w:rPr>
                      </w:pPr>
                      <w:r>
                        <w:rPr>
                          <w:rFonts w:hint="eastAsia"/>
                          <w:lang w:eastAsia="zh-CN"/>
                        </w:rPr>
                        <w:t>门诊部</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-43180</wp:posOffset>
                </wp:positionH>
                <wp:positionV relativeFrom="paragraph">
                  <wp:posOffset>226060</wp:posOffset>
                </wp:positionV>
                <wp:extent cx="886460" cy="257175"/>
                <wp:effectExtent l="0" t="0" r="0" b="0"/>
                <wp:wrapNone/>
                <wp:docPr id="1" name="文本框 1"/>
                <wp:cNvGraphicFramePr/>
                <a:graphic xmlns:a="http://schemas.openxmlformats.org/drawingml/2006/main">
                  <a:graphicData uri="http://schemas.microsoft.com/office/word/2010/wordprocessingShape">
                    <wps:wsp>
                      <wps:cNvSpPr txBox="1"/>
                      <wps:spPr>
                        <a:xfrm>
                          <a:off x="0" y="0"/>
                          <a:ext cx="886460" cy="257175"/>
                        </a:xfrm>
                        <a:prstGeom prst="rect">
                          <a:avLst/>
                        </a:prstGeom>
                        <a:noFill/>
                        <a:ln w="9525">
                          <a:noFill/>
                        </a:ln>
                      </wps:spPr>
                      <wps:txbx>
                        <w:txbxContent>
                          <w:p w14:paraId="13ADC5E4">
                            <w:pPr>
                              <w:rPr>
                                <w:rFonts w:hint="eastAsia" w:eastAsia="宋体"/>
                                <w:lang w:val="en-US" w:eastAsia="zh-CN"/>
                              </w:rPr>
                            </w:pPr>
                            <w:r>
                              <w:rPr>
                                <w:rFonts w:hint="eastAsia" w:cs="宋体"/>
                              </w:rPr>
                              <w:t>用水</w:t>
                            </w:r>
                            <w:r>
                              <w:rPr>
                                <w:rFonts w:hint="eastAsia" w:cs="宋体"/>
                                <w:lang w:val="en-US" w:eastAsia="zh-CN"/>
                              </w:rPr>
                              <w:t>36.95</w:t>
                            </w:r>
                          </w:p>
                        </w:txbxContent>
                      </wps:txbx>
                      <wps:bodyPr upright="1"/>
                    </wps:wsp>
                  </a:graphicData>
                </a:graphic>
              </wp:anchor>
            </w:drawing>
          </mc:Choice>
          <mc:Fallback>
            <w:pict>
              <v:shape id="_x0000_s1026" o:spid="_x0000_s1026" o:spt="202" type="#_x0000_t202" style="position:absolute;left:0pt;margin-left:-3.4pt;margin-top:17.8pt;height:20.25pt;width:69.8pt;z-index:251684864;mso-width-relative:page;mso-height-relative:page;" filled="f" stroked="f" coordsize="21600,21600" o:gfxdata="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cHR1tYAAAAIAQAADwAAAAAAAAABACAAAAAiAAAAZHJzL2Rvd25yZXYueG1sUEsBAhQAFAAAAAgA&#10;h07iQCgt8Yy1AQAAVgMAAA4AAAAAAAAAAQAgAAAAJQEAAGRycy9lMm9Eb2MueG1sUEsFBgAAAAAG&#10;AAYAWQEAAEwFAAAAAA==&#10;">
                <v:fill on="f" focussize="0,0"/>
                <v:stroke on="f"/>
                <v:imagedata o:title=""/>
                <o:lock v:ext="edit" aspectratio="f"/>
                <v:textbox>
                  <w:txbxContent>
                    <w:p w14:paraId="13ADC5E4">
                      <w:pPr>
                        <w:rPr>
                          <w:rFonts w:hint="eastAsia" w:eastAsia="宋体"/>
                          <w:lang w:val="en-US" w:eastAsia="zh-CN"/>
                        </w:rPr>
                      </w:pPr>
                      <w:r>
                        <w:rPr>
                          <w:rFonts w:hint="eastAsia" w:cs="宋体"/>
                        </w:rPr>
                        <w:t>用水</w:t>
                      </w:r>
                      <w:r>
                        <w:rPr>
                          <w:rFonts w:hint="eastAsia" w:cs="宋体"/>
                          <w:lang w:val="en-US" w:eastAsia="zh-CN"/>
                        </w:rPr>
                        <w:t>36.95</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1501140</wp:posOffset>
                </wp:positionH>
                <wp:positionV relativeFrom="paragraph">
                  <wp:posOffset>361315</wp:posOffset>
                </wp:positionV>
                <wp:extent cx="475615" cy="276225"/>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475615" cy="276225"/>
                        </a:xfrm>
                        <a:prstGeom prst="rect">
                          <a:avLst/>
                        </a:prstGeom>
                        <a:noFill/>
                        <a:ln w="9525">
                          <a:noFill/>
                        </a:ln>
                      </wps:spPr>
                      <wps:txbx>
                        <w:txbxContent>
                          <w:p w14:paraId="024C82F7">
                            <w:pPr>
                              <w:rPr>
                                <w:rFonts w:hint="eastAsia" w:eastAsia="宋体"/>
                                <w:lang w:val="en-US" w:eastAsia="zh-CN"/>
                              </w:rPr>
                            </w:pPr>
                            <w:r>
                              <w:rPr>
                                <w:rFonts w:hint="eastAsia"/>
                                <w:lang w:val="en-US" w:eastAsia="zh-CN"/>
                              </w:rPr>
                              <w:t>0.4</w:t>
                            </w:r>
                          </w:p>
                        </w:txbxContent>
                      </wps:txbx>
                      <wps:bodyPr upright="1"/>
                    </wps:wsp>
                  </a:graphicData>
                </a:graphic>
              </wp:anchor>
            </w:drawing>
          </mc:Choice>
          <mc:Fallback>
            <w:pict>
              <v:shape id="_x0000_s1026" o:spid="_x0000_s1026" o:spt="202" type="#_x0000_t202" style="position:absolute;left:0pt;margin-left:118.2pt;margin-top:28.45pt;height:21.75pt;width:37.45pt;z-index:251684864;mso-width-relative:page;mso-height-relative:page;" filled="f" stroked="f" coordsize="21600,21600" o:gfxdata="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n0E1m2AAAAAoBAAAPAAAAAAAAAAEAIAAAACIAAABkcnMvZG93bnJldi54bWxQSwECFAAUAAAA&#10;CACHTuJAZwW2A7UBAABYAwAADgAAAAAAAAABACAAAAAnAQAAZHJzL2Uyb0RvYy54bWxQSwUGAAAA&#10;AAYABgBZAQAATgUAAAAA&#10;">
                <v:fill on="f" focussize="0,0"/>
                <v:stroke on="f"/>
                <v:imagedata o:title=""/>
                <o:lock v:ext="edit" aspectratio="f"/>
                <v:textbox>
                  <w:txbxContent>
                    <w:p w14:paraId="024C82F7">
                      <w:pPr>
                        <w:rPr>
                          <w:rFonts w:hint="eastAsia" w:eastAsia="宋体"/>
                          <w:lang w:val="en-US" w:eastAsia="zh-CN"/>
                        </w:rPr>
                      </w:pPr>
                      <w:r>
                        <w:rPr>
                          <w:rFonts w:hint="eastAsia"/>
                          <w:lang w:val="en-US" w:eastAsia="zh-CN"/>
                        </w:rPr>
                        <w:t>0.4</w:t>
                      </w:r>
                    </w:p>
                  </w:txbxContent>
                </v:textbox>
              </v:shape>
            </w:pict>
          </mc:Fallback>
        </mc:AlternateContent>
      </w:r>
    </w:p>
    <w:p w14:paraId="2A38BC09">
      <w:pPr>
        <w:spacing w:line="360" w:lineRule="auto"/>
        <w:rPr>
          <w:rFonts w:hint="default" w:ascii="Times New Roman" w:hAnsi="Times New Roman" w:cs="Times New Roman"/>
          <w:b/>
          <w:bCs/>
          <w:color w:val="auto"/>
          <w:sz w:val="28"/>
          <w:szCs w:val="28"/>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734016" behindDoc="0" locked="0" layoutInCell="1" allowOverlap="1">
                <wp:simplePos x="0" y="0"/>
                <wp:positionH relativeFrom="column">
                  <wp:posOffset>3192780</wp:posOffset>
                </wp:positionH>
                <wp:positionV relativeFrom="paragraph">
                  <wp:posOffset>274955</wp:posOffset>
                </wp:positionV>
                <wp:extent cx="523875" cy="977900"/>
                <wp:effectExtent l="4445" t="4445" r="5080" b="8255"/>
                <wp:wrapNone/>
                <wp:docPr id="3" name="文本框 3"/>
                <wp:cNvGraphicFramePr/>
                <a:graphic xmlns:a="http://schemas.openxmlformats.org/drawingml/2006/main">
                  <a:graphicData uri="http://schemas.microsoft.com/office/word/2010/wordprocessingShape">
                    <wps:wsp>
                      <wps:cNvSpPr txBox="1"/>
                      <wps:spPr>
                        <a:xfrm>
                          <a:off x="0" y="0"/>
                          <a:ext cx="523875" cy="9779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A63EBC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pPr>
                            <w:r>
                              <w:rPr>
                                <w:rFonts w:hint="eastAsia" w:cs="宋体"/>
                              </w:rPr>
                              <w:t>进入小区内设化粪池</w:t>
                            </w:r>
                          </w:p>
                        </w:txbxContent>
                      </wps:txbx>
                      <wps:bodyPr upright="1"/>
                    </wps:wsp>
                  </a:graphicData>
                </a:graphic>
              </wp:anchor>
            </w:drawing>
          </mc:Choice>
          <mc:Fallback>
            <w:pict>
              <v:shape id="_x0000_s1026" o:spid="_x0000_s1026" o:spt="202" type="#_x0000_t202" style="position:absolute;left:0pt;margin-left:251.4pt;margin-top:21.65pt;height:77pt;width:41.25pt;z-index:251734016;mso-width-relative:page;mso-height-relative:page;" fillcolor="#FFFFFF" filled="t" stroked="t" coordsize="21600,21600" o:gfxdata="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A/Yc3aAAAACgEAAA8AAAAAAAAAAQAg&#10;AAAAIgAAAGRycy9kb3ducmV2LnhtbFBLAQIUABQAAAAIAIdO4kDyGTbrDAIAADUEAAAOAAAAAAAA&#10;AAEAIAAAACkBAABkcnMvZTJvRG9jLnhtbFBLBQYAAAAABgAGAFkBAACnBQAAAAA=&#10;">
                <v:fill on="t" focussize="0,0"/>
                <v:stroke color="#000000" joinstyle="miter"/>
                <v:imagedata o:title=""/>
                <o:lock v:ext="edit" aspectratio="f"/>
                <v:textbox>
                  <w:txbxContent>
                    <w:p w14:paraId="6A63EBC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pPr>
                      <w:r>
                        <w:rPr>
                          <w:rFonts w:hint="eastAsia" w:cs="宋体"/>
                        </w:rPr>
                        <w:t>进入小区内设化粪池</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2444750</wp:posOffset>
                </wp:positionH>
                <wp:positionV relativeFrom="paragraph">
                  <wp:posOffset>189865</wp:posOffset>
                </wp:positionV>
                <wp:extent cx="523240" cy="2667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523240" cy="266700"/>
                        </a:xfrm>
                        <a:prstGeom prst="rect">
                          <a:avLst/>
                        </a:prstGeom>
                        <a:noFill/>
                        <a:ln w="9525">
                          <a:noFill/>
                        </a:ln>
                      </wps:spPr>
                      <wps:txbx>
                        <w:txbxContent>
                          <w:p w14:paraId="7627DEF7">
                            <w:pPr>
                              <w:rPr>
                                <w:rFonts w:hint="eastAsia" w:eastAsia="宋体"/>
                                <w:lang w:val="en-US" w:eastAsia="zh-CN"/>
                              </w:rPr>
                            </w:pPr>
                            <w:r>
                              <w:rPr>
                                <w:rFonts w:hint="eastAsia"/>
                                <w:lang w:val="en-US" w:eastAsia="zh-CN"/>
                              </w:rPr>
                              <w:t>2.3</w:t>
                            </w:r>
                          </w:p>
                        </w:txbxContent>
                      </wps:txbx>
                      <wps:bodyPr upright="1"/>
                    </wps:wsp>
                  </a:graphicData>
                </a:graphic>
              </wp:anchor>
            </w:drawing>
          </mc:Choice>
          <mc:Fallback>
            <w:pict>
              <v:shape id="_x0000_s1026" o:spid="_x0000_s1026" o:spt="202" type="#_x0000_t202" style="position:absolute;left:0pt;margin-left:192.5pt;margin-top:14.95pt;height:21pt;width:41.2pt;z-index:251684864;mso-width-relative:page;mso-height-relative:page;" filled="f" stroked="f" coordsize="21600,21600" o:gfxdata="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EEV6L3YAAAACQEAAA8AAAAAAAAAAQAgAAAAIgAAAGRycy9kb3ducmV2LnhtbFBLAQIUABQA&#10;AAAIAIdO4kAQ/ZJktwEAAFgDAAAOAAAAAAAAAAEAIAAAACcBAABkcnMvZTJvRG9jLnhtbFBLBQYA&#10;AAAABgAGAFkBAABQBQAAAAA=&#10;">
                <v:fill on="f" focussize="0,0"/>
                <v:stroke on="f"/>
                <v:imagedata o:title=""/>
                <o:lock v:ext="edit" aspectratio="f"/>
                <v:textbox>
                  <w:txbxContent>
                    <w:p w14:paraId="7627DEF7">
                      <w:pPr>
                        <w:rPr>
                          <w:rFonts w:hint="eastAsia" w:eastAsia="宋体"/>
                          <w:lang w:val="en-US" w:eastAsia="zh-CN"/>
                        </w:rPr>
                      </w:pPr>
                      <w:r>
                        <w:rPr>
                          <w:rFonts w:hint="eastAsia"/>
                          <w:lang w:val="en-US" w:eastAsia="zh-CN"/>
                        </w:rPr>
                        <w:t>2.3</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3875405</wp:posOffset>
                </wp:positionH>
                <wp:positionV relativeFrom="paragraph">
                  <wp:posOffset>-963295</wp:posOffset>
                </wp:positionV>
                <wp:extent cx="1287145" cy="1331595"/>
                <wp:effectExtent l="3175" t="3175" r="5080" b="17780"/>
                <wp:wrapNone/>
                <wp:docPr id="34" name="直接箭头连接符 34"/>
                <wp:cNvGraphicFramePr/>
                <a:graphic xmlns:a="http://schemas.openxmlformats.org/drawingml/2006/main">
                  <a:graphicData uri="http://schemas.microsoft.com/office/word/2010/wordprocessingShape">
                    <wps:wsp>
                      <wps:cNvCnPr>
                        <a:stCxn id="36" idx="3"/>
                        <a:endCxn id="25" idx="1"/>
                      </wps:cNvCnPr>
                      <wps:spPr>
                        <a:xfrm>
                          <a:off x="0" y="0"/>
                          <a:ext cx="1287145" cy="13315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05.15pt;margin-top:-75.85pt;height:104.85pt;width:101.35pt;z-index:251684864;mso-width-relative:page;mso-height-relative:page;" filled="f" stroked="t" coordsize="21600,21600" o:gfxdata="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lBRmrcAAAACwEAAA8AAAAAAAAAAQAgAAAAIgAAAGRycy9kb3ducmV2LnhtbFBLAQIUABQA&#10;AAAIAIdO4kCi4mcbJQIAADoEAAAOAAAAAAAAAAEAIAAAACsBAABkcnMvZTJvRG9jLnhtbFBLBQYA&#10;AAAABgAGAFkBAADCBQAAAAA=&#10;">
                <v:fill on="f" focussize="0,0"/>
                <v:stroke color="#000000" joinstyle="round" endarrow="block"/>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814070</wp:posOffset>
                </wp:positionH>
                <wp:positionV relativeFrom="paragraph">
                  <wp:posOffset>144145</wp:posOffset>
                </wp:positionV>
                <wp:extent cx="530860" cy="2667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530860" cy="266700"/>
                        </a:xfrm>
                        <a:prstGeom prst="rect">
                          <a:avLst/>
                        </a:prstGeom>
                        <a:noFill/>
                        <a:ln w="9525">
                          <a:noFill/>
                        </a:ln>
                      </wps:spPr>
                      <wps:txbx>
                        <w:txbxContent>
                          <w:p w14:paraId="64DAD879">
                            <w:pPr>
                              <w:rPr>
                                <w:rFonts w:hint="eastAsia" w:eastAsia="宋体"/>
                                <w:lang w:val="en-US" w:eastAsia="zh-CN"/>
                              </w:rPr>
                            </w:pPr>
                            <w:r>
                              <w:rPr>
                                <w:rFonts w:hint="eastAsia"/>
                                <w:lang w:val="en-US" w:eastAsia="zh-CN"/>
                              </w:rPr>
                              <w:t>2.7</w:t>
                            </w:r>
                          </w:p>
                        </w:txbxContent>
                      </wps:txbx>
                      <wps:bodyPr upright="1"/>
                    </wps:wsp>
                  </a:graphicData>
                </a:graphic>
              </wp:anchor>
            </w:drawing>
          </mc:Choice>
          <mc:Fallback>
            <w:pict>
              <v:shape id="_x0000_s1026" o:spid="_x0000_s1026" o:spt="202" type="#_x0000_t202" style="position:absolute;left:0pt;margin-left:64.1pt;margin-top:11.35pt;height:21pt;width:41.8pt;z-index:251684864;mso-width-relative:page;mso-height-relative:page;" filled="f" stroked="f" coordsize="21600,21600" o:gfxdata="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wnHRLWAAAACQEAAA8AAAAAAAAAAQAgAAAAIgAAAGRycy9kb3ducmV2LnhtbFBLAQIUABQAAAAI&#10;AIdO4kCf18mltgEAAFgDAAAOAAAAAAAAAAEAIAAAACUBAABkcnMvZTJvRG9jLnhtbFBLBQYAAAAA&#10;BgAGAFkBAABNBQAAAAA=&#10;">
                <v:fill on="f" focussize="0,0"/>
                <v:stroke on="f"/>
                <v:imagedata o:title=""/>
                <o:lock v:ext="edit" aspectratio="f"/>
                <v:textbox>
                  <w:txbxContent>
                    <w:p w14:paraId="64DAD879">
                      <w:pPr>
                        <w:rPr>
                          <w:rFonts w:hint="eastAsia" w:eastAsia="宋体"/>
                          <w:lang w:val="en-US" w:eastAsia="zh-CN"/>
                        </w:rPr>
                      </w:pPr>
                      <w:r>
                        <w:rPr>
                          <w:rFonts w:hint="eastAsia"/>
                          <w:lang w:val="en-US" w:eastAsia="zh-CN"/>
                        </w:rPr>
                        <w:t>2.7</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1424940</wp:posOffset>
                </wp:positionH>
                <wp:positionV relativeFrom="paragraph">
                  <wp:posOffset>153670</wp:posOffset>
                </wp:positionV>
                <wp:extent cx="161925" cy="116205"/>
                <wp:effectExtent l="3810" t="3175" r="5715" b="13970"/>
                <wp:wrapNone/>
                <wp:docPr id="40" name="任意多边形 40"/>
                <wp:cNvGraphicFramePr/>
                <a:graphic xmlns:a="http://schemas.openxmlformats.org/drawingml/2006/main">
                  <a:graphicData uri="http://schemas.microsoft.com/office/word/2010/wordprocessingShape">
                    <wps:wsp>
                      <wps:cNvSpPr/>
                      <wps:spPr>
                        <a:xfrm>
                          <a:off x="0" y="0"/>
                          <a:ext cx="161925" cy="116205"/>
                        </a:xfrm>
                        <a:custGeom>
                          <a:avLst/>
                          <a:gdLst/>
                          <a:ahLst/>
                          <a:cxnLst/>
                          <a:pathLst>
                            <a:path w="268" h="312">
                              <a:moveTo>
                                <a:pt x="0" y="312"/>
                              </a:moveTo>
                              <a:cubicBezTo>
                                <a:pt x="38" y="218"/>
                                <a:pt x="76" y="124"/>
                                <a:pt x="101" y="110"/>
                              </a:cubicBezTo>
                              <a:cubicBezTo>
                                <a:pt x="126" y="96"/>
                                <a:pt x="123" y="246"/>
                                <a:pt x="151" y="228"/>
                              </a:cubicBezTo>
                              <a:cubicBezTo>
                                <a:pt x="179" y="210"/>
                                <a:pt x="249" y="38"/>
                                <a:pt x="268" y="0"/>
                              </a:cubicBez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12.2pt;margin-top:12.1pt;height:9.15pt;width:12.75pt;z-index:251684864;mso-width-relative:page;mso-height-relative:page;" filled="f" stroked="t" coordsize="268,312" o:gfxdata="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H7/OSdgAAAAJAQAADwAAAAAA&#10;AAABACAAAAAiAAAAZHJzL2Rvd25yZXYueG1sUEsBAhQAFAAAAAgAh07iQAqQ46OFAgAAigUAAA4A&#10;AAAAAAAAAQAgAAAAJwEAAGRycy9lMm9Eb2MueG1sUEsFBgAAAAAGAAYAWQEAAB4GAAAAAA==&#10;" path="m0,312c38,218,76,124,101,110c126,96,123,246,151,228c179,210,249,38,268,0e">
                <v:fill on="f" focussize="0,0"/>
                <v:stroke color="#000000" joinstyle="round"/>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1328420</wp:posOffset>
                </wp:positionH>
                <wp:positionV relativeFrom="paragraph">
                  <wp:posOffset>269875</wp:posOffset>
                </wp:positionV>
                <wp:extent cx="866775" cy="285750"/>
                <wp:effectExtent l="4445" t="5080" r="5080" b="13970"/>
                <wp:wrapNone/>
                <wp:docPr id="41" name="文本框 41"/>
                <wp:cNvGraphicFramePr/>
                <a:graphic xmlns:a="http://schemas.openxmlformats.org/drawingml/2006/main">
                  <a:graphicData uri="http://schemas.microsoft.com/office/word/2010/wordprocessingShape">
                    <wps:wsp>
                      <wps:cNvSpPr txBox="1"/>
                      <wps:spPr>
                        <a:xfrm>
                          <a:off x="0" y="0"/>
                          <a:ext cx="866775" cy="2857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EAFD774">
                            <w:pPr>
                              <w:ind w:firstLine="105" w:firstLineChars="50"/>
                            </w:pPr>
                            <w:r>
                              <w:rPr>
                                <w:rFonts w:hint="eastAsia" w:cs="宋体"/>
                              </w:rPr>
                              <w:t>清洁用水</w:t>
                            </w:r>
                          </w:p>
                        </w:txbxContent>
                      </wps:txbx>
                      <wps:bodyPr upright="1"/>
                    </wps:wsp>
                  </a:graphicData>
                </a:graphic>
              </wp:anchor>
            </w:drawing>
          </mc:Choice>
          <mc:Fallback>
            <w:pict>
              <v:shape id="_x0000_s1026" o:spid="_x0000_s1026" o:spt="202" type="#_x0000_t202" style="position:absolute;left:0pt;margin-left:104.6pt;margin-top:21.25pt;height:22.5pt;width:68.25pt;z-index:251684864;mso-width-relative:page;mso-height-relative:page;" fillcolor="#FFFFFF" filled="t" stroked="t" coordsize="21600,21600" o:gfxdata="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Bpa8A9gAAAAJAQAADwAAAAAAAAABACAA&#10;AAAiAAAAZHJzL2Rvd25yZXYueG1sUEsBAhQAFAAAAAgAh07iQOh7aC8NAgAANwQAAA4AAAAAAAAA&#10;AQAgAAAAJwEAAGRycy9lMm9Eb2MueG1sUEsFBgAAAAAGAAYAWQEAAKYFAAAAAA==&#10;">
                <v:fill on="t" focussize="0,0"/>
                <v:stroke color="#000000" joinstyle="miter"/>
                <v:imagedata o:title=""/>
                <o:lock v:ext="edit" aspectratio="f"/>
                <v:textbox>
                  <w:txbxContent>
                    <w:p w14:paraId="5EAFD774">
                      <w:pPr>
                        <w:ind w:firstLine="105" w:firstLineChars="50"/>
                      </w:pPr>
                      <w:r>
                        <w:rPr>
                          <w:rFonts w:hint="eastAsia" w:cs="宋体"/>
                        </w:rPr>
                        <w:t>清洁用水</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13970</wp:posOffset>
                </wp:positionH>
                <wp:positionV relativeFrom="paragraph">
                  <wp:posOffset>104140</wp:posOffset>
                </wp:positionV>
                <wp:extent cx="723900" cy="0"/>
                <wp:effectExtent l="0" t="38100" r="0" b="38100"/>
                <wp:wrapNone/>
                <wp:docPr id="42" name="直接箭头连接符 42"/>
                <wp:cNvGraphicFramePr/>
                <a:graphic xmlns:a="http://schemas.openxmlformats.org/drawingml/2006/main">
                  <a:graphicData uri="http://schemas.microsoft.com/office/word/2010/wordprocessingShape">
                    <wps:wsp>
                      <wps:cNvCnPr/>
                      <wps:spPr>
                        <a:xfrm>
                          <a:off x="0" y="0"/>
                          <a:ext cx="7239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1pt;margin-top:8.2pt;height:0pt;width:57pt;z-index:251684864;mso-width-relative:page;mso-height-relative:page;" filled="f" stroked="t" coordsize="21600,21600" o:gfxdata="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8HOJGtQAAAAHAQAADwAAAAAAAAABACAAAAAiAAAAZHJzL2Rv&#10;d25yZXYueG1sUEsBAhQAFAAAAAgAh07iQHCxX5EFAgAA8QMAAA4AAAAAAAAAAQAgAAAAIwEAAGRy&#10;cy9lMm9Eb2MueG1sUEsFBgAAAAAGAAYAWQEAAJoFAAAAAA==&#10;">
                <v:fill on="f" focussize="0,0"/>
                <v:stroke color="#000000" joinstyle="round" endarrow="block"/>
                <v:imagedata o:title=""/>
                <o:lock v:ext="edit" aspectratio="f"/>
              </v:shape>
            </w:pict>
          </mc:Fallback>
        </mc:AlternateContent>
      </w:r>
    </w:p>
    <w:p w14:paraId="10C2C762">
      <w:pPr>
        <w:spacing w:line="360" w:lineRule="auto"/>
        <w:rPr>
          <w:rFonts w:hint="default" w:ascii="Times New Roman" w:hAnsi="Times New Roman" w:cs="Times New Roman"/>
          <w:b/>
          <w:bCs/>
          <w:color w:val="auto"/>
          <w:sz w:val="28"/>
          <w:szCs w:val="28"/>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711488" behindDoc="0" locked="0" layoutInCell="1" allowOverlap="1">
                <wp:simplePos x="0" y="0"/>
                <wp:positionH relativeFrom="column">
                  <wp:posOffset>4074160</wp:posOffset>
                </wp:positionH>
                <wp:positionV relativeFrom="paragraph">
                  <wp:posOffset>179705</wp:posOffset>
                </wp:positionV>
                <wp:extent cx="552450" cy="268605"/>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552450" cy="268605"/>
                        </a:xfrm>
                        <a:prstGeom prst="rect">
                          <a:avLst/>
                        </a:prstGeom>
                        <a:noFill/>
                        <a:ln w="9525">
                          <a:noFill/>
                        </a:ln>
                      </wps:spPr>
                      <wps:txbx>
                        <w:txbxContent>
                          <w:p w14:paraId="13E828ED">
                            <w:pPr>
                              <w:rPr>
                                <w:rFonts w:hint="eastAsia" w:eastAsia="宋体"/>
                                <w:lang w:val="en-US" w:eastAsia="zh-CN"/>
                              </w:rPr>
                            </w:pPr>
                            <w:r>
                              <w:rPr>
                                <w:rFonts w:hint="eastAsia"/>
                                <w:lang w:val="en-US" w:eastAsia="zh-CN"/>
                              </w:rPr>
                              <w:t>13.14</w:t>
                            </w:r>
                          </w:p>
                        </w:txbxContent>
                      </wps:txbx>
                      <wps:bodyPr upright="1"/>
                    </wps:wsp>
                  </a:graphicData>
                </a:graphic>
              </wp:anchor>
            </w:drawing>
          </mc:Choice>
          <mc:Fallback>
            <w:pict>
              <v:shape id="_x0000_s1026" o:spid="_x0000_s1026" o:spt="202" type="#_x0000_t202" style="position:absolute;left:0pt;margin-left:320.8pt;margin-top:14.15pt;height:21.15pt;width:43.5pt;z-index:251711488;mso-width-relative:page;mso-height-relative:page;" filled="f" stroked="f" coordsize="21600,21600" o:gfxdata="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t5jznWAAAACQEAAA8AAAAAAAAAAQAgAAAAIgAAAGRycy9kb3ducmV2LnhtbFBLAQIUABQAAAAI&#10;AIdO4kCzC87ntgEAAFgDAAAOAAAAAAAAAAEAIAAAACUBAABkcnMvZTJvRG9jLnhtbFBLBQYAAAAA&#10;BgAGAFkBAABNBQAAAAA=&#10;">
                <v:fill on="f" focussize="0,0"/>
                <v:stroke on="f"/>
                <v:imagedata o:title=""/>
                <o:lock v:ext="edit" aspectratio="f"/>
                <v:textbox>
                  <w:txbxContent>
                    <w:p w14:paraId="13E828ED">
                      <w:pPr>
                        <w:rPr>
                          <w:rFonts w:hint="eastAsia" w:eastAsia="宋体"/>
                          <w:lang w:val="en-US" w:eastAsia="zh-CN"/>
                        </w:rPr>
                      </w:pPr>
                      <w:r>
                        <w:rPr>
                          <w:rFonts w:hint="eastAsia"/>
                          <w:lang w:val="en-US" w:eastAsia="zh-CN"/>
                        </w:rPr>
                        <w:t>13.14</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1485265</wp:posOffset>
                </wp:positionH>
                <wp:positionV relativeFrom="paragraph">
                  <wp:posOffset>231775</wp:posOffset>
                </wp:positionV>
                <wp:extent cx="488315" cy="295275"/>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488315" cy="295275"/>
                        </a:xfrm>
                        <a:prstGeom prst="rect">
                          <a:avLst/>
                        </a:prstGeom>
                        <a:noFill/>
                        <a:ln w="9525">
                          <a:noFill/>
                        </a:ln>
                      </wps:spPr>
                      <wps:txbx>
                        <w:txbxContent>
                          <w:p w14:paraId="6AD7C45C">
                            <w:pPr>
                              <w:rPr>
                                <w:rFonts w:hint="eastAsia" w:eastAsia="宋体"/>
                                <w:lang w:val="en-US" w:eastAsia="zh-CN"/>
                              </w:rPr>
                            </w:pPr>
                            <w:r>
                              <w:rPr>
                                <w:rFonts w:hint="eastAsia"/>
                                <w:lang w:val="en-US" w:eastAsia="zh-CN"/>
                              </w:rPr>
                              <w:t>1.91</w:t>
                            </w:r>
                          </w:p>
                        </w:txbxContent>
                      </wps:txbx>
                      <wps:bodyPr upright="1"/>
                    </wps:wsp>
                  </a:graphicData>
                </a:graphic>
              </wp:anchor>
            </w:drawing>
          </mc:Choice>
          <mc:Fallback>
            <w:pict>
              <v:shape id="_x0000_s1026" o:spid="_x0000_s1026" o:spt="202" type="#_x0000_t202" style="position:absolute;left:0pt;margin-left:116.95pt;margin-top:18.25pt;height:23.25pt;width:38.45pt;z-index:251684864;mso-width-relative:page;mso-height-relative:page;" filled="f" stroked="f" coordsize="21600,21600" o:gfxdata="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44EVbXAAAACQEAAA8AAAAAAAAAAQAgAAAAIgAAAGRycy9kb3ducmV2LnhtbFBLAQIUABQAAAAI&#10;AIdO4kDoWBiWtQEAAFgDAAAOAAAAAAAAAAEAIAAAACYBAABkcnMvZTJvRG9jLnhtbFBLBQYAAAAA&#10;BgAGAFkBAABNBQAAAAA=&#10;">
                <v:fill on="f" focussize="0,0"/>
                <v:stroke on="f"/>
                <v:imagedata o:title=""/>
                <o:lock v:ext="edit" aspectratio="f"/>
                <v:textbox>
                  <w:txbxContent>
                    <w:p w14:paraId="6AD7C45C">
                      <w:pPr>
                        <w:rPr>
                          <w:rFonts w:hint="eastAsia" w:eastAsia="宋体"/>
                          <w:lang w:val="en-US" w:eastAsia="zh-CN"/>
                        </w:rPr>
                      </w:pPr>
                      <w:r>
                        <w:rPr>
                          <w:rFonts w:hint="eastAsia"/>
                          <w:lang w:val="en-US" w:eastAsia="zh-CN"/>
                        </w:rPr>
                        <w:t>1.91</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747395</wp:posOffset>
                </wp:positionH>
                <wp:positionV relativeFrom="paragraph">
                  <wp:posOffset>1270</wp:posOffset>
                </wp:positionV>
                <wp:extent cx="590550" cy="0"/>
                <wp:effectExtent l="0" t="38100" r="0" b="38100"/>
                <wp:wrapNone/>
                <wp:docPr id="44" name="直接箭头连接符 44"/>
                <wp:cNvGraphicFramePr/>
                <a:graphic xmlns:a="http://schemas.openxmlformats.org/drawingml/2006/main">
                  <a:graphicData uri="http://schemas.microsoft.com/office/word/2010/wordprocessingShape">
                    <wps:wsp>
                      <wps:cNvCnPr/>
                      <wps:spPr>
                        <a:xfrm>
                          <a:off x="0" y="0"/>
                          <a:ext cx="5905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58.85pt;margin-top:0.1pt;height:0pt;width:46.5pt;z-index:251684864;mso-width-relative:page;mso-height-relative:page;" filled="f" stroked="t" coordsize="21600,21600" o:gfxdata="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3FMpPTAAAABQEAAA8AAAAAAAAAAQAgAAAAIgAAAGRycy9kb3du&#10;cmV2LnhtbFBLAQIUABQAAAAIAIdO4kCIjeVDBAIAAPEDAAAOAAAAAAAAAAEAIAAAACIBAABkcnMv&#10;ZTJvRG9jLnhtbFBLBQYAAAAABgAGAFkBAACYBQAAAAA=&#10;">
                <v:fill on="f" focussize="0,0"/>
                <v:stroke color="#000000" joinstyle="round" endarrow="block"/>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2195195</wp:posOffset>
                </wp:positionH>
                <wp:positionV relativeFrom="paragraph">
                  <wp:posOffset>18415</wp:posOffset>
                </wp:positionV>
                <wp:extent cx="980440" cy="1905"/>
                <wp:effectExtent l="0" t="38100" r="10160" b="36195"/>
                <wp:wrapNone/>
                <wp:docPr id="45" name="直接箭头连接符 45"/>
                <wp:cNvGraphicFramePr/>
                <a:graphic xmlns:a="http://schemas.openxmlformats.org/drawingml/2006/main">
                  <a:graphicData uri="http://schemas.microsoft.com/office/word/2010/wordprocessingShape">
                    <wps:wsp>
                      <wps:cNvCnPr/>
                      <wps:spPr>
                        <a:xfrm flipV="1">
                          <a:off x="0" y="0"/>
                          <a:ext cx="980440" cy="19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172.85pt;margin-top:1.45pt;height:0.15pt;width:77.2pt;z-index:251684864;mso-width-relative:page;mso-height-relative:page;" filled="f" stroked="t" coordsize="21600,21600" o:gfxdata="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gU5G9YAAAAHAQAADwAAAAAAAAABACAA&#10;AAAiAAAAZHJzL2Rvd25yZXYueG1sUEsBAhQAFAAAAAgAh07iQKClA2kPAgAA/gMAAA4AAAAAAAAA&#10;AQAgAAAAJQEAAGRycy9lMm9Eb2MueG1sUEsFBgAAAAAGAAYAWQEAAKYFAAAAAA==&#10;">
                <v:fill on="f" focussize="0,0"/>
                <v:stroke color="#000000" joinstyle="round" endarrow="block"/>
                <v:imagedata o:title=""/>
                <o:lock v:ext="edit" aspectratio="f"/>
              </v:shape>
            </w:pict>
          </mc:Fallback>
        </mc:AlternateContent>
      </w:r>
    </w:p>
    <w:p w14:paraId="346E0394">
      <w:pPr>
        <w:spacing w:line="360" w:lineRule="auto"/>
        <w:rPr>
          <w:rFonts w:hint="default" w:ascii="Times New Roman" w:hAnsi="Times New Roman" w:cs="Times New Roman"/>
          <w:b/>
          <w:bCs/>
          <w:color w:val="auto"/>
          <w:sz w:val="28"/>
          <w:szCs w:val="28"/>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727872" behindDoc="0" locked="0" layoutInCell="1" allowOverlap="1">
                <wp:simplePos x="0" y="0"/>
                <wp:positionH relativeFrom="column">
                  <wp:posOffset>3717925</wp:posOffset>
                </wp:positionH>
                <wp:positionV relativeFrom="paragraph">
                  <wp:posOffset>-424180</wp:posOffset>
                </wp:positionV>
                <wp:extent cx="1444625" cy="427355"/>
                <wp:effectExtent l="1270" t="14605" r="1905" b="15240"/>
                <wp:wrapNone/>
                <wp:docPr id="53" name="直接箭头连接符 53"/>
                <wp:cNvGraphicFramePr/>
                <a:graphic xmlns:a="http://schemas.openxmlformats.org/drawingml/2006/main">
                  <a:graphicData uri="http://schemas.microsoft.com/office/word/2010/wordprocessingShape">
                    <wps:wsp>
                      <wps:cNvCnPr>
                        <a:endCxn id="25" idx="1"/>
                      </wps:cNvCnPr>
                      <wps:spPr>
                        <a:xfrm flipV="1">
                          <a:off x="0" y="0"/>
                          <a:ext cx="1444625" cy="42735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292.75pt;margin-top:-33.4pt;height:33.65pt;width:113.75pt;z-index:251727872;mso-width-relative:page;mso-height-relative:page;" filled="f" stroked="t" coordsize="21600,21600" o:gfxdata="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DEUloNcA&#10;AAAIAQAADwAAAAAAAAABACAAAAAiAAAAZHJzL2Rvd25yZXYueG1sUEsBAhQAFAAAAAgAh07iQBHU&#10;Ht8gAgAAKQQAAA4AAAAAAAAAAQAgAAAAJgEAAGRycy9lMm9Eb2MueG1sUEsFBgAAAAAGAAYAWQEA&#10;ALgFAAAAAA==&#10;">
                <v:fill on="f" focussize="0,0"/>
                <v:stroke color="#000000" joinstyle="round" endarrow="block"/>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2426970</wp:posOffset>
                </wp:positionH>
                <wp:positionV relativeFrom="paragraph">
                  <wp:posOffset>21590</wp:posOffset>
                </wp:positionV>
                <wp:extent cx="514350" cy="304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514350" cy="304800"/>
                        </a:xfrm>
                        <a:prstGeom prst="rect">
                          <a:avLst/>
                        </a:prstGeom>
                        <a:noFill/>
                        <a:ln w="9525">
                          <a:noFill/>
                        </a:ln>
                      </wps:spPr>
                      <wps:txbx>
                        <w:txbxContent>
                          <w:p w14:paraId="4D42C65F">
                            <w:pPr>
                              <w:rPr>
                                <w:rFonts w:hint="eastAsia" w:eastAsia="宋体"/>
                                <w:lang w:val="en-US" w:eastAsia="zh-CN"/>
                              </w:rPr>
                            </w:pPr>
                            <w:r>
                              <w:rPr>
                                <w:rFonts w:hint="eastAsia"/>
                                <w:lang w:val="en-US" w:eastAsia="zh-CN"/>
                              </w:rPr>
                              <w:t>10.84</w:t>
                            </w:r>
                          </w:p>
                        </w:txbxContent>
                      </wps:txbx>
                      <wps:bodyPr upright="1"/>
                    </wps:wsp>
                  </a:graphicData>
                </a:graphic>
              </wp:anchor>
            </w:drawing>
          </mc:Choice>
          <mc:Fallback>
            <w:pict>
              <v:shape id="_x0000_s1026" o:spid="_x0000_s1026" o:spt="202" type="#_x0000_t202" style="position:absolute;left:0pt;margin-left:191.1pt;margin-top:1.7pt;height:24pt;width:40.5pt;z-index:251684864;mso-width-relative:page;mso-height-relative:page;" filled="f" stroked="f" coordsize="21600,21600" o:gfxdata="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Z8jiv1gAAAAgBAAAPAAAAAAAAAAEAIAAAACIAAABkcnMvZG93bnJldi54bWxQSwECFAAUAAAA&#10;CACHTuJAWXk32rcBAABYAwAADgAAAAAAAAABACAAAAAlAQAAZHJzL2Uyb0RvYy54bWxQSwUGAAAA&#10;AAYABgBZAQAATgUAAAAA&#10;">
                <v:fill on="f" focussize="0,0"/>
                <v:stroke on="f"/>
                <v:imagedata o:title=""/>
                <o:lock v:ext="edit" aspectratio="f"/>
                <v:textbox>
                  <w:txbxContent>
                    <w:p w14:paraId="4D42C65F">
                      <w:pPr>
                        <w:rPr>
                          <w:rFonts w:hint="eastAsia" w:eastAsia="宋体"/>
                          <w:lang w:val="en-US" w:eastAsia="zh-CN"/>
                        </w:rPr>
                      </w:pPr>
                      <w:r>
                        <w:rPr>
                          <w:rFonts w:hint="eastAsia"/>
                          <w:lang w:val="en-US" w:eastAsia="zh-CN"/>
                        </w:rPr>
                        <w:t>10.84</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758825</wp:posOffset>
                </wp:positionH>
                <wp:positionV relativeFrom="paragraph">
                  <wp:posOffset>57785</wp:posOffset>
                </wp:positionV>
                <wp:extent cx="494665" cy="28702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494665" cy="287020"/>
                        </a:xfrm>
                        <a:prstGeom prst="rect">
                          <a:avLst/>
                        </a:prstGeom>
                        <a:noFill/>
                        <a:ln w="9525">
                          <a:noFill/>
                        </a:ln>
                      </wps:spPr>
                      <wps:txbx>
                        <w:txbxContent>
                          <w:p w14:paraId="08E62D25">
                            <w:pPr>
                              <w:rPr>
                                <w:rFonts w:hint="eastAsia" w:eastAsia="宋体"/>
                                <w:lang w:val="en-US" w:eastAsia="zh-CN"/>
                              </w:rPr>
                            </w:pPr>
                            <w:r>
                              <w:rPr>
                                <w:rFonts w:hint="eastAsia"/>
                                <w:lang w:val="en-US" w:eastAsia="zh-CN"/>
                              </w:rPr>
                              <w:t>12.75</w:t>
                            </w:r>
                          </w:p>
                        </w:txbxContent>
                      </wps:txbx>
                      <wps:bodyPr upright="1"/>
                    </wps:wsp>
                  </a:graphicData>
                </a:graphic>
              </wp:anchor>
            </w:drawing>
          </mc:Choice>
          <mc:Fallback>
            <w:pict>
              <v:shape id="_x0000_s1026" o:spid="_x0000_s1026" o:spt="202" type="#_x0000_t202" style="position:absolute;left:0pt;margin-left:59.75pt;margin-top:4.55pt;height:22.6pt;width:38.95pt;z-index:251684864;mso-width-relative:page;mso-height-relative:page;" filled="f" stroked="f" coordsize="21600,21600" o:gfxdata="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Cv7fTVAAAACAEAAA8AAAAAAAAAAQAgAAAAIgAAAGRycy9kb3ducmV2LnhtbFBLAQIUABQAAAAI&#10;AIdO4kCaQO0ctwEAAFgDAAAOAAAAAAAAAAEAIAAAACQBAABkcnMvZTJvRG9jLnhtbFBLBQYAAAAA&#10;BgAGAFkBAABNBQAAAAA=&#10;">
                <v:fill on="f" focussize="0,0"/>
                <v:stroke on="f"/>
                <v:imagedata o:title=""/>
                <o:lock v:ext="edit" aspectratio="f"/>
                <v:textbox>
                  <w:txbxContent>
                    <w:p w14:paraId="08E62D25">
                      <w:pPr>
                        <w:rPr>
                          <w:rFonts w:hint="eastAsia" w:eastAsia="宋体"/>
                          <w:lang w:val="en-US" w:eastAsia="zh-CN"/>
                        </w:rPr>
                      </w:pPr>
                      <w:r>
                        <w:rPr>
                          <w:rFonts w:hint="eastAsia"/>
                          <w:lang w:val="en-US" w:eastAsia="zh-CN"/>
                        </w:rPr>
                        <w:t>12.75</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2195195</wp:posOffset>
                </wp:positionH>
                <wp:positionV relativeFrom="paragraph">
                  <wp:posOffset>281305</wp:posOffset>
                </wp:positionV>
                <wp:extent cx="972185" cy="1905"/>
                <wp:effectExtent l="0" t="38100" r="18415" b="36195"/>
                <wp:wrapNone/>
                <wp:docPr id="48" name="直接箭头连接符 48"/>
                <wp:cNvGraphicFramePr/>
                <a:graphic xmlns:a="http://schemas.openxmlformats.org/drawingml/2006/main">
                  <a:graphicData uri="http://schemas.microsoft.com/office/word/2010/wordprocessingShape">
                    <wps:wsp>
                      <wps:cNvCnPr/>
                      <wps:spPr>
                        <a:xfrm flipV="1">
                          <a:off x="0" y="0"/>
                          <a:ext cx="972185" cy="19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172.85pt;margin-top:22.15pt;height:0.15pt;width:76.55pt;z-index:251684864;mso-width-relative:page;mso-height-relative:page;" filled="f" stroked="t" coordsize="21600,21600" o:gfxdata="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8zietkAAAAJAQAADwAAAAAAAAABACAA&#10;AAAiAAAAZHJzL2Rvd25yZXYueG1sUEsBAhQAFAAAAAgAh07iQFWsAlEMAgAA/gMAAA4AAAAAAAAA&#10;AQAgAAAAKAEAAGRycy9lMm9Eb2MueG1sUEsFBgAAAAAGAAYAWQEAAKYFAAAAAA==&#10;">
                <v:fill on="f" focussize="0,0"/>
                <v:stroke color="#000000" joinstyle="round" endarrow="block"/>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737870</wp:posOffset>
                </wp:positionH>
                <wp:positionV relativeFrom="paragraph">
                  <wp:posOffset>283210</wp:posOffset>
                </wp:positionV>
                <wp:extent cx="590550" cy="0"/>
                <wp:effectExtent l="0" t="38100" r="0" b="38100"/>
                <wp:wrapNone/>
                <wp:docPr id="49" name="直接箭头连接符 49"/>
                <wp:cNvGraphicFramePr/>
                <a:graphic xmlns:a="http://schemas.openxmlformats.org/drawingml/2006/main">
                  <a:graphicData uri="http://schemas.microsoft.com/office/word/2010/wordprocessingShape">
                    <wps:wsp>
                      <wps:cNvCnPr/>
                      <wps:spPr>
                        <a:xfrm>
                          <a:off x="0" y="0"/>
                          <a:ext cx="59055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58.1pt;margin-top:22.3pt;height:0pt;width:46.5pt;z-index:251684864;mso-width-relative:page;mso-height-relative:page;" filled="f" stroked="t" coordsize="21600,21600" o:gfxdata="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dAplX1wAAAAkBAAAPAAAAAAAAAAEAIAAAACIAAABkcnMv&#10;ZG93bnJldi54bWxQSwECFAAUAAAACACHTuJAY5o1/gQCAADxAwAADgAAAAAAAAABACAAAAAmAQAA&#10;ZHJzL2Uyb0RvYy54bWxQSwUGAAAAAAYABgBZAQAAnAUAAAAA&#10;">
                <v:fill on="f" focussize="0,0"/>
                <v:stroke color="#000000" joinstyle="round" endarrow="block"/>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1424940</wp:posOffset>
                </wp:positionH>
                <wp:positionV relativeFrom="paragraph">
                  <wp:posOffset>18415</wp:posOffset>
                </wp:positionV>
                <wp:extent cx="161925" cy="116205"/>
                <wp:effectExtent l="3810" t="3175" r="5715" b="13970"/>
                <wp:wrapNone/>
                <wp:docPr id="50" name="任意多边形 50"/>
                <wp:cNvGraphicFramePr/>
                <a:graphic xmlns:a="http://schemas.openxmlformats.org/drawingml/2006/main">
                  <a:graphicData uri="http://schemas.microsoft.com/office/word/2010/wordprocessingShape">
                    <wps:wsp>
                      <wps:cNvSpPr/>
                      <wps:spPr>
                        <a:xfrm>
                          <a:off x="0" y="0"/>
                          <a:ext cx="161925" cy="116205"/>
                        </a:xfrm>
                        <a:custGeom>
                          <a:avLst/>
                          <a:gdLst/>
                          <a:ahLst/>
                          <a:cxnLst/>
                          <a:pathLst>
                            <a:path w="268" h="312">
                              <a:moveTo>
                                <a:pt x="0" y="312"/>
                              </a:moveTo>
                              <a:cubicBezTo>
                                <a:pt x="38" y="218"/>
                                <a:pt x="76" y="124"/>
                                <a:pt x="101" y="110"/>
                              </a:cubicBezTo>
                              <a:cubicBezTo>
                                <a:pt x="126" y="96"/>
                                <a:pt x="123" y="246"/>
                                <a:pt x="151" y="228"/>
                              </a:cubicBezTo>
                              <a:cubicBezTo>
                                <a:pt x="179" y="210"/>
                                <a:pt x="249" y="38"/>
                                <a:pt x="268" y="0"/>
                              </a:cubicBez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12.2pt;margin-top:1.45pt;height:9.15pt;width:12.75pt;z-index:251684864;mso-width-relative:page;mso-height-relative:page;" filled="f" stroked="t" coordsize="268,312" o:gfxdata="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M6jbWTWAAAACAEAAA8AAAAAAAAA&#10;AQAgAAAAIgAAAGRycy9kb3ducmV2LnhtbFBLAQIUABQAAAAIAIdO4kALSxcnhQIAAIoFAAAOAAAA&#10;AAAAAAEAIAAAACUBAABkcnMvZTJvRG9jLnhtbFBLBQYAAAAABgAGAFkBAAAcBgAAAAA=&#10;" path="m0,312c38,218,76,124,101,110c126,96,123,246,151,228c179,210,249,38,268,0e">
                <v:fill on="f" focussize="0,0"/>
                <v:stroke color="#000000" joinstyle="round"/>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1328420</wp:posOffset>
                </wp:positionH>
                <wp:positionV relativeFrom="paragraph">
                  <wp:posOffset>142240</wp:posOffset>
                </wp:positionV>
                <wp:extent cx="866775" cy="276225"/>
                <wp:effectExtent l="4445" t="5080" r="5080" b="4445"/>
                <wp:wrapNone/>
                <wp:docPr id="51" name="文本框 51"/>
                <wp:cNvGraphicFramePr/>
                <a:graphic xmlns:a="http://schemas.openxmlformats.org/drawingml/2006/main">
                  <a:graphicData uri="http://schemas.microsoft.com/office/word/2010/wordprocessingShape">
                    <wps:wsp>
                      <wps:cNvSpPr txBox="1"/>
                      <wps:spPr>
                        <a:xfrm>
                          <a:off x="0" y="0"/>
                          <a:ext cx="866775" cy="2762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8B2717">
                            <w:pPr>
                              <w:jc w:val="center"/>
                              <w:rPr>
                                <w:rFonts w:hint="eastAsia" w:eastAsia="宋体"/>
                                <w:lang w:val="en-US" w:eastAsia="zh-CN"/>
                              </w:rPr>
                            </w:pPr>
                            <w:r>
                              <w:rPr>
                                <w:rFonts w:hint="eastAsia"/>
                                <w:lang w:val="en-US" w:eastAsia="zh-CN"/>
                              </w:rPr>
                              <w:t>医务人员</w:t>
                            </w:r>
                          </w:p>
                        </w:txbxContent>
                      </wps:txbx>
                      <wps:bodyPr upright="1"/>
                    </wps:wsp>
                  </a:graphicData>
                </a:graphic>
              </wp:anchor>
            </w:drawing>
          </mc:Choice>
          <mc:Fallback>
            <w:pict>
              <v:shape id="_x0000_s1026" o:spid="_x0000_s1026" o:spt="202" type="#_x0000_t202" style="position:absolute;left:0pt;margin-left:104.6pt;margin-top:11.2pt;height:21.75pt;width:68.25pt;z-index:251684864;mso-width-relative:page;mso-height-relative:page;" fillcolor="#FFFFFF" filled="t" stroked="t" coordsize="21600,21600" o:gfxdata="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GKNT02QAAAAkBAAAPAAAAAAAAAAEAIAAA&#10;ACIAAABkcnMvZG93bnJldi54bWxQSwECFAAUAAAACACHTuJArzm8ugsCAAA3BAAADgAAAAAAAAAB&#10;ACAAAAAoAQAAZHJzL2Uyb0RvYy54bWxQSwUGAAAAAAYABgBZAQAApQUAAAAA&#10;">
                <v:fill on="t" focussize="0,0"/>
                <v:stroke color="#000000" joinstyle="miter"/>
                <v:imagedata o:title=""/>
                <o:lock v:ext="edit" aspectratio="f"/>
                <v:textbox>
                  <w:txbxContent>
                    <w:p w14:paraId="308B2717">
                      <w:pPr>
                        <w:jc w:val="center"/>
                        <w:rPr>
                          <w:rFonts w:hint="eastAsia" w:eastAsia="宋体"/>
                          <w:lang w:val="en-US" w:eastAsia="zh-CN"/>
                        </w:rPr>
                      </w:pPr>
                      <w:r>
                        <w:rPr>
                          <w:rFonts w:hint="eastAsia"/>
                          <w:lang w:val="en-US" w:eastAsia="zh-CN"/>
                        </w:rPr>
                        <w:t>医务人员</w:t>
                      </w:r>
                    </w:p>
                  </w:txbxContent>
                </v:textbox>
              </v:shape>
            </w:pict>
          </mc:Fallback>
        </mc:AlternateContent>
      </w:r>
    </w:p>
    <w:p w14:paraId="5BACB8E8">
      <w:pPr>
        <w:jc w:val="center"/>
        <w:rPr>
          <w:rFonts w:hint="default" w:ascii="Times New Roman" w:hAnsi="Times New Roman" w:cs="Times New Roman"/>
          <w:b/>
          <w:bCs/>
          <w:color w:val="auto"/>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729920" behindDoc="0" locked="0" layoutInCell="1" allowOverlap="1">
                <wp:simplePos x="0" y="0"/>
                <wp:positionH relativeFrom="column">
                  <wp:posOffset>1819910</wp:posOffset>
                </wp:positionH>
                <wp:positionV relativeFrom="paragraph">
                  <wp:posOffset>65405</wp:posOffset>
                </wp:positionV>
                <wp:extent cx="426720" cy="2667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426720" cy="266700"/>
                        </a:xfrm>
                        <a:prstGeom prst="rect">
                          <a:avLst/>
                        </a:prstGeom>
                        <a:noFill/>
                        <a:ln w="9525">
                          <a:noFill/>
                        </a:ln>
                      </wps:spPr>
                      <wps:txbx>
                        <w:txbxContent>
                          <w:p w14:paraId="43BB160A">
                            <w:pPr>
                              <w:rPr>
                                <w:rFonts w:hint="eastAsia" w:eastAsia="宋体"/>
                                <w:lang w:val="en-US" w:eastAsia="zh-CN"/>
                              </w:rPr>
                            </w:pPr>
                            <w:r>
                              <w:rPr>
                                <w:rFonts w:hint="eastAsia"/>
                                <w:lang w:val="en-US" w:eastAsia="zh-CN"/>
                              </w:rPr>
                              <w:t>0.7</w:t>
                            </w:r>
                          </w:p>
                        </w:txbxContent>
                      </wps:txbx>
                      <wps:bodyPr upright="1"/>
                    </wps:wsp>
                  </a:graphicData>
                </a:graphic>
              </wp:anchor>
            </w:drawing>
          </mc:Choice>
          <mc:Fallback>
            <w:pict>
              <v:shape id="_x0000_s1026" o:spid="_x0000_s1026" o:spt="202" type="#_x0000_t202" style="position:absolute;left:0pt;margin-left:143.3pt;margin-top:5.15pt;height:21pt;width:33.6pt;z-index:251729920;mso-width-relative:page;mso-height-relative:page;" filled="f" stroked="f" coordsize="21600,21600" o:gfxdata="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KJYgTWAAAACQEAAA8AAAAAAAAAAQAgAAAAIgAAAGRycy9kb3ducmV2LnhtbFBLAQIUABQAAAAI&#10;AIdO4kC7agXPtgEAAFgDAAAOAAAAAAAAAAEAIAAAACUBAABkcnMvZTJvRG9jLnhtbFBLBQYAAAAA&#10;BgAGAFkBAABNBQAAAAA=&#10;">
                <v:fill on="f" focussize="0,0"/>
                <v:stroke on="f"/>
                <v:imagedata o:title=""/>
                <o:lock v:ext="edit" aspectratio="f"/>
                <v:textbox>
                  <w:txbxContent>
                    <w:p w14:paraId="43BB160A">
                      <w:pPr>
                        <w:rPr>
                          <w:rFonts w:hint="eastAsia" w:eastAsia="宋体"/>
                          <w:lang w:val="en-US" w:eastAsia="zh-CN"/>
                        </w:rPr>
                      </w:pPr>
                      <w:r>
                        <w:rPr>
                          <w:rFonts w:hint="eastAsia"/>
                          <w:lang w:val="en-US" w:eastAsia="zh-CN"/>
                        </w:rPr>
                        <w:t>0.7</w:t>
                      </w:r>
                    </w:p>
                  </w:txbxContent>
                </v:textbox>
              </v:shape>
            </w:pict>
          </mc:Fallback>
        </mc:AlternateContent>
      </w:r>
    </w:p>
    <w:p w14:paraId="07FF966A">
      <w:pPr>
        <w:jc w:val="center"/>
        <w:rPr>
          <w:rFonts w:hint="default" w:ascii="Times New Roman" w:hAnsi="Times New Roman" w:cs="Times New Roman"/>
          <w:b/>
          <w:bCs/>
          <w:color w:val="auto"/>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673600" behindDoc="0" locked="0" layoutInCell="1" allowOverlap="1">
                <wp:simplePos x="0" y="0"/>
                <wp:positionH relativeFrom="column">
                  <wp:posOffset>1750060</wp:posOffset>
                </wp:positionH>
                <wp:positionV relativeFrom="paragraph">
                  <wp:posOffset>44450</wp:posOffset>
                </wp:positionV>
                <wp:extent cx="161925" cy="116205"/>
                <wp:effectExtent l="3810" t="3175" r="5715" b="13970"/>
                <wp:wrapNone/>
                <wp:docPr id="16" name="任意多边形 16"/>
                <wp:cNvGraphicFramePr/>
                <a:graphic xmlns:a="http://schemas.openxmlformats.org/drawingml/2006/main">
                  <a:graphicData uri="http://schemas.microsoft.com/office/word/2010/wordprocessingShape">
                    <wps:wsp>
                      <wps:cNvSpPr/>
                      <wps:spPr>
                        <a:xfrm>
                          <a:off x="0" y="0"/>
                          <a:ext cx="161925" cy="116205"/>
                        </a:xfrm>
                        <a:custGeom>
                          <a:avLst/>
                          <a:gdLst/>
                          <a:ahLst/>
                          <a:cxnLst/>
                          <a:pathLst>
                            <a:path w="268" h="312">
                              <a:moveTo>
                                <a:pt x="0" y="312"/>
                              </a:moveTo>
                              <a:cubicBezTo>
                                <a:pt x="38" y="218"/>
                                <a:pt x="76" y="124"/>
                                <a:pt x="101" y="110"/>
                              </a:cubicBezTo>
                              <a:cubicBezTo>
                                <a:pt x="126" y="96"/>
                                <a:pt x="123" y="246"/>
                                <a:pt x="151" y="228"/>
                              </a:cubicBezTo>
                              <a:cubicBezTo>
                                <a:pt x="179" y="210"/>
                                <a:pt x="249" y="38"/>
                                <a:pt x="268" y="0"/>
                              </a:cubicBez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37.8pt;margin-top:3.5pt;height:9.15pt;width:12.75pt;z-index:251673600;mso-width-relative:page;mso-height-relative:page;" filled="f" stroked="t" coordsize="268,312" o:gfxdata="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RAVgttYAAAAIAQAADwAAAAAA&#10;AAABACAAAAAiAAAAZHJzL2Rvd25yZXYueG1sUEsBAhQAFAAAAAgAh07iQOfpeD2HAgAAigUAAA4A&#10;AAAAAAAAAQAgAAAAJQEAAGRycy9lMm9Eb2MueG1sUEsFBgAAAAAGAAYAWQEAAB4GAAAAAA==&#10;" path="m0,312c38,218,76,124,101,110c126,96,123,246,151,228c179,210,249,38,268,0e">
                <v:fill on="f" focussize="0,0"/>
                <v:stroke color="#000000" joinstyle="round"/>
                <v:imagedata o:title=""/>
                <o:lock v:ext="edit" aspectratio="f"/>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736064" behindDoc="0" locked="0" layoutInCell="1" allowOverlap="1">
                <wp:simplePos x="0" y="0"/>
                <wp:positionH relativeFrom="column">
                  <wp:posOffset>818515</wp:posOffset>
                </wp:positionH>
                <wp:positionV relativeFrom="paragraph">
                  <wp:posOffset>78740</wp:posOffset>
                </wp:positionV>
                <wp:extent cx="426720" cy="2667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426720" cy="266700"/>
                        </a:xfrm>
                        <a:prstGeom prst="rect">
                          <a:avLst/>
                        </a:prstGeom>
                        <a:noFill/>
                        <a:ln w="9525">
                          <a:noFill/>
                        </a:ln>
                      </wps:spPr>
                      <wps:txbx>
                        <w:txbxContent>
                          <w:p w14:paraId="0057328A">
                            <w:pPr>
                              <w:rPr>
                                <w:rFonts w:hint="eastAsia" w:eastAsia="宋体"/>
                                <w:lang w:val="en-US" w:eastAsia="zh-CN"/>
                              </w:rPr>
                            </w:pPr>
                            <w:r>
                              <w:rPr>
                                <w:rFonts w:hint="eastAsia"/>
                                <w:lang w:val="en-US" w:eastAsia="zh-CN"/>
                              </w:rPr>
                              <w:t>0.7</w:t>
                            </w:r>
                          </w:p>
                        </w:txbxContent>
                      </wps:txbx>
                      <wps:bodyPr upright="1"/>
                    </wps:wsp>
                  </a:graphicData>
                </a:graphic>
              </wp:anchor>
            </w:drawing>
          </mc:Choice>
          <mc:Fallback>
            <w:pict>
              <v:shape id="_x0000_s1026" o:spid="_x0000_s1026" o:spt="202" type="#_x0000_t202" style="position:absolute;left:0pt;margin-left:64.45pt;margin-top:6.2pt;height:21pt;width:33.6pt;z-index:251736064;mso-width-relative:page;mso-height-relative:page;" filled="f" stroked="f" coordsize="21600,21600" o:gfxdata="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oLb1XWAAAACQEAAA8AAAAAAAAAAQAgAAAAIgAAAGRycy9kb3ducmV2LnhtbFBLAQIUABQAAAAI&#10;AIdO4kBfknJqtgEAAFgDAAAOAAAAAAAAAAEAIAAAACUBAABkcnMvZTJvRG9jLnhtbFBLBQYAAAAA&#10;BgAGAFkBAABNBQAAAAA=&#10;">
                <v:fill on="f" focussize="0,0"/>
                <v:stroke on="f"/>
                <v:imagedata o:title=""/>
                <o:lock v:ext="edit" aspectratio="f"/>
                <v:textbox>
                  <w:txbxContent>
                    <w:p w14:paraId="0057328A">
                      <w:pPr>
                        <w:rPr>
                          <w:rFonts w:hint="eastAsia" w:eastAsia="宋体"/>
                          <w:lang w:val="en-US" w:eastAsia="zh-CN"/>
                        </w:rPr>
                      </w:pPr>
                      <w:r>
                        <w:rPr>
                          <w:rFonts w:hint="eastAsia"/>
                          <w:lang w:val="en-US" w:eastAsia="zh-CN"/>
                        </w:rPr>
                        <w:t>0.7</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735040" behindDoc="0" locked="0" layoutInCell="1" allowOverlap="1">
                <wp:simplePos x="0" y="0"/>
                <wp:positionH relativeFrom="column">
                  <wp:posOffset>1316355</wp:posOffset>
                </wp:positionH>
                <wp:positionV relativeFrom="paragraph">
                  <wp:posOffset>167640</wp:posOffset>
                </wp:positionV>
                <wp:extent cx="1290955" cy="276225"/>
                <wp:effectExtent l="4445" t="4445" r="19050" b="5080"/>
                <wp:wrapNone/>
                <wp:docPr id="10" name="文本框 10"/>
                <wp:cNvGraphicFramePr/>
                <a:graphic xmlns:a="http://schemas.openxmlformats.org/drawingml/2006/main">
                  <a:graphicData uri="http://schemas.microsoft.com/office/word/2010/wordprocessingShape">
                    <wps:wsp>
                      <wps:cNvSpPr txBox="1"/>
                      <wps:spPr>
                        <a:xfrm>
                          <a:off x="0" y="0"/>
                          <a:ext cx="1290955" cy="2762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CCB62F">
                            <w:pPr>
                              <w:rPr>
                                <w:rFonts w:hint="eastAsia"/>
                                <w:highlight w:val="none"/>
                                <w:lang w:val="en-US" w:eastAsia="zh-CN"/>
                              </w:rPr>
                            </w:pPr>
                            <w:r>
                              <w:rPr>
                                <w:rFonts w:hint="eastAsia" w:cs="Times New Roman"/>
                                <w:color w:val="auto"/>
                                <w:sz w:val="21"/>
                                <w:szCs w:val="21"/>
                                <w:highlight w:val="none"/>
                                <w:lang w:eastAsia="zh-CN"/>
                              </w:rPr>
                              <w:t>中央空调水冷机组</w:t>
                            </w:r>
                          </w:p>
                        </w:txbxContent>
                      </wps:txbx>
                      <wps:bodyPr upright="1"/>
                    </wps:wsp>
                  </a:graphicData>
                </a:graphic>
              </wp:anchor>
            </w:drawing>
          </mc:Choice>
          <mc:Fallback>
            <w:pict>
              <v:shape id="_x0000_s1026" o:spid="_x0000_s1026" o:spt="202" type="#_x0000_t202" style="position:absolute;left:0pt;margin-left:103.65pt;margin-top:13.2pt;height:21.75pt;width:101.65pt;z-index:251735040;mso-width-relative:page;mso-height-relative:page;" fillcolor="#FFFFFF" filled="t" stroked="t" coordsize="21600,21600" o:gfxdata="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WNdM6NkAAAAJAQAADwAAAAAAAAABACAAAAAi&#10;AAAAZHJzL2Rvd25yZXYueG1sUEsBAhQAFAAAAAgAh07iQCPMuV8JAgAAOAQAAA4AAAAAAAAAAQAg&#10;AAAAKAEAAGRycy9lMm9Eb2MueG1sUEsFBgAAAAAGAAYAWQEAAKMFAAAAAA==&#10;">
                <v:fill on="t" focussize="0,0"/>
                <v:stroke color="#000000" joinstyle="miter"/>
                <v:imagedata o:title=""/>
                <o:lock v:ext="edit" aspectratio="f"/>
                <v:textbox>
                  <w:txbxContent>
                    <w:p w14:paraId="72CCB62F">
                      <w:pPr>
                        <w:rPr>
                          <w:rFonts w:hint="eastAsia"/>
                          <w:highlight w:val="none"/>
                          <w:lang w:val="en-US" w:eastAsia="zh-CN"/>
                        </w:rPr>
                      </w:pPr>
                      <w:r>
                        <w:rPr>
                          <w:rFonts w:hint="eastAsia" w:cs="Times New Roman"/>
                          <w:color w:val="auto"/>
                          <w:sz w:val="21"/>
                          <w:szCs w:val="21"/>
                          <w:highlight w:val="none"/>
                          <w:lang w:eastAsia="zh-CN"/>
                        </w:rPr>
                        <w:t>中央空调水冷机组</w:t>
                      </w:r>
                    </w:p>
                  </w:txbxContent>
                </v:textbox>
              </v:shape>
            </w:pict>
          </mc:Fallback>
        </mc:AlternateContent>
      </w:r>
    </w:p>
    <w:p w14:paraId="35D79FDA">
      <w:pPr>
        <w:jc w:val="center"/>
        <w:rPr>
          <w:rFonts w:hint="default" w:ascii="Times New Roman" w:hAnsi="Times New Roman" w:cs="Times New Roman"/>
          <w:b/>
          <w:bCs/>
          <w:color w:val="auto"/>
          <w:highlight w:val="none"/>
        </w:rPr>
      </w:pPr>
      <w:r>
        <w:rPr>
          <w:color w:val="auto"/>
          <w:sz w:val="21"/>
          <w:highlight w:val="none"/>
        </w:rPr>
        <mc:AlternateContent>
          <mc:Choice Requires="wps">
            <w:drawing>
              <wp:anchor distT="0" distB="0" distL="114300" distR="114300" simplePos="0" relativeHeight="251740160" behindDoc="0" locked="0" layoutInCell="1" allowOverlap="1">
                <wp:simplePos x="0" y="0"/>
                <wp:positionH relativeFrom="column">
                  <wp:posOffset>1962150</wp:posOffset>
                </wp:positionH>
                <wp:positionV relativeFrom="paragraph">
                  <wp:posOffset>107950</wp:posOffset>
                </wp:positionV>
                <wp:extent cx="645160" cy="137795"/>
                <wp:effectExtent l="38100" t="4445" r="250190" b="257810"/>
                <wp:wrapNone/>
                <wp:docPr id="11" name="肘形连接符 11"/>
                <wp:cNvGraphicFramePr/>
                <a:graphic xmlns:a="http://schemas.openxmlformats.org/drawingml/2006/main">
                  <a:graphicData uri="http://schemas.microsoft.com/office/word/2010/wordprocessingShape">
                    <wps:wsp>
                      <wps:cNvCnPr>
                        <a:stCxn id="10" idx="3"/>
                        <a:endCxn id="10" idx="2"/>
                      </wps:cNvCnPr>
                      <wps:spPr>
                        <a:xfrm flipH="1">
                          <a:off x="2862580" y="3858260"/>
                          <a:ext cx="645160" cy="137795"/>
                        </a:xfrm>
                        <a:prstGeom prst="bentConnector4">
                          <a:avLst>
                            <a:gd name="adj1" fmla="val -36909"/>
                            <a:gd name="adj2" fmla="val 27281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5" type="#_x0000_t35" style="position:absolute;left:0pt;flip:x;margin-left:154.5pt;margin-top:8.5pt;height:10.85pt;width:50.8pt;z-index:251740160;mso-width-relative:page;mso-height-relative:page;" filled="f" stroked="t" coordsize="21600,21600" o:gfxdata="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Kxpv6jZAAAACQEAAA8AAAAAAAAAAQAgAAAAIgAAAGRycy9kb3ducmV2Lnht&#10;bFBLAQIUABQAAAAIAIdO4kCgKjgZagIAALIEAAAOAAAAAAAAAAEAIAAAACgBAABkcnMvZTJvRG9j&#10;LnhtbFBLBQYAAAAABgAGAFkBAAAEBgAAAAA=&#10;" adj="-7972,58927">
                <v:fill on="f" focussize="0,0"/>
                <v:stroke weight="0.5pt" color="#000000 [3213]" miterlimit="8" joinstyle="miter" endarrow="block"/>
                <v:imagedata o:title=""/>
                <o:lock v:ext="edit" aspectratio="f"/>
              </v:shape>
            </w:pict>
          </mc:Fallback>
        </mc:AlternateContent>
      </w:r>
      <w:r>
        <w:rPr>
          <w:color w:val="auto"/>
          <w:sz w:val="21"/>
          <w:highlight w:val="none"/>
        </w:rPr>
        <mc:AlternateContent>
          <mc:Choice Requires="wps">
            <w:drawing>
              <wp:anchor distT="0" distB="0" distL="114300" distR="114300" simplePos="0" relativeHeight="251739136" behindDoc="0" locked="0" layoutInCell="1" allowOverlap="1">
                <wp:simplePos x="0" y="0"/>
                <wp:positionH relativeFrom="column">
                  <wp:posOffset>737870</wp:posOffset>
                </wp:positionH>
                <wp:positionV relativeFrom="paragraph">
                  <wp:posOffset>107950</wp:posOffset>
                </wp:positionV>
                <wp:extent cx="571500" cy="0"/>
                <wp:effectExtent l="0" t="38100" r="0" b="38100"/>
                <wp:wrapNone/>
                <wp:docPr id="4" name="直接箭头连接符 4"/>
                <wp:cNvGraphicFramePr/>
                <a:graphic xmlns:a="http://schemas.openxmlformats.org/drawingml/2006/main">
                  <a:graphicData uri="http://schemas.microsoft.com/office/word/2010/wordprocessingShape">
                    <wps:wsp>
                      <wps:cNvCnPr/>
                      <wps:spPr>
                        <a:xfrm>
                          <a:off x="1638300" y="3858260"/>
                          <a:ext cx="571500" cy="0"/>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58.1pt;margin-top:8.5pt;height:0pt;width:45pt;z-index:251739136;mso-width-relative:page;mso-height-relative:page;" filled="f" stroked="t" coordsize="21600,21600" o:gfxdata="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bmhEQdIA&#10;AAAJAQAADwAAAAAAAAABACAAAAAiAAAAZHJzL2Rvd25yZXYueG1sUEsBAhQAFAAAAAgAh07iQIij&#10;wuolAgAAFgQAAA4AAAAAAAAAAQAgAAAAIQEAAGRycy9lMm9Eb2MueG1sUEsFBgAAAAAGAAYAWQEA&#10;ALgFAAAAAA==&#10;">
                <v:fill on="f" focussize="0,0"/>
                <v:stroke weight="0.5pt" color="#000000 [3213]" miterlimit="8" joinstyle="miter" endarrow="block"/>
                <v:imagedata o:title=""/>
                <o:lock v:ext="edit" aspectratio="f"/>
              </v:shape>
            </w:pict>
          </mc:Fallback>
        </mc:AlternateContent>
      </w:r>
    </w:p>
    <w:p w14:paraId="12D3C50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auto"/>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676672" behindDoc="0" locked="0" layoutInCell="1" allowOverlap="1">
                <wp:simplePos x="0" y="0"/>
                <wp:positionH relativeFrom="column">
                  <wp:posOffset>2278380</wp:posOffset>
                </wp:positionH>
                <wp:positionV relativeFrom="paragraph">
                  <wp:posOffset>60960</wp:posOffset>
                </wp:positionV>
                <wp:extent cx="426720" cy="2667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426720" cy="266700"/>
                        </a:xfrm>
                        <a:prstGeom prst="rect">
                          <a:avLst/>
                        </a:prstGeom>
                        <a:noFill/>
                        <a:ln w="9525">
                          <a:noFill/>
                        </a:ln>
                      </wps:spPr>
                      <wps:txbx>
                        <w:txbxContent>
                          <w:p w14:paraId="19F9370D">
                            <w:pPr>
                              <w:rPr>
                                <w:rFonts w:hint="eastAsia" w:eastAsia="宋体"/>
                                <w:lang w:val="en-US" w:eastAsia="zh-CN"/>
                              </w:rPr>
                            </w:pPr>
                            <w:r>
                              <w:rPr>
                                <w:rFonts w:hint="eastAsia"/>
                                <w:lang w:val="en-US" w:eastAsia="zh-CN"/>
                              </w:rPr>
                              <w:t>2.9</w:t>
                            </w:r>
                          </w:p>
                        </w:txbxContent>
                      </wps:txbx>
                      <wps:bodyPr upright="1"/>
                    </wps:wsp>
                  </a:graphicData>
                </a:graphic>
              </wp:anchor>
            </w:drawing>
          </mc:Choice>
          <mc:Fallback>
            <w:pict>
              <v:shape id="_x0000_s1026" o:spid="_x0000_s1026" o:spt="202" type="#_x0000_t202" style="position:absolute;left:0pt;margin-left:179.4pt;margin-top:4.8pt;height:21pt;width:33.6pt;z-index:251676672;mso-width-relative:page;mso-height-relative:page;" filled="f" stroked="f" coordsize="21600,21600" o:gfxdata="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GLTP+NYAAAAIAQAADwAAAAAAAAABACAAAAAiAAAAZHJzL2Rvd25yZXYueG1sUEsBAhQAFAAAAAgA&#10;h07iQOzXeTW1AQAAWAMAAA4AAAAAAAAAAQAgAAAAJQEAAGRycy9lMm9Eb2MueG1sUEsFBgAAAAAG&#10;AAYAWQEAAEwFAAAAAA==&#10;">
                <v:fill on="f" focussize="0,0"/>
                <v:stroke on="f"/>
                <v:imagedata o:title=""/>
                <o:lock v:ext="edit" aspectratio="f"/>
                <v:textbox>
                  <w:txbxContent>
                    <w:p w14:paraId="19F9370D">
                      <w:pPr>
                        <w:rPr>
                          <w:rFonts w:hint="eastAsia" w:eastAsia="宋体"/>
                          <w:lang w:val="en-US" w:eastAsia="zh-CN"/>
                        </w:rPr>
                      </w:pPr>
                      <w:r>
                        <w:rPr>
                          <w:rFonts w:hint="eastAsia"/>
                          <w:lang w:val="en-US" w:eastAsia="zh-CN"/>
                        </w:rPr>
                        <w:t>2.9</w:t>
                      </w:r>
                    </w:p>
                  </w:txbxContent>
                </v:textbox>
              </v:shape>
            </w:pict>
          </mc:Fallback>
        </mc:AlternateContent>
      </w:r>
    </w:p>
    <w:p w14:paraId="16EBA48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auto"/>
          <w:highlight w:val="none"/>
        </w:rPr>
      </w:pPr>
    </w:p>
    <w:p w14:paraId="47795E8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FF0000"/>
          <w:highlight w:val="none"/>
        </w:rPr>
      </w:pPr>
      <w:r>
        <w:rPr>
          <w:rFonts w:hint="default" w:ascii="Times New Roman" w:hAnsi="Times New Roman" w:cs="Times New Roman"/>
          <w:b/>
          <w:bCs/>
          <w:color w:val="FF0000"/>
          <w:highlight w:val="none"/>
        </w:rPr>
        <w:t>图</w:t>
      </w:r>
      <w:r>
        <w:rPr>
          <w:rFonts w:hint="eastAsia" w:cs="Times New Roman"/>
          <w:b/>
          <w:bCs/>
          <w:color w:val="FF0000"/>
          <w:highlight w:val="none"/>
          <w:lang w:val="en-US" w:eastAsia="zh-CN"/>
        </w:rPr>
        <w:t>5</w:t>
      </w:r>
      <w:r>
        <w:rPr>
          <w:rFonts w:hint="default" w:ascii="Times New Roman" w:hAnsi="Times New Roman" w:cs="Times New Roman"/>
          <w:b/>
          <w:bCs/>
          <w:color w:val="FF0000"/>
          <w:highlight w:val="none"/>
        </w:rPr>
        <w:t>本项目水平衡图  单位：m</w:t>
      </w:r>
      <w:r>
        <w:rPr>
          <w:rFonts w:hint="default" w:ascii="Times New Roman" w:hAnsi="Times New Roman" w:cs="Times New Roman"/>
          <w:b/>
          <w:bCs/>
          <w:color w:val="FF0000"/>
          <w:highlight w:val="none"/>
          <w:vertAlign w:val="superscript"/>
        </w:rPr>
        <w:t>3</w:t>
      </w:r>
      <w:r>
        <w:rPr>
          <w:rFonts w:hint="default" w:ascii="Times New Roman" w:hAnsi="Times New Roman" w:cs="Times New Roman"/>
          <w:b/>
          <w:bCs/>
          <w:color w:val="FF0000"/>
          <w:highlight w:val="none"/>
        </w:rPr>
        <w:t>/d</w:t>
      </w:r>
    </w:p>
    <w:p w14:paraId="0598A13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2.2.</w:t>
      </w:r>
      <w:r>
        <w:rPr>
          <w:rFonts w:hint="eastAsia"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主要污染物产量</w:t>
      </w:r>
    </w:p>
    <w:p w14:paraId="083FA6B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FF0000"/>
          <w:sz w:val="24"/>
          <w:szCs w:val="24"/>
          <w:highlight w:val="none"/>
        </w:rPr>
        <w:t>项目废水中主要污染物为COD、NH</w:t>
      </w:r>
      <w:r>
        <w:rPr>
          <w:rFonts w:hint="default" w:ascii="Times New Roman" w:hAnsi="Times New Roman" w:cs="Times New Roman"/>
          <w:color w:val="FF0000"/>
          <w:sz w:val="24"/>
          <w:szCs w:val="24"/>
          <w:highlight w:val="none"/>
          <w:vertAlign w:val="subscript"/>
        </w:rPr>
        <w:t>3</w:t>
      </w:r>
      <w:r>
        <w:rPr>
          <w:rFonts w:hint="default" w:ascii="Times New Roman" w:hAnsi="Times New Roman" w:cs="Times New Roman"/>
          <w:color w:val="FF0000"/>
          <w:sz w:val="24"/>
          <w:szCs w:val="24"/>
          <w:highlight w:val="none"/>
        </w:rPr>
        <w:t>-N、SS、粪大肠菌群数，项目医疗废水经医院</w:t>
      </w:r>
      <w:r>
        <w:rPr>
          <w:rFonts w:hint="eastAsia"/>
          <w:color w:val="FF0000"/>
          <w:sz w:val="24"/>
          <w:highlight w:val="none"/>
        </w:rPr>
        <w:t>污水处理设施</w:t>
      </w:r>
      <w:r>
        <w:rPr>
          <w:rFonts w:hint="eastAsia" w:ascii="宋体" w:hAnsi="宋体"/>
          <w:color w:val="FF0000"/>
          <w:sz w:val="24"/>
          <w:highlight w:val="none"/>
          <w:lang w:eastAsia="zh-CN"/>
        </w:rPr>
        <w:t>一级强化工艺</w:t>
      </w:r>
      <w:r>
        <w:rPr>
          <w:rFonts w:hint="eastAsia" w:ascii="宋体" w:hAnsi="宋体"/>
          <w:color w:val="FF0000"/>
          <w:sz w:val="24"/>
          <w:highlight w:val="none"/>
        </w:rPr>
        <w:t>预处理后</w:t>
      </w:r>
      <w:r>
        <w:rPr>
          <w:rFonts w:hint="default" w:ascii="Times New Roman" w:hAnsi="Times New Roman" w:cs="Times New Roman"/>
          <w:color w:val="FF0000"/>
          <w:sz w:val="24"/>
          <w:szCs w:val="24"/>
          <w:highlight w:val="none"/>
        </w:rPr>
        <w:t>排入污水管网，消毒接触池的接触时间为1.5h，控制药物投放量，类比同类设施，不采用除氯设施，接触池出口总余氯一般控制在6mg/L左右</w:t>
      </w:r>
      <w:r>
        <w:rPr>
          <w:rFonts w:hint="eastAsia" w:cs="Times New Roman"/>
          <w:color w:val="FF0000"/>
          <w:sz w:val="24"/>
          <w:szCs w:val="24"/>
          <w:highlight w:val="none"/>
          <w:lang w:eastAsia="zh-CN"/>
        </w:rPr>
        <w:t>；</w:t>
      </w:r>
      <w:r>
        <w:rPr>
          <w:rFonts w:hint="eastAsia" w:cs="Times New Roman"/>
          <w:color w:val="auto"/>
          <w:sz w:val="24"/>
          <w:szCs w:val="24"/>
          <w:highlight w:val="none"/>
          <w:lang w:eastAsia="zh-CN"/>
        </w:rPr>
        <w:t>生活污水进入小区内设的化粪池，处理后排入</w:t>
      </w:r>
      <w:r>
        <w:rPr>
          <w:rFonts w:hint="default" w:ascii="Times New Roman" w:hAnsi="Times New Roman" w:cs="Times New Roman"/>
          <w:color w:val="auto"/>
          <w:sz w:val="24"/>
          <w:szCs w:val="24"/>
          <w:highlight w:val="none"/>
        </w:rPr>
        <w:t>污水管网</w:t>
      </w:r>
      <w:r>
        <w:rPr>
          <w:rFonts w:hint="eastAsia" w:cs="Times New Roman"/>
          <w:color w:val="auto"/>
          <w:sz w:val="24"/>
          <w:szCs w:val="24"/>
          <w:highlight w:val="none"/>
          <w:lang w:eastAsia="zh-CN"/>
        </w:rPr>
        <w:t>。污染物浓度</w:t>
      </w:r>
      <w:r>
        <w:rPr>
          <w:rFonts w:hint="default" w:ascii="Times New Roman" w:hAnsi="Times New Roman" w:cs="Times New Roman"/>
          <w:color w:val="auto"/>
          <w:sz w:val="24"/>
          <w:szCs w:val="24"/>
          <w:highlight w:val="none"/>
        </w:rPr>
        <w:t>参照《医院污水处理技术指南》</w:t>
      </w:r>
      <w:r>
        <w:rPr>
          <w:rFonts w:hint="eastAsia" w:cs="Times New Roman"/>
          <w:color w:val="auto"/>
          <w:sz w:val="24"/>
          <w:szCs w:val="24"/>
          <w:highlight w:val="none"/>
          <w:lang w:eastAsia="zh-CN"/>
        </w:rPr>
        <w:t>表</w:t>
      </w:r>
      <w:r>
        <w:rPr>
          <w:rFonts w:hint="eastAsia" w:cs="Times New Roman"/>
          <w:color w:val="auto"/>
          <w:sz w:val="24"/>
          <w:szCs w:val="24"/>
          <w:highlight w:val="none"/>
          <w:lang w:val="en-US" w:eastAsia="zh-CN"/>
        </w:rPr>
        <w:t>2-2医院污水水质</w:t>
      </w:r>
      <w:r>
        <w:rPr>
          <w:rFonts w:hint="default" w:ascii="Times New Roman" w:hAnsi="Times New Roman" w:cs="Times New Roman"/>
          <w:color w:val="auto"/>
          <w:sz w:val="24"/>
          <w:szCs w:val="24"/>
          <w:highlight w:val="none"/>
        </w:rPr>
        <w:t>，则本项目废水及污染物产</w:t>
      </w:r>
      <w:r>
        <w:rPr>
          <w:rFonts w:hint="eastAsia" w:cs="Times New Roman"/>
          <w:color w:val="auto"/>
          <w:sz w:val="24"/>
          <w:szCs w:val="24"/>
          <w:highlight w:val="none"/>
          <w:lang w:eastAsia="zh-CN"/>
        </w:rPr>
        <w:t>排</w:t>
      </w:r>
      <w:r>
        <w:rPr>
          <w:rFonts w:hint="default" w:ascii="Times New Roman" w:hAnsi="Times New Roman" w:cs="Times New Roman"/>
          <w:color w:val="auto"/>
          <w:sz w:val="24"/>
          <w:szCs w:val="24"/>
          <w:highlight w:val="none"/>
        </w:rPr>
        <w:t>情况如</w:t>
      </w:r>
      <w:r>
        <w:rPr>
          <w:rFonts w:hint="eastAsia" w:cs="Times New Roman"/>
          <w:color w:val="auto"/>
          <w:sz w:val="24"/>
          <w:szCs w:val="24"/>
          <w:highlight w:val="none"/>
          <w:lang w:eastAsia="zh-CN"/>
        </w:rPr>
        <w:t>下表</w:t>
      </w:r>
      <w:r>
        <w:rPr>
          <w:rFonts w:hint="default" w:ascii="Times New Roman" w:hAnsi="Times New Roman" w:cs="Times New Roman"/>
          <w:color w:val="auto"/>
          <w:sz w:val="24"/>
          <w:szCs w:val="24"/>
          <w:highlight w:val="none"/>
        </w:rPr>
        <w:t>所示。</w:t>
      </w:r>
    </w:p>
    <w:p w14:paraId="43B5510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Times New Roman" w:hAnsi="Times New Roman" w:eastAsia="宋体" w:cs="Times New Roman"/>
          <w:b/>
          <w:bCs/>
          <w:color w:val="auto"/>
          <w:highlight w:val="none"/>
          <w:lang w:eastAsia="zh-CN"/>
        </w:rPr>
      </w:pPr>
      <w:r>
        <w:rPr>
          <w:rFonts w:hint="default" w:ascii="Times New Roman" w:hAnsi="Times New Roman" w:cs="Times New Roman"/>
          <w:b/>
          <w:bCs/>
          <w:color w:val="auto"/>
          <w:highlight w:val="none"/>
        </w:rPr>
        <w:t>表2</w:t>
      </w:r>
      <w:r>
        <w:rPr>
          <w:rFonts w:hint="eastAsia" w:cs="Times New Roman"/>
          <w:b/>
          <w:bCs/>
          <w:color w:val="auto"/>
          <w:highlight w:val="none"/>
          <w:lang w:val="en-US" w:eastAsia="zh-CN"/>
        </w:rPr>
        <w:t xml:space="preserve">3                              </w:t>
      </w:r>
      <w:r>
        <w:rPr>
          <w:rFonts w:hint="eastAsia" w:cs="Times New Roman"/>
          <w:b/>
          <w:bCs/>
          <w:color w:val="auto"/>
          <w:highlight w:val="none"/>
          <w:lang w:eastAsia="zh-CN"/>
        </w:rPr>
        <w:t>废水产排情况一览表</w:t>
      </w:r>
    </w:p>
    <w:tbl>
      <w:tblPr>
        <w:tblStyle w:val="25"/>
        <w:tblW w:w="92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650"/>
        <w:gridCol w:w="1473"/>
        <w:gridCol w:w="1663"/>
        <w:gridCol w:w="1569"/>
        <w:gridCol w:w="1797"/>
      </w:tblGrid>
      <w:tr w14:paraId="1BCDA5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vMerge w:val="restart"/>
            <w:tcBorders>
              <w:tl2br w:val="nil"/>
              <w:tr2bl w:val="nil"/>
            </w:tcBorders>
            <w:vAlign w:val="center"/>
          </w:tcPr>
          <w:p w14:paraId="4477538D">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eastAsia="zh-CN"/>
              </w:rPr>
            </w:pPr>
            <w:r>
              <w:rPr>
                <w:rFonts w:hint="eastAsia"/>
                <w:color w:val="auto"/>
                <w:sz w:val="21"/>
                <w:szCs w:val="21"/>
                <w:highlight w:val="none"/>
                <w:vertAlign w:val="baseline"/>
                <w:lang w:eastAsia="zh-CN"/>
              </w:rPr>
              <w:t>废水种类</w:t>
            </w:r>
          </w:p>
        </w:tc>
        <w:tc>
          <w:tcPr>
            <w:tcW w:w="1650" w:type="dxa"/>
            <w:vMerge w:val="restart"/>
            <w:tcBorders>
              <w:tl2br w:val="nil"/>
              <w:tr2bl w:val="nil"/>
            </w:tcBorders>
            <w:vAlign w:val="center"/>
          </w:tcPr>
          <w:p w14:paraId="3D2E7E72">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eastAsia="zh-CN"/>
              </w:rPr>
            </w:pPr>
            <w:r>
              <w:rPr>
                <w:rFonts w:hint="eastAsia"/>
                <w:color w:val="auto"/>
                <w:sz w:val="21"/>
                <w:szCs w:val="21"/>
                <w:highlight w:val="none"/>
                <w:vertAlign w:val="baseline"/>
                <w:lang w:eastAsia="zh-CN"/>
              </w:rPr>
              <w:t>污染物名称</w:t>
            </w:r>
          </w:p>
        </w:tc>
        <w:tc>
          <w:tcPr>
            <w:tcW w:w="3136" w:type="dxa"/>
            <w:gridSpan w:val="2"/>
            <w:tcBorders>
              <w:tl2br w:val="nil"/>
              <w:tr2bl w:val="nil"/>
            </w:tcBorders>
            <w:vAlign w:val="center"/>
          </w:tcPr>
          <w:p w14:paraId="4E6EB31A">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eastAsia="zh-CN"/>
              </w:rPr>
            </w:pPr>
            <w:r>
              <w:rPr>
                <w:rFonts w:hint="eastAsia"/>
                <w:color w:val="auto"/>
                <w:sz w:val="21"/>
                <w:szCs w:val="21"/>
                <w:highlight w:val="none"/>
                <w:vertAlign w:val="baseline"/>
                <w:lang w:eastAsia="zh-CN"/>
              </w:rPr>
              <w:t>产生浓度和产生量</w:t>
            </w:r>
          </w:p>
        </w:tc>
        <w:tc>
          <w:tcPr>
            <w:tcW w:w="3366" w:type="dxa"/>
            <w:gridSpan w:val="2"/>
            <w:tcBorders>
              <w:tl2br w:val="nil"/>
              <w:tr2bl w:val="nil"/>
            </w:tcBorders>
            <w:vAlign w:val="center"/>
          </w:tcPr>
          <w:p w14:paraId="146F833D">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eastAsia="zh-CN"/>
              </w:rPr>
            </w:pPr>
            <w:r>
              <w:rPr>
                <w:rFonts w:hint="eastAsia"/>
                <w:color w:val="auto"/>
                <w:sz w:val="21"/>
                <w:szCs w:val="21"/>
                <w:highlight w:val="none"/>
                <w:vertAlign w:val="baseline"/>
                <w:lang w:eastAsia="zh-CN"/>
              </w:rPr>
              <w:t>排放浓度及排放量</w:t>
            </w:r>
          </w:p>
        </w:tc>
      </w:tr>
      <w:tr w14:paraId="12327F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vMerge w:val="continue"/>
            <w:tcBorders>
              <w:tl2br w:val="nil"/>
              <w:tr2bl w:val="nil"/>
            </w:tcBorders>
            <w:vAlign w:val="center"/>
          </w:tcPr>
          <w:p w14:paraId="3C9B2D92">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default"/>
                <w:color w:val="auto"/>
                <w:sz w:val="21"/>
                <w:szCs w:val="21"/>
                <w:highlight w:val="none"/>
                <w:vertAlign w:val="baseline"/>
                <w:lang w:val="en-US"/>
              </w:rPr>
            </w:pPr>
          </w:p>
        </w:tc>
        <w:tc>
          <w:tcPr>
            <w:tcW w:w="1650" w:type="dxa"/>
            <w:vMerge w:val="continue"/>
            <w:tcBorders>
              <w:tl2br w:val="nil"/>
              <w:tr2bl w:val="nil"/>
            </w:tcBorders>
            <w:vAlign w:val="center"/>
          </w:tcPr>
          <w:p w14:paraId="067F57BB">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default"/>
                <w:color w:val="auto"/>
                <w:sz w:val="21"/>
                <w:szCs w:val="21"/>
                <w:highlight w:val="none"/>
                <w:vertAlign w:val="baseline"/>
              </w:rPr>
            </w:pPr>
          </w:p>
        </w:tc>
        <w:tc>
          <w:tcPr>
            <w:tcW w:w="1473" w:type="dxa"/>
            <w:tcBorders>
              <w:tl2br w:val="nil"/>
              <w:tr2bl w:val="nil"/>
            </w:tcBorders>
            <w:vAlign w:val="center"/>
          </w:tcPr>
          <w:p w14:paraId="59BDAB11">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mg</w:t>
            </w:r>
            <w:r>
              <w:rPr>
                <w:rFonts w:hint="default"/>
                <w:color w:val="auto"/>
                <w:sz w:val="21"/>
                <w:szCs w:val="21"/>
                <w:highlight w:val="none"/>
                <w:vertAlign w:val="baseline"/>
                <w:lang w:val="en-US" w:eastAsia="zh-CN"/>
              </w:rPr>
              <w:t>/L</w:t>
            </w:r>
          </w:p>
        </w:tc>
        <w:tc>
          <w:tcPr>
            <w:tcW w:w="1663" w:type="dxa"/>
            <w:tcBorders>
              <w:tl2br w:val="nil"/>
              <w:tr2bl w:val="nil"/>
            </w:tcBorders>
            <w:vAlign w:val="center"/>
          </w:tcPr>
          <w:p w14:paraId="517F3272">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default"/>
                <w:color w:val="auto"/>
                <w:sz w:val="21"/>
                <w:szCs w:val="21"/>
                <w:highlight w:val="none"/>
                <w:vertAlign w:val="baseline"/>
                <w:lang w:val="en-US"/>
              </w:rPr>
            </w:pPr>
            <w:r>
              <w:rPr>
                <w:rFonts w:hint="default"/>
                <w:color w:val="auto"/>
                <w:sz w:val="21"/>
                <w:szCs w:val="21"/>
                <w:highlight w:val="none"/>
                <w:vertAlign w:val="baseline"/>
                <w:lang w:val="en-US"/>
              </w:rPr>
              <w:t>t/a</w:t>
            </w:r>
          </w:p>
        </w:tc>
        <w:tc>
          <w:tcPr>
            <w:tcW w:w="1569" w:type="dxa"/>
            <w:tcBorders>
              <w:tl2br w:val="nil"/>
              <w:tr2bl w:val="nil"/>
            </w:tcBorders>
            <w:vAlign w:val="center"/>
          </w:tcPr>
          <w:p w14:paraId="68869763">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default"/>
                <w:color w:val="auto"/>
                <w:sz w:val="21"/>
                <w:szCs w:val="21"/>
                <w:highlight w:val="none"/>
                <w:vertAlign w:val="baseline"/>
              </w:rPr>
            </w:pPr>
            <w:r>
              <w:rPr>
                <w:rFonts w:hint="eastAsia"/>
                <w:color w:val="auto"/>
                <w:sz w:val="21"/>
                <w:szCs w:val="21"/>
                <w:highlight w:val="none"/>
                <w:vertAlign w:val="baseline"/>
                <w:lang w:val="en-US" w:eastAsia="zh-CN"/>
              </w:rPr>
              <w:t>mg</w:t>
            </w:r>
            <w:r>
              <w:rPr>
                <w:rFonts w:hint="default"/>
                <w:color w:val="auto"/>
                <w:sz w:val="21"/>
                <w:szCs w:val="21"/>
                <w:highlight w:val="none"/>
                <w:vertAlign w:val="baseline"/>
                <w:lang w:val="en-US" w:eastAsia="zh-CN"/>
              </w:rPr>
              <w:t>/L</w:t>
            </w:r>
          </w:p>
        </w:tc>
        <w:tc>
          <w:tcPr>
            <w:tcW w:w="1797" w:type="dxa"/>
            <w:tcBorders>
              <w:tl2br w:val="nil"/>
              <w:tr2bl w:val="nil"/>
            </w:tcBorders>
            <w:vAlign w:val="center"/>
          </w:tcPr>
          <w:p w14:paraId="6D259148">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default"/>
                <w:color w:val="auto"/>
                <w:sz w:val="21"/>
                <w:szCs w:val="21"/>
                <w:highlight w:val="none"/>
                <w:vertAlign w:val="baseline"/>
              </w:rPr>
            </w:pPr>
            <w:r>
              <w:rPr>
                <w:rFonts w:hint="default"/>
                <w:color w:val="auto"/>
                <w:sz w:val="21"/>
                <w:szCs w:val="21"/>
                <w:highlight w:val="none"/>
                <w:vertAlign w:val="baseline"/>
                <w:lang w:val="en-US"/>
              </w:rPr>
              <w:t>t/a</w:t>
            </w:r>
          </w:p>
        </w:tc>
      </w:tr>
      <w:tr w14:paraId="7E3F7C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vMerge w:val="restart"/>
            <w:tcBorders>
              <w:tl2br w:val="nil"/>
              <w:tr2bl w:val="nil"/>
            </w:tcBorders>
            <w:vAlign w:val="center"/>
          </w:tcPr>
          <w:p w14:paraId="36D0D5F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eastAsia" w:eastAsia="宋体"/>
                <w:color w:val="auto"/>
                <w:sz w:val="21"/>
                <w:szCs w:val="21"/>
                <w:highlight w:val="none"/>
                <w:lang w:val="en-US" w:eastAsia="zh-CN"/>
              </w:rPr>
            </w:pPr>
            <w:r>
              <w:rPr>
                <w:rFonts w:hint="eastAsia"/>
                <w:color w:val="auto"/>
                <w:sz w:val="21"/>
                <w:szCs w:val="21"/>
                <w:highlight w:val="none"/>
                <w:lang w:val="en-US" w:eastAsia="zh-CN"/>
              </w:rPr>
              <w:t>医疗废水</w:t>
            </w:r>
          </w:p>
        </w:tc>
        <w:tc>
          <w:tcPr>
            <w:tcW w:w="1650" w:type="dxa"/>
            <w:tcBorders>
              <w:tl2br w:val="nil"/>
              <w:tr2bl w:val="nil"/>
            </w:tcBorders>
            <w:vAlign w:val="center"/>
          </w:tcPr>
          <w:p w14:paraId="2D1EA32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COD</w:t>
            </w:r>
          </w:p>
        </w:tc>
        <w:tc>
          <w:tcPr>
            <w:tcW w:w="1473" w:type="dxa"/>
            <w:tcBorders>
              <w:tl2br w:val="nil"/>
              <w:tr2bl w:val="nil"/>
            </w:tcBorders>
            <w:vAlign w:val="center"/>
          </w:tcPr>
          <w:p w14:paraId="04013CBA">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250</w:t>
            </w:r>
          </w:p>
        </w:tc>
        <w:tc>
          <w:tcPr>
            <w:tcW w:w="1663" w:type="dxa"/>
            <w:tcBorders>
              <w:tl2br w:val="nil"/>
              <w:tr2bl w:val="nil"/>
            </w:tcBorders>
            <w:vAlign w:val="center"/>
          </w:tcPr>
          <w:p w14:paraId="2B044069">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1.61</w:t>
            </w:r>
          </w:p>
        </w:tc>
        <w:tc>
          <w:tcPr>
            <w:tcW w:w="1569" w:type="dxa"/>
            <w:tcBorders>
              <w:tl2br w:val="nil"/>
              <w:tr2bl w:val="nil"/>
            </w:tcBorders>
            <w:vAlign w:val="center"/>
          </w:tcPr>
          <w:p w14:paraId="633AC29E">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200</w:t>
            </w:r>
          </w:p>
        </w:tc>
        <w:tc>
          <w:tcPr>
            <w:tcW w:w="1797" w:type="dxa"/>
            <w:tcBorders>
              <w:tl2br w:val="nil"/>
              <w:tr2bl w:val="nil"/>
            </w:tcBorders>
            <w:vAlign w:val="center"/>
          </w:tcPr>
          <w:p w14:paraId="3E641075">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1.29</w:t>
            </w:r>
          </w:p>
        </w:tc>
      </w:tr>
      <w:tr w14:paraId="276EB3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vMerge w:val="continue"/>
            <w:tcBorders>
              <w:tl2br w:val="nil"/>
              <w:tr2bl w:val="nil"/>
            </w:tcBorders>
            <w:vAlign w:val="center"/>
          </w:tcPr>
          <w:p w14:paraId="4B849C9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color w:val="auto"/>
                <w:sz w:val="21"/>
                <w:szCs w:val="21"/>
                <w:highlight w:val="none"/>
                <w:vertAlign w:val="baseline"/>
              </w:rPr>
            </w:pPr>
          </w:p>
        </w:tc>
        <w:tc>
          <w:tcPr>
            <w:tcW w:w="1650" w:type="dxa"/>
            <w:tcBorders>
              <w:tl2br w:val="nil"/>
              <w:tr2bl w:val="nil"/>
            </w:tcBorders>
            <w:vAlign w:val="center"/>
          </w:tcPr>
          <w:p w14:paraId="2BD8CC4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SS</w:t>
            </w:r>
          </w:p>
        </w:tc>
        <w:tc>
          <w:tcPr>
            <w:tcW w:w="1473" w:type="dxa"/>
            <w:tcBorders>
              <w:tl2br w:val="nil"/>
              <w:tr2bl w:val="nil"/>
            </w:tcBorders>
            <w:vAlign w:val="center"/>
          </w:tcPr>
          <w:p w14:paraId="2EFE5A72">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100</w:t>
            </w:r>
          </w:p>
        </w:tc>
        <w:tc>
          <w:tcPr>
            <w:tcW w:w="1663" w:type="dxa"/>
            <w:tcBorders>
              <w:tl2br w:val="nil"/>
              <w:tr2bl w:val="nil"/>
            </w:tcBorders>
            <w:vAlign w:val="center"/>
          </w:tcPr>
          <w:p w14:paraId="28F6A1BA">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0.65</w:t>
            </w:r>
          </w:p>
        </w:tc>
        <w:tc>
          <w:tcPr>
            <w:tcW w:w="1569" w:type="dxa"/>
            <w:tcBorders>
              <w:tl2br w:val="nil"/>
              <w:tr2bl w:val="nil"/>
            </w:tcBorders>
            <w:vAlign w:val="center"/>
          </w:tcPr>
          <w:p w14:paraId="25A7FC88">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30</w:t>
            </w:r>
          </w:p>
        </w:tc>
        <w:tc>
          <w:tcPr>
            <w:tcW w:w="1797" w:type="dxa"/>
            <w:tcBorders>
              <w:tl2br w:val="nil"/>
              <w:tr2bl w:val="nil"/>
            </w:tcBorders>
            <w:vAlign w:val="center"/>
          </w:tcPr>
          <w:p w14:paraId="1C36A9F1">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0.19</w:t>
            </w:r>
          </w:p>
        </w:tc>
      </w:tr>
      <w:tr w14:paraId="5640D8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vMerge w:val="continue"/>
            <w:tcBorders>
              <w:tl2br w:val="nil"/>
              <w:tr2bl w:val="nil"/>
            </w:tcBorders>
            <w:vAlign w:val="center"/>
          </w:tcPr>
          <w:p w14:paraId="73A2272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color w:val="auto"/>
                <w:sz w:val="21"/>
                <w:szCs w:val="21"/>
                <w:highlight w:val="none"/>
                <w:vertAlign w:val="baseline"/>
              </w:rPr>
            </w:pPr>
          </w:p>
        </w:tc>
        <w:tc>
          <w:tcPr>
            <w:tcW w:w="1650" w:type="dxa"/>
            <w:tcBorders>
              <w:tl2br w:val="nil"/>
              <w:tr2bl w:val="nil"/>
            </w:tcBorders>
            <w:vAlign w:val="center"/>
          </w:tcPr>
          <w:p w14:paraId="1E020A6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氨氮</w:t>
            </w:r>
          </w:p>
        </w:tc>
        <w:tc>
          <w:tcPr>
            <w:tcW w:w="1473" w:type="dxa"/>
            <w:tcBorders>
              <w:tl2br w:val="nil"/>
              <w:tr2bl w:val="nil"/>
            </w:tcBorders>
            <w:vAlign w:val="center"/>
          </w:tcPr>
          <w:p w14:paraId="015E3A8A">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28</w:t>
            </w:r>
          </w:p>
        </w:tc>
        <w:tc>
          <w:tcPr>
            <w:tcW w:w="1663" w:type="dxa"/>
            <w:tcBorders>
              <w:tl2br w:val="nil"/>
              <w:tr2bl w:val="nil"/>
            </w:tcBorders>
            <w:vAlign w:val="center"/>
          </w:tcPr>
          <w:p w14:paraId="3B3CD825">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0.18</w:t>
            </w:r>
          </w:p>
        </w:tc>
        <w:tc>
          <w:tcPr>
            <w:tcW w:w="1569" w:type="dxa"/>
            <w:tcBorders>
              <w:tl2br w:val="nil"/>
              <w:tr2bl w:val="nil"/>
            </w:tcBorders>
            <w:vAlign w:val="center"/>
          </w:tcPr>
          <w:p w14:paraId="3C40A0BD">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27.2</w:t>
            </w:r>
          </w:p>
        </w:tc>
        <w:tc>
          <w:tcPr>
            <w:tcW w:w="1797" w:type="dxa"/>
            <w:tcBorders>
              <w:tl2br w:val="nil"/>
              <w:tr2bl w:val="nil"/>
            </w:tcBorders>
            <w:vAlign w:val="center"/>
          </w:tcPr>
          <w:p w14:paraId="35959A9B">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0.17</w:t>
            </w:r>
          </w:p>
        </w:tc>
      </w:tr>
      <w:tr w14:paraId="3153A7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1134" w:type="dxa"/>
            <w:vMerge w:val="continue"/>
            <w:tcBorders>
              <w:tl2br w:val="nil"/>
              <w:tr2bl w:val="nil"/>
            </w:tcBorders>
            <w:vAlign w:val="center"/>
          </w:tcPr>
          <w:p w14:paraId="7FC5002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color w:val="auto"/>
                <w:sz w:val="21"/>
                <w:szCs w:val="21"/>
                <w:highlight w:val="none"/>
                <w:vertAlign w:val="baseline"/>
              </w:rPr>
            </w:pPr>
          </w:p>
        </w:tc>
        <w:tc>
          <w:tcPr>
            <w:tcW w:w="1650" w:type="dxa"/>
            <w:tcBorders>
              <w:tl2br w:val="nil"/>
              <w:tr2bl w:val="nil"/>
            </w:tcBorders>
            <w:vAlign w:val="center"/>
          </w:tcPr>
          <w:p w14:paraId="7DAA9E6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粪大肠菌群数</w:t>
            </w:r>
          </w:p>
        </w:tc>
        <w:tc>
          <w:tcPr>
            <w:tcW w:w="1473" w:type="dxa"/>
            <w:tcBorders>
              <w:tl2br w:val="nil"/>
              <w:tr2bl w:val="nil"/>
            </w:tcBorders>
            <w:vAlign w:val="center"/>
          </w:tcPr>
          <w:p w14:paraId="389C18C9">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1</w:t>
            </w:r>
            <w:r>
              <w:rPr>
                <w:rFonts w:hint="default" w:ascii="Arial" w:hAnsi="Arial" w:cs="Arial"/>
                <w:color w:val="auto"/>
                <w:sz w:val="21"/>
                <w:szCs w:val="21"/>
                <w:highlight w:val="none"/>
                <w:vertAlign w:val="baseline"/>
                <w:lang w:val="en-US" w:eastAsia="zh-CN"/>
              </w:rPr>
              <w:t>×</w:t>
            </w:r>
            <w:r>
              <w:rPr>
                <w:rFonts w:hint="default"/>
                <w:color w:val="auto"/>
                <w:sz w:val="21"/>
                <w:szCs w:val="21"/>
                <w:highlight w:val="none"/>
                <w:vertAlign w:val="baseline"/>
                <w:lang w:val="en-US" w:eastAsia="zh-CN"/>
              </w:rPr>
              <w:t>10</w:t>
            </w:r>
            <w:r>
              <w:rPr>
                <w:rFonts w:hint="eastAsia"/>
                <w:color w:val="auto"/>
                <w:sz w:val="21"/>
                <w:szCs w:val="21"/>
                <w:highlight w:val="none"/>
                <w:vertAlign w:val="superscript"/>
                <w:lang w:val="en-US" w:eastAsia="zh-CN"/>
              </w:rPr>
              <w:t>6</w:t>
            </w:r>
            <w:r>
              <w:rPr>
                <w:rFonts w:hint="default"/>
                <w:color w:val="auto"/>
                <w:sz w:val="21"/>
                <w:szCs w:val="21"/>
                <w:highlight w:val="none"/>
                <w:vertAlign w:val="baseline"/>
                <w:lang w:val="en-US" w:eastAsia="zh-CN"/>
              </w:rPr>
              <w:t>MPN/</w:t>
            </w:r>
            <w:r>
              <w:rPr>
                <w:rFonts w:hint="eastAsia"/>
                <w:color w:val="auto"/>
                <w:sz w:val="21"/>
                <w:szCs w:val="21"/>
                <w:highlight w:val="none"/>
                <w:vertAlign w:val="baseline"/>
                <w:lang w:val="en-US" w:eastAsia="zh-CN"/>
              </w:rPr>
              <w:t>L</w:t>
            </w:r>
          </w:p>
        </w:tc>
        <w:tc>
          <w:tcPr>
            <w:tcW w:w="1663" w:type="dxa"/>
            <w:tcBorders>
              <w:tl2br w:val="nil"/>
              <w:tr2bl w:val="nil"/>
            </w:tcBorders>
            <w:vAlign w:val="center"/>
          </w:tcPr>
          <w:p w14:paraId="3A0D477D">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default"/>
                <w:color w:val="auto"/>
                <w:sz w:val="21"/>
                <w:szCs w:val="21"/>
                <w:highlight w:val="none"/>
                <w:vertAlign w:val="baseline"/>
                <w:lang w:val="en-US"/>
              </w:rPr>
            </w:pPr>
            <w:r>
              <w:rPr>
                <w:rFonts w:hint="eastAsia"/>
                <w:color w:val="auto"/>
                <w:sz w:val="21"/>
                <w:szCs w:val="21"/>
                <w:highlight w:val="none"/>
                <w:vertAlign w:val="baseline"/>
                <w:lang w:val="en-US" w:eastAsia="zh-CN"/>
              </w:rPr>
              <w:t>6.45</w:t>
            </w:r>
            <w:r>
              <w:rPr>
                <w:rFonts w:hint="default"/>
                <w:color w:val="auto"/>
                <w:sz w:val="21"/>
                <w:szCs w:val="21"/>
                <w:highlight w:val="none"/>
                <w:vertAlign w:val="baseline"/>
                <w:lang w:val="en-US" w:eastAsia="zh-CN"/>
              </w:rPr>
              <w:t>×10</w:t>
            </w:r>
            <w:r>
              <w:rPr>
                <w:rFonts w:hint="default"/>
                <w:color w:val="auto"/>
                <w:sz w:val="21"/>
                <w:szCs w:val="21"/>
                <w:highlight w:val="none"/>
                <w:vertAlign w:val="superscript"/>
                <w:lang w:val="en-US" w:eastAsia="zh-CN"/>
              </w:rPr>
              <w:t>12</w:t>
            </w:r>
            <w:r>
              <w:rPr>
                <w:rFonts w:hint="eastAsia"/>
                <w:color w:val="auto"/>
                <w:sz w:val="21"/>
                <w:szCs w:val="21"/>
                <w:highlight w:val="none"/>
                <w:vertAlign w:val="baseline"/>
                <w:lang w:val="en-US" w:eastAsia="zh-CN"/>
              </w:rPr>
              <w:t>个</w:t>
            </w:r>
            <w:r>
              <w:rPr>
                <w:rFonts w:hint="default"/>
                <w:color w:val="auto"/>
                <w:sz w:val="21"/>
                <w:szCs w:val="21"/>
                <w:highlight w:val="none"/>
                <w:vertAlign w:val="baseline"/>
                <w:lang w:val="en-US" w:eastAsia="zh-CN"/>
              </w:rPr>
              <w:t>/</w:t>
            </w:r>
            <w:r>
              <w:rPr>
                <w:rFonts w:hint="eastAsia"/>
                <w:color w:val="auto"/>
                <w:sz w:val="21"/>
                <w:szCs w:val="21"/>
                <w:highlight w:val="none"/>
                <w:vertAlign w:val="baseline"/>
                <w:lang w:val="en-US" w:eastAsia="zh-CN"/>
              </w:rPr>
              <w:t>a</w:t>
            </w:r>
          </w:p>
        </w:tc>
        <w:tc>
          <w:tcPr>
            <w:tcW w:w="1569" w:type="dxa"/>
            <w:tcBorders>
              <w:tl2br w:val="nil"/>
              <w:tr2bl w:val="nil"/>
            </w:tcBorders>
            <w:vAlign w:val="center"/>
          </w:tcPr>
          <w:p w14:paraId="774BA3A2">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5000</w:t>
            </w:r>
            <w:r>
              <w:rPr>
                <w:rFonts w:hint="default"/>
                <w:color w:val="auto"/>
                <w:sz w:val="21"/>
                <w:szCs w:val="21"/>
                <w:highlight w:val="none"/>
                <w:vertAlign w:val="baseline"/>
                <w:lang w:val="en-US" w:eastAsia="zh-CN"/>
              </w:rPr>
              <w:t>MPN/</w:t>
            </w:r>
            <w:r>
              <w:rPr>
                <w:rFonts w:hint="eastAsia"/>
                <w:color w:val="auto"/>
                <w:sz w:val="21"/>
                <w:szCs w:val="21"/>
                <w:highlight w:val="none"/>
                <w:vertAlign w:val="baseline"/>
                <w:lang w:val="en-US" w:eastAsia="zh-CN"/>
              </w:rPr>
              <w:t>L</w:t>
            </w:r>
          </w:p>
        </w:tc>
        <w:tc>
          <w:tcPr>
            <w:tcW w:w="1797" w:type="dxa"/>
            <w:tcBorders>
              <w:tl2br w:val="nil"/>
              <w:tr2bl w:val="nil"/>
            </w:tcBorders>
            <w:vAlign w:val="center"/>
          </w:tcPr>
          <w:p w14:paraId="54D72678">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3.23</w:t>
            </w:r>
            <w:r>
              <w:rPr>
                <w:rFonts w:hint="default"/>
                <w:color w:val="auto"/>
                <w:sz w:val="21"/>
                <w:szCs w:val="21"/>
                <w:highlight w:val="none"/>
                <w:vertAlign w:val="baseline"/>
                <w:lang w:val="en-US" w:eastAsia="zh-CN"/>
              </w:rPr>
              <w:t>×10</w:t>
            </w:r>
            <w:r>
              <w:rPr>
                <w:rFonts w:hint="default"/>
                <w:color w:val="auto"/>
                <w:sz w:val="21"/>
                <w:szCs w:val="21"/>
                <w:highlight w:val="none"/>
                <w:vertAlign w:val="superscript"/>
                <w:lang w:val="en-US" w:eastAsia="zh-CN"/>
              </w:rPr>
              <w:t>1</w:t>
            </w:r>
            <w:r>
              <w:rPr>
                <w:rFonts w:hint="eastAsia"/>
                <w:color w:val="auto"/>
                <w:sz w:val="21"/>
                <w:szCs w:val="21"/>
                <w:highlight w:val="none"/>
                <w:vertAlign w:val="superscript"/>
                <w:lang w:val="en-US" w:eastAsia="zh-CN"/>
              </w:rPr>
              <w:t>0</w:t>
            </w:r>
            <w:r>
              <w:rPr>
                <w:rFonts w:hint="eastAsia"/>
                <w:color w:val="auto"/>
                <w:sz w:val="21"/>
                <w:szCs w:val="21"/>
                <w:highlight w:val="none"/>
                <w:vertAlign w:val="baseline"/>
                <w:lang w:val="en-US" w:eastAsia="zh-CN"/>
              </w:rPr>
              <w:t>个</w:t>
            </w:r>
            <w:r>
              <w:rPr>
                <w:rFonts w:hint="default"/>
                <w:color w:val="auto"/>
                <w:sz w:val="21"/>
                <w:szCs w:val="21"/>
                <w:highlight w:val="none"/>
                <w:vertAlign w:val="baseline"/>
                <w:lang w:val="en-US" w:eastAsia="zh-CN"/>
              </w:rPr>
              <w:t>/</w:t>
            </w:r>
            <w:r>
              <w:rPr>
                <w:rFonts w:hint="eastAsia"/>
                <w:color w:val="auto"/>
                <w:sz w:val="21"/>
                <w:szCs w:val="21"/>
                <w:highlight w:val="none"/>
                <w:vertAlign w:val="baseline"/>
                <w:lang w:val="en-US" w:eastAsia="zh-CN"/>
              </w:rPr>
              <w:t>a</w:t>
            </w:r>
          </w:p>
        </w:tc>
      </w:tr>
      <w:tr w14:paraId="4E776B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1134" w:type="dxa"/>
            <w:vMerge w:val="continue"/>
            <w:tcBorders>
              <w:tl2br w:val="nil"/>
              <w:tr2bl w:val="nil"/>
            </w:tcBorders>
            <w:vAlign w:val="center"/>
          </w:tcPr>
          <w:p w14:paraId="3BF16EF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color w:val="auto"/>
                <w:sz w:val="21"/>
                <w:szCs w:val="21"/>
                <w:highlight w:val="none"/>
                <w:vertAlign w:val="baseline"/>
              </w:rPr>
            </w:pPr>
          </w:p>
        </w:tc>
        <w:tc>
          <w:tcPr>
            <w:tcW w:w="1650" w:type="dxa"/>
            <w:tcBorders>
              <w:tl2br w:val="nil"/>
              <w:tr2bl w:val="nil"/>
            </w:tcBorders>
            <w:vAlign w:val="center"/>
          </w:tcPr>
          <w:p w14:paraId="1F18342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总余氯</w:t>
            </w:r>
          </w:p>
        </w:tc>
        <w:tc>
          <w:tcPr>
            <w:tcW w:w="1473" w:type="dxa"/>
            <w:tcBorders>
              <w:tl2br w:val="nil"/>
              <w:tr2bl w:val="nil"/>
            </w:tcBorders>
            <w:vAlign w:val="center"/>
          </w:tcPr>
          <w:p w14:paraId="69E2E463">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w:t>
            </w:r>
          </w:p>
        </w:tc>
        <w:tc>
          <w:tcPr>
            <w:tcW w:w="1663" w:type="dxa"/>
            <w:tcBorders>
              <w:tl2br w:val="nil"/>
              <w:tr2bl w:val="nil"/>
            </w:tcBorders>
            <w:vAlign w:val="center"/>
          </w:tcPr>
          <w:p w14:paraId="05C57E23">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w:t>
            </w:r>
          </w:p>
        </w:tc>
        <w:tc>
          <w:tcPr>
            <w:tcW w:w="1569" w:type="dxa"/>
            <w:tcBorders>
              <w:tl2br w:val="nil"/>
              <w:tr2bl w:val="nil"/>
            </w:tcBorders>
            <w:vAlign w:val="center"/>
          </w:tcPr>
          <w:p w14:paraId="7F28B81E">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6</w:t>
            </w:r>
          </w:p>
        </w:tc>
        <w:tc>
          <w:tcPr>
            <w:tcW w:w="1797" w:type="dxa"/>
            <w:tcBorders>
              <w:tl2br w:val="nil"/>
              <w:tr2bl w:val="nil"/>
            </w:tcBorders>
            <w:vAlign w:val="center"/>
          </w:tcPr>
          <w:p w14:paraId="7CBBE499">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w:t>
            </w:r>
          </w:p>
        </w:tc>
      </w:tr>
      <w:tr w14:paraId="5C56BC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vMerge w:val="restart"/>
            <w:tcBorders>
              <w:tl2br w:val="nil"/>
              <w:tr2bl w:val="nil"/>
            </w:tcBorders>
            <w:vAlign w:val="center"/>
          </w:tcPr>
          <w:p w14:paraId="1C57CE0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eastAsia" w:eastAsia="宋体"/>
                <w:color w:val="auto"/>
                <w:sz w:val="21"/>
                <w:szCs w:val="21"/>
                <w:highlight w:val="none"/>
                <w:vertAlign w:val="baseline"/>
                <w:lang w:eastAsia="zh-CN"/>
              </w:rPr>
            </w:pPr>
            <w:r>
              <w:rPr>
                <w:rFonts w:hint="eastAsia"/>
                <w:color w:val="auto"/>
                <w:sz w:val="21"/>
                <w:szCs w:val="21"/>
                <w:highlight w:val="none"/>
                <w:vertAlign w:val="baseline"/>
                <w:lang w:eastAsia="zh-CN"/>
              </w:rPr>
              <w:t>生活污水</w:t>
            </w:r>
          </w:p>
        </w:tc>
        <w:tc>
          <w:tcPr>
            <w:tcW w:w="1650" w:type="dxa"/>
            <w:tcBorders>
              <w:tl2br w:val="nil"/>
              <w:tr2bl w:val="nil"/>
            </w:tcBorders>
            <w:vAlign w:val="center"/>
          </w:tcPr>
          <w:p w14:paraId="698D1C4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cs="Times New Roman"/>
                <w:color w:val="auto"/>
                <w:sz w:val="21"/>
                <w:szCs w:val="21"/>
                <w:highlight w:val="none"/>
              </w:rPr>
            </w:pPr>
            <w:r>
              <w:rPr>
                <w:rFonts w:hint="eastAsia"/>
                <w:color w:val="auto"/>
                <w:sz w:val="21"/>
                <w:szCs w:val="21"/>
                <w:highlight w:val="none"/>
                <w:vertAlign w:val="baseline"/>
                <w:lang w:val="en-US" w:eastAsia="zh-CN"/>
              </w:rPr>
              <w:t>COD</w:t>
            </w:r>
          </w:p>
        </w:tc>
        <w:tc>
          <w:tcPr>
            <w:tcW w:w="1473" w:type="dxa"/>
            <w:tcBorders>
              <w:tl2br w:val="nil"/>
              <w:tr2bl w:val="nil"/>
            </w:tcBorders>
            <w:vAlign w:val="center"/>
          </w:tcPr>
          <w:p w14:paraId="55B9CED6">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default" w:ascii="Times New Roman" w:hAnsi="Times New Roman" w:cs="Times New Roman"/>
                <w:color w:val="auto"/>
                <w:sz w:val="21"/>
                <w:szCs w:val="21"/>
                <w:highlight w:val="none"/>
              </w:rPr>
              <w:t>280</w:t>
            </w:r>
          </w:p>
        </w:tc>
        <w:tc>
          <w:tcPr>
            <w:tcW w:w="1663" w:type="dxa"/>
            <w:tcBorders>
              <w:tl2br w:val="nil"/>
              <w:tr2bl w:val="nil"/>
            </w:tcBorders>
            <w:vAlign w:val="center"/>
          </w:tcPr>
          <w:p w14:paraId="0EF365BC">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1.34</w:t>
            </w:r>
          </w:p>
        </w:tc>
        <w:tc>
          <w:tcPr>
            <w:tcW w:w="1569" w:type="dxa"/>
            <w:tcBorders>
              <w:tl2br w:val="nil"/>
              <w:tr2bl w:val="nil"/>
            </w:tcBorders>
            <w:vAlign w:val="center"/>
          </w:tcPr>
          <w:p w14:paraId="528E128E">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238</w:t>
            </w:r>
          </w:p>
        </w:tc>
        <w:tc>
          <w:tcPr>
            <w:tcW w:w="1797" w:type="dxa"/>
            <w:tcBorders>
              <w:tl2br w:val="nil"/>
              <w:tr2bl w:val="nil"/>
            </w:tcBorders>
            <w:vAlign w:val="center"/>
          </w:tcPr>
          <w:p w14:paraId="6F68E3B3">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1.14</w:t>
            </w:r>
          </w:p>
        </w:tc>
      </w:tr>
      <w:tr w14:paraId="14D011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vMerge w:val="continue"/>
            <w:tcBorders>
              <w:tl2br w:val="nil"/>
              <w:tr2bl w:val="nil"/>
            </w:tcBorders>
            <w:vAlign w:val="center"/>
          </w:tcPr>
          <w:p w14:paraId="66360DA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color w:val="auto"/>
                <w:sz w:val="21"/>
                <w:szCs w:val="21"/>
                <w:highlight w:val="none"/>
                <w:vertAlign w:val="baseline"/>
              </w:rPr>
            </w:pPr>
          </w:p>
        </w:tc>
        <w:tc>
          <w:tcPr>
            <w:tcW w:w="1650" w:type="dxa"/>
            <w:tcBorders>
              <w:tl2br w:val="nil"/>
              <w:tr2bl w:val="nil"/>
            </w:tcBorders>
            <w:vAlign w:val="center"/>
          </w:tcPr>
          <w:p w14:paraId="339BA9E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cs="Times New Roman"/>
                <w:color w:val="auto"/>
                <w:sz w:val="21"/>
                <w:szCs w:val="21"/>
                <w:highlight w:val="none"/>
              </w:rPr>
            </w:pPr>
            <w:r>
              <w:rPr>
                <w:rFonts w:hint="eastAsia"/>
                <w:color w:val="auto"/>
                <w:sz w:val="21"/>
                <w:szCs w:val="21"/>
                <w:highlight w:val="none"/>
                <w:vertAlign w:val="baseline"/>
                <w:lang w:val="en-US" w:eastAsia="zh-CN"/>
              </w:rPr>
              <w:t>SS</w:t>
            </w:r>
          </w:p>
        </w:tc>
        <w:tc>
          <w:tcPr>
            <w:tcW w:w="1473" w:type="dxa"/>
            <w:tcBorders>
              <w:tl2br w:val="nil"/>
              <w:tr2bl w:val="nil"/>
            </w:tcBorders>
            <w:vAlign w:val="center"/>
          </w:tcPr>
          <w:p w14:paraId="07ECA5FA">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220</w:t>
            </w:r>
          </w:p>
        </w:tc>
        <w:tc>
          <w:tcPr>
            <w:tcW w:w="1663" w:type="dxa"/>
            <w:tcBorders>
              <w:tl2br w:val="nil"/>
              <w:tr2bl w:val="nil"/>
            </w:tcBorders>
            <w:vAlign w:val="center"/>
          </w:tcPr>
          <w:p w14:paraId="416F8ED9">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1.06</w:t>
            </w:r>
          </w:p>
        </w:tc>
        <w:tc>
          <w:tcPr>
            <w:tcW w:w="1569" w:type="dxa"/>
            <w:tcBorders>
              <w:tl2br w:val="nil"/>
              <w:tr2bl w:val="nil"/>
            </w:tcBorders>
            <w:vAlign w:val="center"/>
          </w:tcPr>
          <w:p w14:paraId="6B1F185C">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110</w:t>
            </w:r>
          </w:p>
        </w:tc>
        <w:tc>
          <w:tcPr>
            <w:tcW w:w="1797" w:type="dxa"/>
            <w:tcBorders>
              <w:tl2br w:val="nil"/>
              <w:tr2bl w:val="nil"/>
            </w:tcBorders>
            <w:vAlign w:val="center"/>
          </w:tcPr>
          <w:p w14:paraId="5C6B5F05">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0.53</w:t>
            </w:r>
          </w:p>
        </w:tc>
      </w:tr>
      <w:tr w14:paraId="0ECCB2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vMerge w:val="continue"/>
            <w:tcBorders>
              <w:tl2br w:val="nil"/>
              <w:tr2bl w:val="nil"/>
            </w:tcBorders>
            <w:vAlign w:val="center"/>
          </w:tcPr>
          <w:p w14:paraId="5FDE679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color w:val="auto"/>
                <w:sz w:val="21"/>
                <w:szCs w:val="21"/>
                <w:highlight w:val="none"/>
                <w:vertAlign w:val="baseline"/>
              </w:rPr>
            </w:pPr>
          </w:p>
        </w:tc>
        <w:tc>
          <w:tcPr>
            <w:tcW w:w="1650" w:type="dxa"/>
            <w:tcBorders>
              <w:tl2br w:val="nil"/>
              <w:tr2bl w:val="nil"/>
            </w:tcBorders>
            <w:vAlign w:val="center"/>
          </w:tcPr>
          <w:p w14:paraId="7C66F51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cs="Times New Roman"/>
                <w:color w:val="auto"/>
                <w:sz w:val="21"/>
                <w:szCs w:val="21"/>
                <w:highlight w:val="none"/>
              </w:rPr>
            </w:pPr>
            <w:r>
              <w:rPr>
                <w:rFonts w:hint="eastAsia"/>
                <w:color w:val="auto"/>
                <w:sz w:val="21"/>
                <w:szCs w:val="21"/>
                <w:highlight w:val="none"/>
                <w:vertAlign w:val="baseline"/>
                <w:lang w:val="en-US" w:eastAsia="zh-CN"/>
              </w:rPr>
              <w:t>氨氮</w:t>
            </w:r>
          </w:p>
        </w:tc>
        <w:tc>
          <w:tcPr>
            <w:tcW w:w="1473" w:type="dxa"/>
            <w:tcBorders>
              <w:tl2br w:val="nil"/>
              <w:tr2bl w:val="nil"/>
            </w:tcBorders>
            <w:vAlign w:val="center"/>
          </w:tcPr>
          <w:p w14:paraId="526B321D">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30</w:t>
            </w:r>
          </w:p>
        </w:tc>
        <w:tc>
          <w:tcPr>
            <w:tcW w:w="1663" w:type="dxa"/>
            <w:tcBorders>
              <w:tl2br w:val="nil"/>
              <w:tr2bl w:val="nil"/>
            </w:tcBorders>
            <w:vAlign w:val="center"/>
          </w:tcPr>
          <w:p w14:paraId="751E72D4">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0.14</w:t>
            </w:r>
          </w:p>
        </w:tc>
        <w:tc>
          <w:tcPr>
            <w:tcW w:w="1569" w:type="dxa"/>
            <w:tcBorders>
              <w:tl2br w:val="nil"/>
              <w:tr2bl w:val="nil"/>
            </w:tcBorders>
            <w:vAlign w:val="center"/>
          </w:tcPr>
          <w:p w14:paraId="1148820E">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29.1</w:t>
            </w:r>
          </w:p>
        </w:tc>
        <w:tc>
          <w:tcPr>
            <w:tcW w:w="1797" w:type="dxa"/>
            <w:tcBorders>
              <w:tl2br w:val="nil"/>
              <w:tr2bl w:val="nil"/>
            </w:tcBorders>
            <w:vAlign w:val="center"/>
          </w:tcPr>
          <w:p w14:paraId="2E3154A5">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0.136</w:t>
            </w:r>
          </w:p>
        </w:tc>
      </w:tr>
    </w:tbl>
    <w:p w14:paraId="50CF3AEA">
      <w:pPr>
        <w:spacing w:line="360" w:lineRule="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2.3噪声污染</w:t>
      </w:r>
    </w:p>
    <w:p w14:paraId="6D733A25">
      <w:pPr>
        <w:spacing w:line="360" w:lineRule="auto"/>
        <w:ind w:firstLine="480" w:firstLineChars="200"/>
        <w:rPr>
          <w:rFonts w:hint="default" w:ascii="Times New Roman" w:hAnsi="Times New Roman" w:cs="Times New Roman"/>
          <w:color w:val="auto"/>
          <w:sz w:val="24"/>
          <w:szCs w:val="24"/>
          <w:highlight w:val="none"/>
        </w:rPr>
      </w:pPr>
      <w:r>
        <w:rPr>
          <w:rFonts w:hint="eastAsia" w:ascii="宋体" w:hAnsi="宋体"/>
          <w:color w:val="auto"/>
          <w:sz w:val="24"/>
          <w:highlight w:val="none"/>
        </w:rPr>
        <w:t>项目建成后，主要设备噪声为各类设备的运转噪声，主要来自于</w:t>
      </w:r>
      <w:r>
        <w:rPr>
          <w:rFonts w:hint="eastAsia" w:ascii="宋体" w:hAnsi="宋体"/>
          <w:color w:val="auto"/>
          <w:sz w:val="24"/>
          <w:highlight w:val="none"/>
          <w:lang w:eastAsia="zh-CN"/>
        </w:rPr>
        <w:t>水泵、冷却机组</w:t>
      </w:r>
      <w:r>
        <w:rPr>
          <w:rFonts w:hint="eastAsia" w:ascii="宋体" w:hAnsi="宋体"/>
          <w:color w:val="auto"/>
          <w:sz w:val="24"/>
          <w:highlight w:val="none"/>
        </w:rPr>
        <w:t>等设备的运行噪声和门诊部社会噪声。</w:t>
      </w:r>
      <w:r>
        <w:rPr>
          <w:rFonts w:hint="default" w:ascii="Times New Roman" w:hAnsi="Times New Roman" w:cs="Times New Roman"/>
          <w:color w:val="auto"/>
          <w:sz w:val="24"/>
          <w:szCs w:val="24"/>
          <w:highlight w:val="none"/>
        </w:rPr>
        <w:t>类比同类设备，</w:t>
      </w:r>
      <w:r>
        <w:rPr>
          <w:rFonts w:hint="eastAsia" w:cs="Times New Roman"/>
          <w:color w:val="auto"/>
          <w:sz w:val="24"/>
          <w:szCs w:val="24"/>
          <w:highlight w:val="none"/>
          <w:lang w:eastAsia="zh-CN"/>
        </w:rPr>
        <w:t>医院</w:t>
      </w:r>
      <w:r>
        <w:rPr>
          <w:rFonts w:hint="default" w:ascii="Times New Roman" w:hAnsi="Times New Roman" w:cs="Times New Roman"/>
          <w:color w:val="auto"/>
          <w:sz w:val="24"/>
          <w:szCs w:val="24"/>
          <w:highlight w:val="none"/>
        </w:rPr>
        <w:t>主要噪声为各噪声源及源强见</w:t>
      </w:r>
      <w:r>
        <w:rPr>
          <w:rFonts w:hint="eastAsia" w:cs="Times New Roman"/>
          <w:color w:val="auto"/>
          <w:sz w:val="24"/>
          <w:szCs w:val="24"/>
          <w:highlight w:val="none"/>
          <w:lang w:eastAsia="zh-CN"/>
        </w:rPr>
        <w:t>下表</w:t>
      </w:r>
      <w:r>
        <w:rPr>
          <w:rFonts w:hint="default" w:ascii="Times New Roman" w:hAnsi="Times New Roman" w:cs="Times New Roman"/>
          <w:color w:val="auto"/>
          <w:sz w:val="24"/>
          <w:szCs w:val="24"/>
          <w:highlight w:val="none"/>
        </w:rPr>
        <w:t>。</w:t>
      </w:r>
    </w:p>
    <w:p w14:paraId="1BAEE11B">
      <w:pPr>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b/>
          <w:bCs/>
          <w:color w:val="auto"/>
          <w:highlight w:val="none"/>
        </w:rPr>
        <w:t>表2</w:t>
      </w:r>
      <w:r>
        <w:rPr>
          <w:rFonts w:hint="eastAsia" w:cs="Times New Roman"/>
          <w:b/>
          <w:bCs/>
          <w:color w:val="auto"/>
          <w:highlight w:val="none"/>
          <w:lang w:val="en-US" w:eastAsia="zh-CN"/>
        </w:rPr>
        <w:t xml:space="preserve">4                          </w:t>
      </w:r>
      <w:r>
        <w:rPr>
          <w:rFonts w:hint="default" w:ascii="Times New Roman" w:hAnsi="Times New Roman" w:cs="Times New Roman"/>
          <w:b/>
          <w:bCs/>
          <w:color w:val="auto"/>
          <w:highlight w:val="none"/>
        </w:rPr>
        <w:t>医院主要噪声源及源强dB(A)</w:t>
      </w:r>
    </w:p>
    <w:tbl>
      <w:tblPr>
        <w:tblStyle w:val="24"/>
        <w:tblW w:w="907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28"/>
        <w:gridCol w:w="1257"/>
        <w:gridCol w:w="1398"/>
        <w:gridCol w:w="1095"/>
        <w:gridCol w:w="915"/>
        <w:gridCol w:w="1770"/>
        <w:gridCol w:w="2007"/>
      </w:tblGrid>
      <w:tr w14:paraId="604D2E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8" w:type="dxa"/>
            <w:tcBorders>
              <w:tl2br w:val="nil"/>
              <w:tr2bl w:val="nil"/>
            </w:tcBorders>
            <w:vAlign w:val="center"/>
          </w:tcPr>
          <w:p w14:paraId="3BE7AF88">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序号</w:t>
            </w:r>
          </w:p>
        </w:tc>
        <w:tc>
          <w:tcPr>
            <w:tcW w:w="1257" w:type="dxa"/>
            <w:tcBorders>
              <w:tl2br w:val="nil"/>
              <w:tr2bl w:val="nil"/>
            </w:tcBorders>
            <w:vAlign w:val="center"/>
          </w:tcPr>
          <w:p w14:paraId="66862E5E">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项目名称</w:t>
            </w:r>
          </w:p>
        </w:tc>
        <w:tc>
          <w:tcPr>
            <w:tcW w:w="1398" w:type="dxa"/>
            <w:tcBorders>
              <w:tl2br w:val="nil"/>
              <w:tr2bl w:val="nil"/>
            </w:tcBorders>
            <w:vAlign w:val="center"/>
          </w:tcPr>
          <w:p w14:paraId="1C294BC6">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主要产噪设备</w:t>
            </w:r>
          </w:p>
        </w:tc>
        <w:tc>
          <w:tcPr>
            <w:tcW w:w="1095" w:type="dxa"/>
            <w:tcBorders>
              <w:tl2br w:val="nil"/>
              <w:tr2bl w:val="nil"/>
            </w:tcBorders>
            <w:vAlign w:val="center"/>
          </w:tcPr>
          <w:p w14:paraId="4EFF896C">
            <w:pPr>
              <w:jc w:val="center"/>
              <w:rPr>
                <w:rFonts w:hint="default" w:ascii="Times New Roman" w:hAnsi="Times New Roman" w:eastAsia="宋体" w:cs="Times New Roman"/>
                <w:color w:val="auto"/>
                <w:szCs w:val="21"/>
                <w:highlight w:val="none"/>
              </w:rPr>
            </w:pPr>
            <w:r>
              <w:rPr>
                <w:rFonts w:hint="eastAsia"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数量（台）</w:t>
            </w:r>
          </w:p>
        </w:tc>
        <w:tc>
          <w:tcPr>
            <w:tcW w:w="915" w:type="dxa"/>
            <w:tcBorders>
              <w:tl2br w:val="nil"/>
              <w:tr2bl w:val="nil"/>
            </w:tcBorders>
            <w:vAlign w:val="center"/>
          </w:tcPr>
          <w:p w14:paraId="0E005411">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噪声值</w:t>
            </w:r>
          </w:p>
        </w:tc>
        <w:tc>
          <w:tcPr>
            <w:tcW w:w="1770" w:type="dxa"/>
            <w:tcBorders>
              <w:tl2br w:val="nil"/>
              <w:tr2bl w:val="nil"/>
            </w:tcBorders>
            <w:vAlign w:val="center"/>
          </w:tcPr>
          <w:p w14:paraId="14CB3866">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所在位置</w:t>
            </w:r>
          </w:p>
        </w:tc>
        <w:tc>
          <w:tcPr>
            <w:tcW w:w="2007" w:type="dxa"/>
            <w:tcBorders>
              <w:tl2br w:val="nil"/>
              <w:tr2bl w:val="nil"/>
            </w:tcBorders>
            <w:vAlign w:val="center"/>
          </w:tcPr>
          <w:p w14:paraId="6D419D7B">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与场界最近距离（m）</w:t>
            </w:r>
          </w:p>
        </w:tc>
      </w:tr>
      <w:tr w14:paraId="09B9E7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28" w:type="dxa"/>
            <w:tcBorders>
              <w:tl2br w:val="nil"/>
              <w:tr2bl w:val="nil"/>
            </w:tcBorders>
            <w:vAlign w:val="center"/>
          </w:tcPr>
          <w:p w14:paraId="24602483">
            <w:pPr>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w:t>
            </w:r>
          </w:p>
        </w:tc>
        <w:tc>
          <w:tcPr>
            <w:tcW w:w="1257" w:type="dxa"/>
            <w:tcBorders>
              <w:tl2br w:val="nil"/>
              <w:tr2bl w:val="nil"/>
            </w:tcBorders>
            <w:vAlign w:val="center"/>
          </w:tcPr>
          <w:p w14:paraId="2DC178B0">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污水站</w:t>
            </w:r>
          </w:p>
        </w:tc>
        <w:tc>
          <w:tcPr>
            <w:tcW w:w="1398" w:type="dxa"/>
            <w:tcBorders>
              <w:tl2br w:val="nil"/>
              <w:tr2bl w:val="nil"/>
            </w:tcBorders>
            <w:vAlign w:val="center"/>
          </w:tcPr>
          <w:p w14:paraId="75E143D6">
            <w:pPr>
              <w:jc w:val="center"/>
              <w:rPr>
                <w:rFonts w:hint="default" w:ascii="Times New Roman" w:hAnsi="Times New Roman" w:eastAsia="宋体" w:cs="Times New Roman"/>
                <w:color w:val="auto"/>
                <w:szCs w:val="21"/>
                <w:highlight w:val="none"/>
              </w:rPr>
            </w:pPr>
            <w:r>
              <w:rPr>
                <w:rFonts w:hint="eastAsia" w:cs="Times New Roman"/>
                <w:color w:val="auto"/>
                <w:szCs w:val="21"/>
                <w:highlight w:val="none"/>
                <w:lang w:eastAsia="zh-CN"/>
              </w:rPr>
              <w:t>水泵</w:t>
            </w:r>
          </w:p>
        </w:tc>
        <w:tc>
          <w:tcPr>
            <w:tcW w:w="1095" w:type="dxa"/>
            <w:tcBorders>
              <w:tl2br w:val="nil"/>
              <w:tr2bl w:val="nil"/>
            </w:tcBorders>
            <w:vAlign w:val="center"/>
          </w:tcPr>
          <w:p w14:paraId="275D7174">
            <w:pPr>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w:t>
            </w:r>
          </w:p>
        </w:tc>
        <w:tc>
          <w:tcPr>
            <w:tcW w:w="915" w:type="dxa"/>
            <w:tcBorders>
              <w:tl2br w:val="nil"/>
              <w:tr2bl w:val="nil"/>
            </w:tcBorders>
            <w:vAlign w:val="center"/>
          </w:tcPr>
          <w:p w14:paraId="1AAACC3A">
            <w:pPr>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70</w:t>
            </w:r>
          </w:p>
        </w:tc>
        <w:tc>
          <w:tcPr>
            <w:tcW w:w="1770" w:type="dxa"/>
            <w:tcBorders>
              <w:tl2br w:val="nil"/>
              <w:tr2bl w:val="nil"/>
            </w:tcBorders>
            <w:vAlign w:val="center"/>
          </w:tcPr>
          <w:p w14:paraId="3C6E8356">
            <w:pPr>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eastAsia="zh-CN"/>
              </w:rPr>
              <w:t>医院大楼</w:t>
            </w:r>
            <w:r>
              <w:rPr>
                <w:rFonts w:hint="eastAsia" w:cs="Times New Roman"/>
                <w:color w:val="auto"/>
                <w:szCs w:val="21"/>
                <w:highlight w:val="none"/>
                <w:lang w:val="en-US" w:eastAsia="zh-CN"/>
              </w:rPr>
              <w:t>3层东侧</w:t>
            </w:r>
          </w:p>
        </w:tc>
        <w:tc>
          <w:tcPr>
            <w:tcW w:w="2007" w:type="dxa"/>
            <w:tcBorders>
              <w:tl2br w:val="nil"/>
              <w:tr2bl w:val="nil"/>
            </w:tcBorders>
            <w:vAlign w:val="center"/>
          </w:tcPr>
          <w:p w14:paraId="669F0955">
            <w:pPr>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w:t>
            </w:r>
          </w:p>
        </w:tc>
      </w:tr>
      <w:tr w14:paraId="657DF2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628" w:type="dxa"/>
            <w:tcBorders>
              <w:tl2br w:val="nil"/>
              <w:tr2bl w:val="nil"/>
            </w:tcBorders>
            <w:vAlign w:val="center"/>
          </w:tcPr>
          <w:p w14:paraId="77BB5E12">
            <w:pPr>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5</w:t>
            </w:r>
          </w:p>
        </w:tc>
        <w:tc>
          <w:tcPr>
            <w:tcW w:w="1257" w:type="dxa"/>
            <w:tcBorders>
              <w:tl2br w:val="nil"/>
              <w:tr2bl w:val="nil"/>
            </w:tcBorders>
            <w:vAlign w:val="center"/>
          </w:tcPr>
          <w:p w14:paraId="31751C6F">
            <w:pPr>
              <w:jc w:val="center"/>
              <w:rPr>
                <w:rFonts w:hint="eastAsia" w:cs="Times New Roman"/>
                <w:color w:val="auto"/>
                <w:szCs w:val="21"/>
                <w:highlight w:val="none"/>
                <w:lang w:eastAsia="zh-CN"/>
              </w:rPr>
            </w:pPr>
            <w:r>
              <w:rPr>
                <w:rFonts w:hint="eastAsia" w:cs="Times New Roman"/>
                <w:color w:val="auto"/>
                <w:szCs w:val="21"/>
                <w:highlight w:val="none"/>
                <w:lang w:eastAsia="zh-CN"/>
              </w:rPr>
              <w:t>中央空调</w:t>
            </w:r>
          </w:p>
        </w:tc>
        <w:tc>
          <w:tcPr>
            <w:tcW w:w="1398" w:type="dxa"/>
            <w:tcBorders>
              <w:tl2br w:val="nil"/>
              <w:tr2bl w:val="nil"/>
            </w:tcBorders>
            <w:vAlign w:val="center"/>
          </w:tcPr>
          <w:p w14:paraId="7B36025F">
            <w:pPr>
              <w:jc w:val="center"/>
              <w:rPr>
                <w:rFonts w:hint="eastAsia" w:cs="Times New Roman"/>
                <w:color w:val="auto"/>
                <w:szCs w:val="21"/>
                <w:highlight w:val="none"/>
                <w:lang w:eastAsia="zh-CN"/>
              </w:rPr>
            </w:pPr>
            <w:r>
              <w:rPr>
                <w:rFonts w:hint="eastAsia" w:cs="Times New Roman"/>
                <w:color w:val="auto"/>
                <w:szCs w:val="21"/>
                <w:highlight w:val="none"/>
                <w:lang w:eastAsia="zh-CN"/>
              </w:rPr>
              <w:t>冷却机组</w:t>
            </w:r>
          </w:p>
        </w:tc>
        <w:tc>
          <w:tcPr>
            <w:tcW w:w="1095" w:type="dxa"/>
            <w:tcBorders>
              <w:tl2br w:val="nil"/>
              <w:tr2bl w:val="nil"/>
            </w:tcBorders>
            <w:vAlign w:val="center"/>
          </w:tcPr>
          <w:p w14:paraId="20390DDE">
            <w:pPr>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1</w:t>
            </w:r>
          </w:p>
        </w:tc>
        <w:tc>
          <w:tcPr>
            <w:tcW w:w="915" w:type="dxa"/>
            <w:tcBorders>
              <w:tl2br w:val="nil"/>
              <w:tr2bl w:val="nil"/>
            </w:tcBorders>
            <w:vAlign w:val="center"/>
          </w:tcPr>
          <w:p w14:paraId="422F5A8F">
            <w:pPr>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75</w:t>
            </w:r>
          </w:p>
        </w:tc>
        <w:tc>
          <w:tcPr>
            <w:tcW w:w="1770" w:type="dxa"/>
            <w:tcBorders>
              <w:tl2br w:val="nil"/>
              <w:tr2bl w:val="nil"/>
            </w:tcBorders>
            <w:vAlign w:val="center"/>
          </w:tcPr>
          <w:p w14:paraId="45D24B19">
            <w:pPr>
              <w:jc w:val="center"/>
              <w:rPr>
                <w:rFonts w:hint="eastAsia" w:cs="Times New Roman"/>
                <w:color w:val="auto"/>
                <w:szCs w:val="21"/>
                <w:highlight w:val="none"/>
                <w:lang w:eastAsia="zh-CN"/>
              </w:rPr>
            </w:pPr>
            <w:r>
              <w:rPr>
                <w:rFonts w:hint="eastAsia" w:cs="Times New Roman"/>
                <w:color w:val="auto"/>
                <w:szCs w:val="21"/>
                <w:highlight w:val="none"/>
                <w:lang w:eastAsia="zh-CN"/>
              </w:rPr>
              <w:t>大楼楼顶</w:t>
            </w:r>
          </w:p>
        </w:tc>
        <w:tc>
          <w:tcPr>
            <w:tcW w:w="2007" w:type="dxa"/>
            <w:tcBorders>
              <w:tl2br w:val="nil"/>
              <w:tr2bl w:val="nil"/>
            </w:tcBorders>
            <w:vAlign w:val="center"/>
          </w:tcPr>
          <w:p w14:paraId="31EBF01B">
            <w:pPr>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5</w:t>
            </w:r>
          </w:p>
        </w:tc>
      </w:tr>
    </w:tbl>
    <w:p w14:paraId="482E2948">
      <w:pPr>
        <w:keepNext w:val="0"/>
        <w:keepLines w:val="0"/>
        <w:pageBreakBefore w:val="0"/>
        <w:widowControl w:val="0"/>
        <w:kinsoku/>
        <w:wordWrap/>
        <w:overflowPunct/>
        <w:topLinePunct w:val="0"/>
        <w:autoSpaceDE/>
        <w:autoSpaceDN/>
        <w:bidi w:val="0"/>
        <w:adjustRightInd w:val="0"/>
        <w:snapToGrid w:val="0"/>
        <w:spacing w:line="360" w:lineRule="auto"/>
        <w:ind w:right="0"/>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2.4固废污染</w:t>
      </w:r>
    </w:p>
    <w:p w14:paraId="4EC9586E">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outlineLvl w:val="9"/>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本项目固体废物医疗废物、生活垃圾、污水处理站污泥及栅渣、煎药药渣及废弃中药材等。</w:t>
      </w:r>
    </w:p>
    <w:p w14:paraId="6A820F9E">
      <w:pPr>
        <w:keepNext w:val="0"/>
        <w:keepLines w:val="0"/>
        <w:pageBreakBefore w:val="0"/>
        <w:widowControl w:val="0"/>
        <w:kinsoku/>
        <w:wordWrap/>
        <w:overflowPunct/>
        <w:topLinePunct w:val="0"/>
        <w:autoSpaceDE/>
        <w:autoSpaceDN/>
        <w:bidi w:val="0"/>
        <w:adjustRightInd w:val="0"/>
        <w:snapToGrid w:val="0"/>
        <w:spacing w:before="50" w:line="360" w:lineRule="auto"/>
        <w:ind w:right="0"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（1）生活垃圾产生量</w:t>
      </w:r>
    </w:p>
    <w:p w14:paraId="2392C462">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rPr>
          <w:rFonts w:hint="eastAsia" w:cs="Times New Roman"/>
          <w:color w:val="auto"/>
          <w:sz w:val="24"/>
          <w:highlight w:val="none"/>
          <w:lang w:eastAsia="zh-CN"/>
        </w:rPr>
      </w:pPr>
      <w:r>
        <w:rPr>
          <w:rFonts w:hint="default" w:ascii="Times New Roman" w:hAnsi="Times New Roman" w:cs="Times New Roman"/>
          <w:color w:val="auto"/>
          <w:sz w:val="24"/>
          <w:highlight w:val="none"/>
        </w:rPr>
        <w:t>住院病人的生活垃圾产生量按0.7kg/床·d计，床位数</w:t>
      </w:r>
      <w:r>
        <w:rPr>
          <w:rFonts w:hint="eastAsia" w:cs="Times New Roman"/>
          <w:color w:val="auto"/>
          <w:sz w:val="24"/>
          <w:highlight w:val="none"/>
          <w:lang w:val="en-US" w:eastAsia="zh-CN"/>
        </w:rPr>
        <w:t>80</w:t>
      </w:r>
      <w:r>
        <w:rPr>
          <w:rFonts w:hint="default" w:ascii="Times New Roman" w:hAnsi="Times New Roman" w:cs="Times New Roman"/>
          <w:color w:val="auto"/>
          <w:sz w:val="24"/>
          <w:highlight w:val="none"/>
        </w:rPr>
        <w:t>张，则产生生活垃圾</w:t>
      </w:r>
      <w:r>
        <w:rPr>
          <w:rFonts w:hint="eastAsia" w:cs="Times New Roman"/>
          <w:color w:val="auto"/>
          <w:sz w:val="24"/>
          <w:highlight w:val="none"/>
          <w:lang w:val="en-US" w:eastAsia="zh-CN"/>
        </w:rPr>
        <w:t>20.44</w:t>
      </w:r>
      <w:r>
        <w:rPr>
          <w:rFonts w:hint="default" w:ascii="Times New Roman" w:hAnsi="Times New Roman" w:cs="Times New Roman"/>
          <w:color w:val="auto"/>
          <w:sz w:val="24"/>
          <w:highlight w:val="none"/>
        </w:rPr>
        <w:t>t/a；门诊垃圾按0.05kg/人·d计，门诊量</w:t>
      </w:r>
      <w:r>
        <w:rPr>
          <w:rFonts w:hint="eastAsia" w:cs="Times New Roman"/>
          <w:color w:val="auto"/>
          <w:sz w:val="24"/>
          <w:highlight w:val="none"/>
          <w:lang w:val="en-US" w:eastAsia="zh-CN"/>
        </w:rPr>
        <w:t>80</w:t>
      </w:r>
      <w:r>
        <w:rPr>
          <w:rFonts w:hint="default" w:ascii="Times New Roman" w:hAnsi="Times New Roman" w:cs="Times New Roman"/>
          <w:color w:val="auto"/>
          <w:sz w:val="24"/>
          <w:highlight w:val="none"/>
        </w:rPr>
        <w:t>人/d，则产生生活垃圾</w:t>
      </w:r>
      <w:r>
        <w:rPr>
          <w:rFonts w:hint="eastAsia" w:cs="Times New Roman"/>
          <w:color w:val="auto"/>
          <w:sz w:val="24"/>
          <w:highlight w:val="none"/>
          <w:lang w:val="en-US" w:eastAsia="zh-CN"/>
        </w:rPr>
        <w:t>1.46</w:t>
      </w:r>
      <w:r>
        <w:rPr>
          <w:rFonts w:hint="default" w:ascii="Times New Roman" w:hAnsi="Times New Roman" w:cs="Times New Roman"/>
          <w:color w:val="auto"/>
          <w:sz w:val="24"/>
          <w:highlight w:val="none"/>
        </w:rPr>
        <w:t>t/a；工作人员产生的生活垃圾按0.5kg/人·d计，工作人员为</w:t>
      </w:r>
      <w:r>
        <w:rPr>
          <w:rFonts w:hint="eastAsia" w:cs="Times New Roman"/>
          <w:color w:val="auto"/>
          <w:sz w:val="24"/>
          <w:highlight w:val="none"/>
          <w:lang w:val="en-US" w:eastAsia="zh-CN"/>
        </w:rPr>
        <w:t>85</w:t>
      </w:r>
      <w:r>
        <w:rPr>
          <w:rFonts w:hint="default" w:ascii="Times New Roman" w:hAnsi="Times New Roman" w:cs="Times New Roman"/>
          <w:color w:val="auto"/>
          <w:sz w:val="24"/>
          <w:highlight w:val="none"/>
        </w:rPr>
        <w:t>人，产生生活垃圾</w:t>
      </w:r>
      <w:r>
        <w:rPr>
          <w:rFonts w:hint="eastAsia" w:cs="Times New Roman"/>
          <w:color w:val="auto"/>
          <w:sz w:val="24"/>
          <w:highlight w:val="none"/>
          <w:lang w:val="en-US" w:eastAsia="zh-CN"/>
        </w:rPr>
        <w:t>15.51</w:t>
      </w:r>
      <w:r>
        <w:rPr>
          <w:rFonts w:hint="default" w:ascii="Times New Roman" w:hAnsi="Times New Roman" w:cs="Times New Roman"/>
          <w:color w:val="auto"/>
          <w:sz w:val="24"/>
          <w:highlight w:val="none"/>
        </w:rPr>
        <w:t>t/a，则全院共产生生活垃圾</w:t>
      </w:r>
      <w:r>
        <w:rPr>
          <w:rFonts w:hint="eastAsia" w:cs="Times New Roman"/>
          <w:color w:val="auto"/>
          <w:sz w:val="24"/>
          <w:highlight w:val="none"/>
          <w:lang w:val="en-US" w:eastAsia="zh-CN"/>
        </w:rPr>
        <w:t>37.41</w:t>
      </w:r>
      <w:r>
        <w:rPr>
          <w:rFonts w:hint="default" w:ascii="Times New Roman" w:hAnsi="Times New Roman" w:cs="Times New Roman"/>
          <w:color w:val="auto"/>
          <w:sz w:val="24"/>
          <w:highlight w:val="none"/>
        </w:rPr>
        <w:t>t/a。</w:t>
      </w:r>
      <w:r>
        <w:rPr>
          <w:rFonts w:hint="eastAsia" w:cs="Times New Roman"/>
          <w:color w:val="auto"/>
          <w:sz w:val="24"/>
          <w:highlight w:val="none"/>
          <w:lang w:eastAsia="zh-CN"/>
        </w:rPr>
        <w:t>生活垃圾交由环卫部门统一清运处理。</w:t>
      </w:r>
    </w:p>
    <w:p w14:paraId="18C4702B">
      <w:pPr>
        <w:pStyle w:val="2"/>
        <w:keepNext w:val="0"/>
        <w:keepLines w:val="0"/>
        <w:pageBreakBefore w:val="0"/>
        <w:widowControl w:val="0"/>
        <w:kinsoku/>
        <w:wordWrap/>
        <w:overflowPunct/>
        <w:topLinePunct w:val="0"/>
        <w:autoSpaceDE/>
        <w:autoSpaceDN/>
        <w:bidi w:val="0"/>
        <w:adjustRightInd w:val="0"/>
        <w:snapToGrid w:val="0"/>
        <w:spacing w:after="0" w:line="360" w:lineRule="auto"/>
        <w:textAlignment w:val="auto"/>
        <w:outlineLvl w:val="9"/>
        <w:rPr>
          <w:rFonts w:hint="eastAsia"/>
          <w:color w:val="auto"/>
          <w:highlight w:val="none"/>
          <w:lang w:eastAsia="zh-CN"/>
        </w:rPr>
      </w:pPr>
      <w:r>
        <w:rPr>
          <w:rFonts w:hint="eastAsia" w:cs="Times New Roman"/>
          <w:color w:val="auto"/>
          <w:sz w:val="24"/>
          <w:highlight w:val="none"/>
          <w:lang w:eastAsia="zh-CN"/>
        </w:rPr>
        <w:t>（</w:t>
      </w:r>
      <w:r>
        <w:rPr>
          <w:rFonts w:hint="eastAsia" w:cs="Times New Roman"/>
          <w:color w:val="auto"/>
          <w:sz w:val="24"/>
          <w:highlight w:val="none"/>
          <w:lang w:val="en-US" w:eastAsia="zh-CN"/>
        </w:rPr>
        <w:t>2</w:t>
      </w:r>
      <w:r>
        <w:rPr>
          <w:rFonts w:hint="eastAsia" w:cs="Times New Roman"/>
          <w:color w:val="auto"/>
          <w:sz w:val="24"/>
          <w:highlight w:val="none"/>
          <w:lang w:eastAsia="zh-CN"/>
        </w:rPr>
        <w:t>）</w:t>
      </w:r>
      <w:r>
        <w:rPr>
          <w:rFonts w:hint="eastAsia" w:cs="Times New Roman"/>
          <w:color w:val="auto"/>
          <w:sz w:val="24"/>
          <w:szCs w:val="24"/>
          <w:highlight w:val="none"/>
          <w:lang w:val="en-US" w:eastAsia="zh-CN"/>
        </w:rPr>
        <w:t>煎药药渣及废弃中药材</w:t>
      </w:r>
    </w:p>
    <w:p w14:paraId="640B783F">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outlineLvl w:val="0"/>
        <w:rPr>
          <w:rFonts w:hint="eastAsia" w:ascii="宋体" w:hAnsi="宋体" w:eastAsia="宋体"/>
          <w:color w:val="auto"/>
          <w:sz w:val="24"/>
          <w:highlight w:val="none"/>
          <w:lang w:val="en-US" w:eastAsia="zh-CN"/>
        </w:rPr>
      </w:pPr>
      <w:r>
        <w:rPr>
          <w:rFonts w:hint="eastAsia" w:ascii="宋体" w:hAnsi="宋体"/>
          <w:color w:val="auto"/>
          <w:sz w:val="24"/>
          <w:highlight w:val="none"/>
          <w:lang w:eastAsia="zh-CN"/>
        </w:rPr>
        <w:t>本项目为中医医院，煎药过程会产生药渣，药材长时间未被使用，会产生一定量的废弃中药材，</w:t>
      </w:r>
      <w:r>
        <w:rPr>
          <w:rFonts w:hint="default" w:ascii="Times New Roman" w:hAnsi="Times New Roman" w:cs="Times New Roman"/>
          <w:i w:val="0"/>
          <w:caps w:val="0"/>
          <w:color w:val="auto"/>
          <w:spacing w:val="0"/>
          <w:sz w:val="24"/>
          <w:szCs w:val="24"/>
          <w:highlight w:val="none"/>
          <w:shd w:val="clear" w:fill="FFFFFF"/>
          <w:lang w:val="en-US" w:eastAsia="zh-CN"/>
        </w:rPr>
        <w:t>类比《</w:t>
      </w:r>
      <w:r>
        <w:rPr>
          <w:rFonts w:hint="eastAsia" w:cs="Times New Roman"/>
          <w:i w:val="0"/>
          <w:caps w:val="0"/>
          <w:color w:val="auto"/>
          <w:spacing w:val="0"/>
          <w:sz w:val="24"/>
          <w:szCs w:val="24"/>
          <w:highlight w:val="none"/>
          <w:shd w:val="clear" w:fill="FFFFFF"/>
          <w:lang w:val="en-US" w:eastAsia="zh-CN"/>
        </w:rPr>
        <w:t>湘潭诚德中医医院建设项目</w:t>
      </w:r>
      <w:r>
        <w:rPr>
          <w:rFonts w:hint="default" w:ascii="Times New Roman" w:hAnsi="Times New Roman" w:cs="Times New Roman"/>
          <w:i w:val="0"/>
          <w:caps w:val="0"/>
          <w:color w:val="auto"/>
          <w:spacing w:val="0"/>
          <w:sz w:val="24"/>
          <w:szCs w:val="24"/>
          <w:highlight w:val="none"/>
          <w:shd w:val="clear" w:fill="FFFFFF"/>
          <w:lang w:val="en-US" w:eastAsia="zh-CN"/>
        </w:rPr>
        <w:t>》（已通过批复）</w:t>
      </w:r>
      <w:r>
        <w:rPr>
          <w:rFonts w:hint="eastAsia" w:cs="Times New Roman"/>
          <w:color w:val="auto"/>
          <w:sz w:val="24"/>
          <w:szCs w:val="24"/>
          <w:highlight w:val="none"/>
          <w:lang w:val="en-US" w:eastAsia="zh-CN"/>
        </w:rPr>
        <w:t>煎药药渣及废弃中药材</w:t>
      </w:r>
      <w:r>
        <w:rPr>
          <w:rFonts w:hint="default" w:ascii="Times New Roman" w:hAnsi="Times New Roman" w:cs="Times New Roman"/>
          <w:i w:val="0"/>
          <w:caps w:val="0"/>
          <w:color w:val="auto"/>
          <w:spacing w:val="0"/>
          <w:sz w:val="24"/>
          <w:szCs w:val="24"/>
          <w:highlight w:val="none"/>
          <w:shd w:val="clear" w:fill="FFFFFF"/>
          <w:lang w:val="en-US" w:eastAsia="zh-CN"/>
        </w:rPr>
        <w:t>产生量，</w:t>
      </w:r>
      <w:r>
        <w:rPr>
          <w:rFonts w:hint="default" w:ascii="Times New Roman" w:hAnsi="Times New Roman" w:cs="Times New Roman"/>
          <w:i w:val="0"/>
          <w:caps w:val="0"/>
          <w:color w:val="FF0000"/>
          <w:spacing w:val="0"/>
          <w:sz w:val="24"/>
          <w:szCs w:val="24"/>
          <w:highlight w:val="none"/>
          <w:shd w:val="clear" w:fill="FFFFFF"/>
          <w:lang w:val="en-US" w:eastAsia="zh-CN"/>
        </w:rPr>
        <w:t>该项目原辅料成分、诊疗工艺、</w:t>
      </w:r>
      <w:r>
        <w:rPr>
          <w:rFonts w:hint="eastAsia" w:cs="Times New Roman"/>
          <w:i w:val="0"/>
          <w:caps w:val="0"/>
          <w:color w:val="FF0000"/>
          <w:spacing w:val="0"/>
          <w:sz w:val="24"/>
          <w:szCs w:val="24"/>
          <w:highlight w:val="none"/>
          <w:shd w:val="clear" w:fill="FFFFFF"/>
          <w:lang w:val="en-US" w:eastAsia="zh-CN"/>
        </w:rPr>
        <w:t>医院</w:t>
      </w:r>
      <w:r>
        <w:rPr>
          <w:rFonts w:hint="default" w:ascii="Times New Roman" w:hAnsi="Times New Roman" w:cs="Times New Roman"/>
          <w:i w:val="0"/>
          <w:caps w:val="0"/>
          <w:color w:val="FF0000"/>
          <w:spacing w:val="0"/>
          <w:sz w:val="24"/>
          <w:szCs w:val="24"/>
          <w:highlight w:val="none"/>
          <w:shd w:val="clear" w:fill="FFFFFF"/>
          <w:lang w:val="en-US" w:eastAsia="zh-CN"/>
        </w:rPr>
        <w:t>规模、管理水平及污染控制措施与本项目相近，可以进行类比，</w:t>
      </w:r>
      <w:r>
        <w:rPr>
          <w:rFonts w:hint="eastAsia" w:cs="Times New Roman"/>
          <w:i w:val="0"/>
          <w:caps w:val="0"/>
          <w:color w:val="auto"/>
          <w:spacing w:val="0"/>
          <w:sz w:val="24"/>
          <w:szCs w:val="24"/>
          <w:highlight w:val="none"/>
          <w:shd w:val="clear" w:fill="FFFFFF"/>
          <w:lang w:val="en-US" w:eastAsia="zh-CN"/>
        </w:rPr>
        <w:t>则本项目</w:t>
      </w:r>
      <w:r>
        <w:rPr>
          <w:rFonts w:hint="eastAsia" w:cs="Times New Roman"/>
          <w:color w:val="auto"/>
          <w:sz w:val="24"/>
          <w:szCs w:val="24"/>
          <w:highlight w:val="none"/>
          <w:lang w:val="en-US" w:eastAsia="zh-CN"/>
        </w:rPr>
        <w:t>煎药药渣及废弃中药材产生量为6.8t/a。根据《国家危险废物名录》（2021年版），销售及使用过程中产生的失效、变质、不合格、淘汰、伪劣的化学药品和生物制品以及《医疗用毒性药品管理办法》中所列的毒性中药属于危险废物，本项目为中医医院，不涉及化学药品和生物制品，使用中草药不属于毒性中药，故本项目中医院产生的煎药药渣及废弃中药材为一般性固体废物。根据《生活垃圾填埋场污染控制标准》（GB16889-2008）要求，</w:t>
      </w:r>
      <w:r>
        <w:rPr>
          <w:rFonts w:ascii="宋体" w:hAnsi="宋体" w:eastAsia="宋体" w:cs="宋体"/>
          <w:color w:val="auto"/>
          <w:sz w:val="24"/>
          <w:szCs w:val="24"/>
          <w:highlight w:val="none"/>
        </w:rPr>
        <w:t>服装加工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食品加工以及其他城市生活服务行业产生的性质与生活垃圾相近的一般工业固体</w:t>
      </w:r>
      <w:r>
        <w:rPr>
          <w:rFonts w:hint="eastAsia" w:ascii="宋体" w:hAnsi="宋体" w:eastAsia="宋体" w:cs="宋体"/>
          <w:color w:val="auto"/>
          <w:sz w:val="24"/>
          <w:szCs w:val="24"/>
          <w:highlight w:val="none"/>
          <w:lang w:eastAsia="zh-CN"/>
        </w:rPr>
        <w:t>可直接进入生活垃圾填埋场填埋处理，本项目</w:t>
      </w:r>
      <w:r>
        <w:rPr>
          <w:rFonts w:hint="eastAsia" w:cs="Times New Roman"/>
          <w:color w:val="auto"/>
          <w:sz w:val="24"/>
          <w:szCs w:val="24"/>
          <w:highlight w:val="none"/>
          <w:lang w:val="en-US" w:eastAsia="zh-CN"/>
        </w:rPr>
        <w:t>煎药药渣及废弃中药材与生活垃圾性质相近，可以直接进入生活</w:t>
      </w:r>
      <w:r>
        <w:rPr>
          <w:rFonts w:hint="eastAsia" w:ascii="宋体" w:hAnsi="宋体" w:eastAsia="宋体" w:cs="宋体"/>
          <w:color w:val="auto"/>
          <w:sz w:val="24"/>
          <w:szCs w:val="24"/>
          <w:highlight w:val="none"/>
          <w:lang w:eastAsia="zh-CN"/>
        </w:rPr>
        <w:t>垃圾填埋场填埋处理</w:t>
      </w:r>
      <w:r>
        <w:rPr>
          <w:rFonts w:hint="eastAsia" w:ascii="宋体" w:hAnsi="宋体" w:cs="宋体"/>
          <w:color w:val="auto"/>
          <w:sz w:val="24"/>
          <w:szCs w:val="24"/>
          <w:highlight w:val="none"/>
          <w:lang w:eastAsia="zh-CN"/>
        </w:rPr>
        <w:t>，故本项目</w:t>
      </w:r>
      <w:r>
        <w:rPr>
          <w:rFonts w:hint="eastAsia" w:cs="Times New Roman"/>
          <w:color w:val="auto"/>
          <w:sz w:val="24"/>
          <w:szCs w:val="24"/>
          <w:highlight w:val="none"/>
          <w:lang w:val="en-US" w:eastAsia="zh-CN"/>
        </w:rPr>
        <w:t>煎药药渣及废弃中药材与生活垃圾一同</w:t>
      </w:r>
      <w:r>
        <w:rPr>
          <w:rFonts w:hint="eastAsia" w:cs="Times New Roman"/>
          <w:color w:val="auto"/>
          <w:sz w:val="24"/>
          <w:highlight w:val="none"/>
          <w:lang w:eastAsia="zh-CN"/>
        </w:rPr>
        <w:t>交由环卫部门统一清运处理。</w:t>
      </w:r>
    </w:p>
    <w:p w14:paraId="256D89CD">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outlineLvl w:val="0"/>
        <w:rPr>
          <w:rFonts w:hint="eastAsia" w:asci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3</w:t>
      </w:r>
      <w:r>
        <w:rPr>
          <w:rFonts w:hint="eastAsia" w:ascii="宋体" w:hAnsi="宋体"/>
          <w:color w:val="auto"/>
          <w:sz w:val="24"/>
          <w:highlight w:val="none"/>
        </w:rPr>
        <w:t>）</w:t>
      </w:r>
      <w:r>
        <w:rPr>
          <w:rFonts w:hint="eastAsia" w:ascii="宋体" w:hAnsi="宋体"/>
          <w:color w:val="auto"/>
          <w:sz w:val="24"/>
          <w:highlight w:val="none"/>
          <w:lang w:eastAsia="zh-CN"/>
        </w:rPr>
        <w:t>医疗废物</w:t>
      </w:r>
      <w:r>
        <w:rPr>
          <w:rFonts w:hint="eastAsia" w:ascii="宋体" w:hAnsi="宋体"/>
          <w:color w:val="auto"/>
          <w:sz w:val="24"/>
          <w:highlight w:val="none"/>
        </w:rPr>
        <w:t>产生量</w:t>
      </w:r>
    </w:p>
    <w:p w14:paraId="4727A09E">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rPr>
          <w:rFonts w:ascii="宋体" w:hAnsi="宋体"/>
          <w:color w:val="auto"/>
          <w:sz w:val="24"/>
          <w:highlight w:val="none"/>
        </w:rPr>
      </w:pPr>
      <w:r>
        <w:rPr>
          <w:rFonts w:hint="eastAsia" w:ascii="宋体" w:hAnsi="宋体"/>
          <w:color w:val="auto"/>
          <w:sz w:val="24"/>
          <w:highlight w:val="none"/>
          <w:lang w:eastAsia="zh-CN"/>
        </w:rPr>
        <w:t>医疗废物</w:t>
      </w:r>
      <w:r>
        <w:rPr>
          <w:rFonts w:hint="eastAsia" w:ascii="宋体" w:hAnsi="宋体"/>
          <w:color w:val="auto"/>
          <w:sz w:val="24"/>
          <w:highlight w:val="none"/>
        </w:rPr>
        <w:t>属特种垃圾，</w:t>
      </w:r>
      <w:r>
        <w:rPr>
          <w:rFonts w:hint="eastAsia" w:ascii="宋体" w:hAnsi="宋体"/>
          <w:color w:val="auto"/>
          <w:sz w:val="24"/>
          <w:highlight w:val="none"/>
          <w:lang w:eastAsia="zh-CN"/>
        </w:rPr>
        <w:t>中医医院医疗废物</w:t>
      </w:r>
      <w:r>
        <w:rPr>
          <w:rFonts w:hint="eastAsia" w:ascii="宋体" w:hAnsi="宋体"/>
          <w:color w:val="auto"/>
          <w:sz w:val="24"/>
          <w:highlight w:val="none"/>
        </w:rPr>
        <w:t>包括</w:t>
      </w:r>
      <w:r>
        <w:rPr>
          <w:rFonts w:hint="eastAsia" w:ascii="宋体" w:hAnsi="宋体"/>
          <w:color w:val="auto"/>
          <w:sz w:val="24"/>
          <w:highlight w:val="none"/>
          <w:lang w:eastAsia="zh-CN"/>
        </w:rPr>
        <w:t>棉签、纱布、压舌片等废弃医疗用品，废弃的被服等床上用品，废弃的医用注射器、针灸针、剪刀、刀片，废弃体温计</w:t>
      </w:r>
      <w:r>
        <w:rPr>
          <w:rFonts w:hint="eastAsia" w:ascii="宋体" w:hAnsi="宋体"/>
          <w:color w:val="auto"/>
          <w:sz w:val="24"/>
          <w:highlight w:val="none"/>
        </w:rPr>
        <w:t>等。</w:t>
      </w:r>
    </w:p>
    <w:p w14:paraId="4057DC6A">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rPr>
          <w:rFonts w:hint="default" w:ascii="Times New Roman" w:hAnsi="Times New Roman" w:cs="Times New Roman"/>
          <w:color w:val="auto"/>
          <w:sz w:val="24"/>
          <w:highlight w:val="none"/>
        </w:rPr>
      </w:pPr>
      <w:r>
        <w:rPr>
          <w:rFonts w:hint="default" w:ascii="Times New Roman" w:hAnsi="Times New Roman" w:cs="Times New Roman"/>
          <w:i w:val="0"/>
          <w:caps w:val="0"/>
          <w:color w:val="auto"/>
          <w:spacing w:val="0"/>
          <w:sz w:val="24"/>
          <w:szCs w:val="24"/>
          <w:highlight w:val="none"/>
          <w:shd w:val="clear" w:fill="FFFFFF"/>
          <w:lang w:val="en-US" w:eastAsia="zh-CN"/>
        </w:rPr>
        <w:t>类比《</w:t>
      </w:r>
      <w:r>
        <w:rPr>
          <w:rFonts w:hint="eastAsia" w:cs="Times New Roman"/>
          <w:i w:val="0"/>
          <w:caps w:val="0"/>
          <w:color w:val="auto"/>
          <w:spacing w:val="0"/>
          <w:sz w:val="24"/>
          <w:szCs w:val="24"/>
          <w:highlight w:val="none"/>
          <w:shd w:val="clear" w:fill="FFFFFF"/>
          <w:lang w:val="en-US" w:eastAsia="zh-CN"/>
        </w:rPr>
        <w:t>湘潭诚德中医医院建设项目</w:t>
      </w:r>
      <w:r>
        <w:rPr>
          <w:rFonts w:hint="default" w:ascii="Times New Roman" w:hAnsi="Times New Roman" w:cs="Times New Roman"/>
          <w:i w:val="0"/>
          <w:caps w:val="0"/>
          <w:color w:val="auto"/>
          <w:spacing w:val="0"/>
          <w:sz w:val="24"/>
          <w:szCs w:val="24"/>
          <w:highlight w:val="none"/>
          <w:shd w:val="clear" w:fill="FFFFFF"/>
          <w:lang w:val="en-US" w:eastAsia="zh-CN"/>
        </w:rPr>
        <w:t>》（已通过批复）</w:t>
      </w:r>
      <w:r>
        <w:rPr>
          <w:rFonts w:hint="eastAsia" w:cs="Times New Roman"/>
          <w:i w:val="0"/>
          <w:caps w:val="0"/>
          <w:color w:val="auto"/>
          <w:spacing w:val="0"/>
          <w:sz w:val="24"/>
          <w:szCs w:val="24"/>
          <w:highlight w:val="none"/>
          <w:shd w:val="clear" w:fill="FFFFFF"/>
          <w:lang w:val="en-US" w:eastAsia="zh-CN"/>
        </w:rPr>
        <w:t>医疗废物</w:t>
      </w:r>
      <w:r>
        <w:rPr>
          <w:rFonts w:hint="default" w:ascii="Times New Roman" w:hAnsi="Times New Roman" w:cs="Times New Roman"/>
          <w:i w:val="0"/>
          <w:caps w:val="0"/>
          <w:color w:val="auto"/>
          <w:spacing w:val="0"/>
          <w:sz w:val="24"/>
          <w:szCs w:val="24"/>
          <w:highlight w:val="none"/>
          <w:shd w:val="clear" w:fill="FFFFFF"/>
          <w:lang w:val="en-US" w:eastAsia="zh-CN"/>
        </w:rPr>
        <w:t>污染物产生量，</w:t>
      </w:r>
      <w:r>
        <w:rPr>
          <w:rFonts w:hint="default" w:ascii="Times New Roman" w:hAnsi="Times New Roman" w:cs="Times New Roman"/>
          <w:i w:val="0"/>
          <w:caps w:val="0"/>
          <w:color w:val="FF0000"/>
          <w:spacing w:val="0"/>
          <w:sz w:val="24"/>
          <w:szCs w:val="24"/>
          <w:highlight w:val="none"/>
          <w:shd w:val="clear" w:fill="FFFFFF"/>
          <w:lang w:val="en-US" w:eastAsia="zh-CN"/>
        </w:rPr>
        <w:t>该项目原辅料成分、诊疗工艺、医院规模、管理水平及污染控制措施与本项目相近，可以进行类比，</w:t>
      </w:r>
      <w:r>
        <w:rPr>
          <w:rFonts w:hint="default" w:ascii="Times New Roman" w:hAnsi="Times New Roman" w:cs="Times New Roman"/>
          <w:color w:val="auto"/>
          <w:sz w:val="24"/>
          <w:highlight w:val="none"/>
        </w:rPr>
        <w:t>住院患者人均</w:t>
      </w:r>
      <w:r>
        <w:rPr>
          <w:rFonts w:hint="eastAsia" w:cs="Times New Roman"/>
          <w:color w:val="auto"/>
          <w:sz w:val="24"/>
          <w:highlight w:val="none"/>
          <w:lang w:eastAsia="zh-CN"/>
        </w:rPr>
        <w:t>医疗废物</w:t>
      </w:r>
      <w:r>
        <w:rPr>
          <w:rFonts w:hint="default" w:ascii="Times New Roman" w:hAnsi="Times New Roman" w:cs="Times New Roman"/>
          <w:color w:val="auto"/>
          <w:sz w:val="24"/>
          <w:highlight w:val="none"/>
        </w:rPr>
        <w:t>产生量为0.3kg/d，则最多产生</w:t>
      </w:r>
      <w:r>
        <w:rPr>
          <w:rFonts w:hint="eastAsia" w:cs="Times New Roman"/>
          <w:color w:val="auto"/>
          <w:sz w:val="24"/>
          <w:highlight w:val="none"/>
          <w:lang w:eastAsia="zh-CN"/>
        </w:rPr>
        <w:t>医疗废物</w:t>
      </w:r>
      <w:r>
        <w:rPr>
          <w:rFonts w:hint="eastAsia" w:cs="Times New Roman"/>
          <w:color w:val="auto"/>
          <w:sz w:val="24"/>
          <w:highlight w:val="none"/>
          <w:lang w:val="en-US" w:eastAsia="zh-CN"/>
        </w:rPr>
        <w:t>8.76</w:t>
      </w:r>
      <w:r>
        <w:rPr>
          <w:rFonts w:hint="default" w:ascii="Times New Roman" w:hAnsi="Times New Roman" w:cs="Times New Roman"/>
          <w:color w:val="auto"/>
          <w:sz w:val="24"/>
          <w:highlight w:val="none"/>
        </w:rPr>
        <w:t>t/a；门诊患者人均</w:t>
      </w:r>
      <w:r>
        <w:rPr>
          <w:rFonts w:hint="eastAsia" w:cs="Times New Roman"/>
          <w:color w:val="auto"/>
          <w:sz w:val="24"/>
          <w:highlight w:val="none"/>
          <w:lang w:eastAsia="zh-CN"/>
        </w:rPr>
        <w:t>医疗废物</w:t>
      </w:r>
      <w:r>
        <w:rPr>
          <w:rFonts w:hint="default" w:ascii="Times New Roman" w:hAnsi="Times New Roman" w:cs="Times New Roman"/>
          <w:color w:val="auto"/>
          <w:sz w:val="24"/>
          <w:highlight w:val="none"/>
        </w:rPr>
        <w:t>产生量为为0.03kg/d，则最多产生</w:t>
      </w:r>
      <w:r>
        <w:rPr>
          <w:rFonts w:hint="eastAsia" w:cs="Times New Roman"/>
          <w:color w:val="auto"/>
          <w:sz w:val="24"/>
          <w:highlight w:val="none"/>
          <w:lang w:eastAsia="zh-CN"/>
        </w:rPr>
        <w:t>医疗废物</w:t>
      </w:r>
      <w:r>
        <w:rPr>
          <w:rFonts w:hint="eastAsia" w:cs="Times New Roman"/>
          <w:color w:val="auto"/>
          <w:sz w:val="24"/>
          <w:highlight w:val="none"/>
          <w:lang w:val="en-US" w:eastAsia="zh-CN"/>
        </w:rPr>
        <w:t>0.88</w:t>
      </w:r>
      <w:r>
        <w:rPr>
          <w:rFonts w:hint="default" w:ascii="Times New Roman" w:hAnsi="Times New Roman" w:cs="Times New Roman"/>
          <w:color w:val="auto"/>
          <w:sz w:val="24"/>
          <w:highlight w:val="none"/>
        </w:rPr>
        <w:t>t/a，则全院共产生</w:t>
      </w:r>
      <w:r>
        <w:rPr>
          <w:rFonts w:hint="eastAsia" w:cs="Times New Roman"/>
          <w:color w:val="auto"/>
          <w:sz w:val="24"/>
          <w:highlight w:val="none"/>
          <w:lang w:eastAsia="zh-CN"/>
        </w:rPr>
        <w:t>医疗废物</w:t>
      </w:r>
      <w:r>
        <w:rPr>
          <w:rFonts w:hint="eastAsia" w:cs="Times New Roman"/>
          <w:color w:val="auto"/>
          <w:sz w:val="24"/>
          <w:highlight w:val="none"/>
          <w:lang w:val="en-US" w:eastAsia="zh-CN"/>
        </w:rPr>
        <w:t>9.64</w:t>
      </w:r>
      <w:r>
        <w:rPr>
          <w:rFonts w:hint="default" w:ascii="Times New Roman" w:hAnsi="Times New Roman" w:cs="Times New Roman"/>
          <w:color w:val="auto"/>
          <w:sz w:val="24"/>
          <w:highlight w:val="none"/>
        </w:rPr>
        <w:t>t/a</w:t>
      </w:r>
      <w:r>
        <w:rPr>
          <w:rFonts w:hint="eastAsia" w:cs="Times New Roman"/>
          <w:color w:val="auto"/>
          <w:sz w:val="24"/>
          <w:highlight w:val="none"/>
          <w:lang w:eastAsia="zh-CN"/>
        </w:rPr>
        <w:t>，收集后暂存于医疗废物暂存间，定期委托有资质单位处理</w:t>
      </w:r>
      <w:r>
        <w:rPr>
          <w:rFonts w:hint="default" w:ascii="Times New Roman" w:hAnsi="Times New Roman" w:cs="Times New Roman"/>
          <w:color w:val="auto"/>
          <w:sz w:val="24"/>
          <w:highlight w:val="none"/>
        </w:rPr>
        <w:t>。</w:t>
      </w:r>
    </w:p>
    <w:p w14:paraId="09643B74">
      <w:pPr>
        <w:pStyle w:val="16"/>
        <w:keepNext w:val="0"/>
        <w:keepLines w:val="0"/>
        <w:pageBreakBefore w:val="0"/>
        <w:widowControl w:val="0"/>
        <w:kinsoku/>
        <w:wordWrap/>
        <w:overflowPunct/>
        <w:topLinePunct w:val="0"/>
        <w:autoSpaceDE/>
        <w:autoSpaceDN/>
        <w:bidi w:val="0"/>
        <w:adjustRightInd w:val="0"/>
        <w:snapToGrid w:val="0"/>
        <w:spacing w:before="0" w:line="360" w:lineRule="auto"/>
        <w:ind w:left="0" w:right="0" w:firstLine="472" w:firstLineChars="200"/>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highlight w:val="none"/>
          <w:lang w:eastAsia="zh-CN"/>
        </w:rPr>
        <w:t>（</w:t>
      </w:r>
      <w:r>
        <w:rPr>
          <w:rFonts w:hint="eastAsia" w:ascii="Times New Roman" w:cs="Times New Roman"/>
          <w:color w:val="auto"/>
          <w:sz w:val="24"/>
          <w:highlight w:val="none"/>
          <w:lang w:val="en-US" w:eastAsia="zh-CN"/>
        </w:rPr>
        <w:t>4</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szCs w:val="24"/>
          <w:highlight w:val="none"/>
        </w:rPr>
        <w:t>污泥</w:t>
      </w:r>
      <w:r>
        <w:rPr>
          <w:rFonts w:hint="eastAsia" w:ascii="Times New Roman" w:eastAsia="宋体" w:cs="Times New Roman"/>
          <w:color w:val="auto"/>
          <w:sz w:val="24"/>
          <w:szCs w:val="24"/>
          <w:highlight w:val="none"/>
          <w:lang w:eastAsia="zh-CN"/>
        </w:rPr>
        <w:t>及栅渣产生</w:t>
      </w:r>
      <w:r>
        <w:rPr>
          <w:rFonts w:hint="default" w:ascii="Times New Roman" w:hAnsi="Times New Roman" w:eastAsia="宋体" w:cs="Times New Roman"/>
          <w:color w:val="auto"/>
          <w:sz w:val="24"/>
          <w:szCs w:val="24"/>
          <w:highlight w:val="none"/>
        </w:rPr>
        <w:t>量</w:t>
      </w:r>
    </w:p>
    <w:p w14:paraId="646D5777">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rPr>
          <w:rFonts w:hint="eastAsia" w:ascii="Calibri" w:hAnsi="Calibri" w:cs="Calibri"/>
          <w:bCs/>
          <w:color w:val="auto"/>
          <w:sz w:val="24"/>
          <w:szCs w:val="24"/>
          <w:highlight w:val="none"/>
          <w:lang w:val="en-US" w:eastAsia="zh-CN"/>
        </w:rPr>
      </w:pPr>
      <w:r>
        <w:rPr>
          <w:rFonts w:hint="default" w:ascii="Times New Roman" w:hAnsi="Times New Roman" w:cs="Times New Roman"/>
          <w:color w:val="auto"/>
          <w:sz w:val="24"/>
          <w:highlight w:val="none"/>
        </w:rPr>
        <w:t>医院污水处理过程</w:t>
      </w:r>
      <w:r>
        <w:rPr>
          <w:rFonts w:hint="eastAsia" w:cs="Times New Roman"/>
          <w:color w:val="auto"/>
          <w:sz w:val="24"/>
          <w:highlight w:val="none"/>
          <w:lang w:eastAsia="zh-CN"/>
        </w:rPr>
        <w:t>中沉淀池会</w:t>
      </w:r>
      <w:r>
        <w:rPr>
          <w:rFonts w:hint="default" w:ascii="Times New Roman" w:hAnsi="Times New Roman" w:cs="Times New Roman"/>
          <w:color w:val="auto"/>
          <w:sz w:val="24"/>
          <w:highlight w:val="none"/>
        </w:rPr>
        <w:t>产生污泥</w:t>
      </w:r>
      <w:r>
        <w:rPr>
          <w:rFonts w:hint="eastAsia" w:cs="Times New Roman"/>
          <w:color w:val="auto"/>
          <w:sz w:val="24"/>
          <w:highlight w:val="none"/>
          <w:lang w:eastAsia="zh-CN"/>
        </w:rPr>
        <w:t>，格栅会产生栅渣，污泥及栅渣收集后委托有资质单位处理，</w:t>
      </w:r>
      <w:r>
        <w:rPr>
          <w:rFonts w:hint="default" w:ascii="Times New Roman" w:hAnsi="Times New Roman" w:cs="Times New Roman"/>
          <w:i w:val="0"/>
          <w:caps w:val="0"/>
          <w:color w:val="auto"/>
          <w:spacing w:val="0"/>
          <w:sz w:val="24"/>
          <w:szCs w:val="24"/>
          <w:highlight w:val="none"/>
          <w:shd w:val="clear" w:fill="FFFFFF"/>
          <w:lang w:val="en-US" w:eastAsia="zh-CN"/>
        </w:rPr>
        <w:t>类比《</w:t>
      </w:r>
      <w:r>
        <w:rPr>
          <w:rFonts w:hint="eastAsia" w:cs="Times New Roman"/>
          <w:i w:val="0"/>
          <w:caps w:val="0"/>
          <w:color w:val="auto"/>
          <w:spacing w:val="0"/>
          <w:sz w:val="24"/>
          <w:szCs w:val="24"/>
          <w:highlight w:val="none"/>
          <w:shd w:val="clear" w:fill="FFFFFF"/>
          <w:lang w:val="en-US" w:eastAsia="zh-CN"/>
        </w:rPr>
        <w:t>湘潭诚德中医医院建设项目</w:t>
      </w:r>
      <w:r>
        <w:rPr>
          <w:rFonts w:hint="default" w:ascii="Times New Roman" w:hAnsi="Times New Roman" w:cs="Times New Roman"/>
          <w:i w:val="0"/>
          <w:caps w:val="0"/>
          <w:color w:val="auto"/>
          <w:spacing w:val="0"/>
          <w:sz w:val="24"/>
          <w:szCs w:val="24"/>
          <w:highlight w:val="none"/>
          <w:shd w:val="clear" w:fill="FFFFFF"/>
          <w:lang w:val="en-US" w:eastAsia="zh-CN"/>
        </w:rPr>
        <w:t>》（已通过批复）</w:t>
      </w:r>
      <w:r>
        <w:rPr>
          <w:rFonts w:hint="eastAsia" w:cs="Times New Roman"/>
          <w:i w:val="0"/>
          <w:caps w:val="0"/>
          <w:color w:val="auto"/>
          <w:spacing w:val="0"/>
          <w:sz w:val="24"/>
          <w:szCs w:val="24"/>
          <w:highlight w:val="none"/>
          <w:shd w:val="clear" w:fill="FFFFFF"/>
          <w:lang w:val="en-US" w:eastAsia="zh-CN"/>
        </w:rPr>
        <w:t>污水处理站污泥及栅渣</w:t>
      </w:r>
      <w:r>
        <w:rPr>
          <w:rFonts w:hint="default" w:ascii="Times New Roman" w:hAnsi="Times New Roman" w:cs="Times New Roman"/>
          <w:i w:val="0"/>
          <w:caps w:val="0"/>
          <w:color w:val="auto"/>
          <w:spacing w:val="0"/>
          <w:sz w:val="24"/>
          <w:szCs w:val="24"/>
          <w:highlight w:val="none"/>
          <w:shd w:val="clear" w:fill="FFFFFF"/>
          <w:lang w:val="en-US" w:eastAsia="zh-CN"/>
        </w:rPr>
        <w:t>产生量，</w:t>
      </w:r>
      <w:r>
        <w:rPr>
          <w:rFonts w:hint="default" w:ascii="Times New Roman" w:hAnsi="Times New Roman" w:cs="Times New Roman"/>
          <w:i w:val="0"/>
          <w:caps w:val="0"/>
          <w:color w:val="FF0000"/>
          <w:spacing w:val="0"/>
          <w:sz w:val="24"/>
          <w:szCs w:val="24"/>
          <w:highlight w:val="none"/>
          <w:shd w:val="clear" w:fill="FFFFFF"/>
          <w:lang w:val="en-US" w:eastAsia="zh-CN"/>
        </w:rPr>
        <w:t>该项目原辅料成分、诊疗工艺、医院规模、管理水平及污染控制措施与本项目相近，可以进行类比，</w:t>
      </w:r>
      <w:r>
        <w:rPr>
          <w:rFonts w:hint="eastAsia" w:cs="Times New Roman"/>
          <w:i w:val="0"/>
          <w:caps w:val="0"/>
          <w:color w:val="auto"/>
          <w:spacing w:val="0"/>
          <w:sz w:val="24"/>
          <w:szCs w:val="24"/>
          <w:highlight w:val="none"/>
          <w:shd w:val="clear" w:fill="FFFFFF"/>
          <w:lang w:val="en-US" w:eastAsia="zh-CN"/>
        </w:rPr>
        <w:t>经类比本项目污泥及栅渣产生</w:t>
      </w:r>
      <w:r>
        <w:rPr>
          <w:rFonts w:hint="default" w:ascii="Times New Roman" w:hAnsi="Times New Roman" w:cs="Times New Roman"/>
          <w:color w:val="auto"/>
          <w:sz w:val="24"/>
          <w:highlight w:val="none"/>
        </w:rPr>
        <w:t>量为</w:t>
      </w:r>
      <w:r>
        <w:rPr>
          <w:rFonts w:hint="eastAsia" w:cs="Times New Roman"/>
          <w:color w:val="auto"/>
          <w:sz w:val="24"/>
          <w:highlight w:val="none"/>
          <w:lang w:val="en-US" w:eastAsia="zh-CN"/>
        </w:rPr>
        <w:t>0.15</w:t>
      </w:r>
      <w:r>
        <w:rPr>
          <w:rFonts w:hint="default" w:ascii="Times New Roman" w:hAnsi="Times New Roman" w:cs="Times New Roman"/>
          <w:color w:val="auto"/>
          <w:sz w:val="24"/>
          <w:highlight w:val="none"/>
        </w:rPr>
        <w:t>t/a（含水量为50%）</w:t>
      </w:r>
      <w:r>
        <w:rPr>
          <w:rFonts w:hint="eastAsia" w:cs="Times New Roman"/>
          <w:color w:val="auto"/>
          <w:sz w:val="24"/>
          <w:highlight w:val="none"/>
          <w:lang w:eastAsia="zh-CN"/>
        </w:rPr>
        <w:t>，</w:t>
      </w:r>
      <w:r>
        <w:rPr>
          <w:rFonts w:ascii="Times New Roman" w:hAnsi="Times New Roman" w:cs="Times New Roman"/>
          <w:color w:val="auto"/>
          <w:sz w:val="24"/>
          <w:szCs w:val="24"/>
          <w:highlight w:val="none"/>
        </w:rPr>
        <w:t>经消毒处理后的污泥放入桶中，加盖密封，并且要及时外运</w:t>
      </w:r>
      <w:r>
        <w:rPr>
          <w:rFonts w:hint="eastAsia" w:cs="Times New Roman"/>
          <w:color w:val="auto"/>
          <w:sz w:val="24"/>
          <w:szCs w:val="24"/>
          <w:highlight w:val="none"/>
          <w:lang w:eastAsia="zh-CN"/>
        </w:rPr>
        <w:t>，委托有资质单位处理</w:t>
      </w:r>
      <w:r>
        <w:rPr>
          <w:rFonts w:hint="default" w:ascii="Times New Roman" w:hAnsi="Times New Roman" w:cs="Times New Roman"/>
          <w:color w:val="auto"/>
          <w:sz w:val="24"/>
          <w:highlight w:val="none"/>
        </w:rPr>
        <w:t>。</w:t>
      </w:r>
    </w:p>
    <w:p w14:paraId="34AD75FC">
      <w:pPr>
        <w:keepNext w:val="0"/>
        <w:keepLines w:val="0"/>
        <w:pageBreakBefore w:val="0"/>
        <w:widowControl w:val="0"/>
        <w:kinsoku/>
        <w:wordWrap/>
        <w:overflowPunct/>
        <w:topLinePunct/>
        <w:autoSpaceDE/>
        <w:autoSpaceDN/>
        <w:bidi w:val="0"/>
        <w:adjustRightInd w:val="0"/>
        <w:snapToGrid w:val="0"/>
        <w:spacing w:line="360" w:lineRule="auto"/>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表</w:t>
      </w:r>
      <w:r>
        <w:rPr>
          <w:rFonts w:hint="eastAsia" w:ascii="宋体" w:hAnsi="宋体" w:eastAsia="宋体" w:cs="宋体"/>
          <w:b/>
          <w:color w:val="auto"/>
          <w:sz w:val="21"/>
          <w:szCs w:val="21"/>
          <w:highlight w:val="none"/>
          <w:lang w:val="en-US" w:eastAsia="zh-CN"/>
        </w:rPr>
        <w:t>2</w:t>
      </w:r>
      <w:r>
        <w:rPr>
          <w:rFonts w:hint="eastAsia" w:ascii="宋体" w:hAnsi="宋体" w:cs="宋体"/>
          <w:b/>
          <w:color w:val="auto"/>
          <w:sz w:val="21"/>
          <w:szCs w:val="21"/>
          <w:highlight w:val="none"/>
          <w:lang w:val="en-US" w:eastAsia="zh-CN"/>
        </w:rPr>
        <w:t>5</w:t>
      </w:r>
      <w:r>
        <w:rPr>
          <w:rFonts w:hint="eastAsia" w:ascii="宋体" w:hAnsi="宋体" w:eastAsia="宋体" w:cs="宋体"/>
          <w:b/>
          <w:color w:val="auto"/>
          <w:sz w:val="21"/>
          <w:szCs w:val="21"/>
          <w:highlight w:val="none"/>
        </w:rPr>
        <w:t xml:space="preserve">  </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工程分析中危险废物汇总样表</w:t>
      </w:r>
    </w:p>
    <w:tbl>
      <w:tblPr>
        <w:tblStyle w:val="24"/>
        <w:tblW w:w="922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5"/>
        <w:gridCol w:w="791"/>
        <w:gridCol w:w="763"/>
        <w:gridCol w:w="901"/>
        <w:gridCol w:w="968"/>
        <w:gridCol w:w="955"/>
        <w:gridCol w:w="722"/>
        <w:gridCol w:w="723"/>
        <w:gridCol w:w="777"/>
        <w:gridCol w:w="654"/>
        <w:gridCol w:w="655"/>
        <w:gridCol w:w="886"/>
      </w:tblGrid>
      <w:tr w14:paraId="4F161E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25" w:type="dxa"/>
            <w:tcBorders>
              <w:tl2br w:val="nil"/>
              <w:tr2bl w:val="nil"/>
            </w:tcBorders>
            <w:noWrap w:val="0"/>
            <w:vAlign w:val="center"/>
          </w:tcPr>
          <w:p w14:paraId="0F9D381D">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序号</w:t>
            </w:r>
          </w:p>
        </w:tc>
        <w:tc>
          <w:tcPr>
            <w:tcW w:w="791" w:type="dxa"/>
            <w:tcBorders>
              <w:tl2br w:val="nil"/>
              <w:tr2bl w:val="nil"/>
            </w:tcBorders>
            <w:noWrap w:val="0"/>
            <w:vAlign w:val="center"/>
          </w:tcPr>
          <w:p w14:paraId="19259180">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危险废物名称</w:t>
            </w:r>
          </w:p>
        </w:tc>
        <w:tc>
          <w:tcPr>
            <w:tcW w:w="763" w:type="dxa"/>
            <w:tcBorders>
              <w:tl2br w:val="nil"/>
              <w:tr2bl w:val="nil"/>
            </w:tcBorders>
            <w:noWrap w:val="0"/>
            <w:vAlign w:val="center"/>
          </w:tcPr>
          <w:p w14:paraId="0AA2805A">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危险废物类别</w:t>
            </w:r>
          </w:p>
        </w:tc>
        <w:tc>
          <w:tcPr>
            <w:tcW w:w="901" w:type="dxa"/>
            <w:tcBorders>
              <w:tl2br w:val="nil"/>
              <w:tr2bl w:val="nil"/>
            </w:tcBorders>
            <w:noWrap w:val="0"/>
            <w:vAlign w:val="center"/>
          </w:tcPr>
          <w:p w14:paraId="606A0635">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危险废物代码</w:t>
            </w:r>
          </w:p>
        </w:tc>
        <w:tc>
          <w:tcPr>
            <w:tcW w:w="968" w:type="dxa"/>
            <w:tcBorders>
              <w:tl2br w:val="nil"/>
              <w:tr2bl w:val="nil"/>
            </w:tcBorders>
            <w:noWrap w:val="0"/>
            <w:vAlign w:val="center"/>
          </w:tcPr>
          <w:p w14:paraId="2A465C6A">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产生量（吨/年）</w:t>
            </w:r>
          </w:p>
        </w:tc>
        <w:tc>
          <w:tcPr>
            <w:tcW w:w="955" w:type="dxa"/>
            <w:tcBorders>
              <w:tl2br w:val="nil"/>
              <w:tr2bl w:val="nil"/>
            </w:tcBorders>
            <w:noWrap w:val="0"/>
            <w:vAlign w:val="center"/>
          </w:tcPr>
          <w:p w14:paraId="16684BFC">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产生工序及装置</w:t>
            </w:r>
          </w:p>
        </w:tc>
        <w:tc>
          <w:tcPr>
            <w:tcW w:w="722" w:type="dxa"/>
            <w:tcBorders>
              <w:tl2br w:val="nil"/>
              <w:tr2bl w:val="nil"/>
            </w:tcBorders>
            <w:noWrap w:val="0"/>
            <w:vAlign w:val="center"/>
          </w:tcPr>
          <w:p w14:paraId="3C726210">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形态</w:t>
            </w:r>
          </w:p>
        </w:tc>
        <w:tc>
          <w:tcPr>
            <w:tcW w:w="723" w:type="dxa"/>
            <w:tcBorders>
              <w:tl2br w:val="nil"/>
              <w:tr2bl w:val="nil"/>
            </w:tcBorders>
            <w:noWrap w:val="0"/>
            <w:vAlign w:val="center"/>
          </w:tcPr>
          <w:p w14:paraId="48759D5B">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主要成分</w:t>
            </w:r>
          </w:p>
        </w:tc>
        <w:tc>
          <w:tcPr>
            <w:tcW w:w="777" w:type="dxa"/>
            <w:tcBorders>
              <w:tl2br w:val="nil"/>
              <w:tr2bl w:val="nil"/>
            </w:tcBorders>
            <w:noWrap w:val="0"/>
            <w:vAlign w:val="center"/>
          </w:tcPr>
          <w:p w14:paraId="3FE87CFB">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有害成分</w:t>
            </w:r>
          </w:p>
        </w:tc>
        <w:tc>
          <w:tcPr>
            <w:tcW w:w="654" w:type="dxa"/>
            <w:tcBorders>
              <w:tl2br w:val="nil"/>
              <w:tr2bl w:val="nil"/>
            </w:tcBorders>
            <w:noWrap w:val="0"/>
            <w:vAlign w:val="center"/>
          </w:tcPr>
          <w:p w14:paraId="14CBA0E5">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产废周期</w:t>
            </w:r>
          </w:p>
        </w:tc>
        <w:tc>
          <w:tcPr>
            <w:tcW w:w="655" w:type="dxa"/>
            <w:tcBorders>
              <w:tl2br w:val="nil"/>
              <w:tr2bl w:val="nil"/>
            </w:tcBorders>
            <w:noWrap w:val="0"/>
            <w:vAlign w:val="center"/>
          </w:tcPr>
          <w:p w14:paraId="7FE0B3CF">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危险</w:t>
            </w:r>
          </w:p>
          <w:p w14:paraId="6A708C0F">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特性</w:t>
            </w:r>
          </w:p>
        </w:tc>
        <w:tc>
          <w:tcPr>
            <w:tcW w:w="886" w:type="dxa"/>
            <w:tcBorders>
              <w:tl2br w:val="nil"/>
              <w:tr2bl w:val="nil"/>
            </w:tcBorders>
            <w:noWrap w:val="0"/>
            <w:vAlign w:val="center"/>
          </w:tcPr>
          <w:p w14:paraId="5DF03165">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污染防治措施</w:t>
            </w:r>
          </w:p>
        </w:tc>
      </w:tr>
      <w:tr w14:paraId="3EE490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5" w:type="dxa"/>
            <w:tcBorders>
              <w:tl2br w:val="nil"/>
              <w:tr2bl w:val="nil"/>
            </w:tcBorders>
            <w:noWrap w:val="0"/>
            <w:vAlign w:val="center"/>
          </w:tcPr>
          <w:p w14:paraId="42B610D8">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w:t>
            </w:r>
          </w:p>
        </w:tc>
        <w:tc>
          <w:tcPr>
            <w:tcW w:w="791" w:type="dxa"/>
            <w:tcBorders>
              <w:tl2br w:val="nil"/>
              <w:tr2bl w:val="nil"/>
            </w:tcBorders>
            <w:noWrap w:val="0"/>
            <w:vAlign w:val="center"/>
          </w:tcPr>
          <w:p w14:paraId="60C2F75E">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sz w:val="21"/>
                <w:szCs w:val="21"/>
                <w:highlight w:val="none"/>
                <w:lang w:eastAsia="zh-CN"/>
              </w:rPr>
              <w:t>污泥及栅渣</w:t>
            </w:r>
          </w:p>
        </w:tc>
        <w:tc>
          <w:tcPr>
            <w:tcW w:w="763" w:type="dxa"/>
            <w:tcBorders>
              <w:tl2br w:val="nil"/>
              <w:tr2bl w:val="nil"/>
            </w:tcBorders>
            <w:noWrap w:val="0"/>
            <w:vAlign w:val="center"/>
          </w:tcPr>
          <w:p w14:paraId="2320097B">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HW01医疗废物</w:t>
            </w:r>
          </w:p>
        </w:tc>
        <w:tc>
          <w:tcPr>
            <w:tcW w:w="901" w:type="dxa"/>
            <w:tcBorders>
              <w:tl2br w:val="nil"/>
              <w:tr2bl w:val="nil"/>
            </w:tcBorders>
            <w:noWrap w:val="0"/>
            <w:vAlign w:val="center"/>
          </w:tcPr>
          <w:p w14:paraId="3FCC83BD">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831-001-01</w:t>
            </w:r>
          </w:p>
        </w:tc>
        <w:tc>
          <w:tcPr>
            <w:tcW w:w="968" w:type="dxa"/>
            <w:tcBorders>
              <w:tl2br w:val="nil"/>
              <w:tr2bl w:val="nil"/>
            </w:tcBorders>
            <w:noWrap w:val="0"/>
            <w:vAlign w:val="center"/>
          </w:tcPr>
          <w:p w14:paraId="53F9437E">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0.15</w:t>
            </w:r>
          </w:p>
        </w:tc>
        <w:tc>
          <w:tcPr>
            <w:tcW w:w="955" w:type="dxa"/>
            <w:tcBorders>
              <w:tl2br w:val="nil"/>
              <w:tr2bl w:val="nil"/>
            </w:tcBorders>
            <w:noWrap w:val="0"/>
            <w:vAlign w:val="center"/>
          </w:tcPr>
          <w:p w14:paraId="4155FF34">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eastAsia" w:ascii="Times New Roman" w:hAnsi="Times New Roman" w:eastAsia="宋体" w:cs="Times New Roman"/>
                <w:color w:val="auto"/>
                <w:kern w:val="0"/>
                <w:sz w:val="21"/>
                <w:szCs w:val="21"/>
                <w:highlight w:val="none"/>
                <w:lang w:eastAsia="zh-CN"/>
              </w:rPr>
            </w:pPr>
            <w:r>
              <w:rPr>
                <w:rFonts w:hint="eastAsia" w:ascii="Times New Roman" w:hAnsi="Times New Roman" w:eastAsia="宋体" w:cs="Times New Roman"/>
                <w:color w:val="auto"/>
                <w:kern w:val="0"/>
                <w:sz w:val="21"/>
                <w:szCs w:val="21"/>
                <w:highlight w:val="none"/>
                <w:lang w:eastAsia="zh-CN"/>
              </w:rPr>
              <w:t>污水处理站</w:t>
            </w:r>
          </w:p>
        </w:tc>
        <w:tc>
          <w:tcPr>
            <w:tcW w:w="722" w:type="dxa"/>
            <w:tcBorders>
              <w:tl2br w:val="nil"/>
              <w:tr2bl w:val="nil"/>
            </w:tcBorders>
            <w:noWrap w:val="0"/>
            <w:vAlign w:val="center"/>
          </w:tcPr>
          <w:p w14:paraId="5FEEEBE3">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eastAsia="zh-CN"/>
              </w:rPr>
              <w:t>固态</w:t>
            </w:r>
          </w:p>
        </w:tc>
        <w:tc>
          <w:tcPr>
            <w:tcW w:w="723" w:type="dxa"/>
            <w:tcBorders>
              <w:tl2br w:val="nil"/>
              <w:tr2bl w:val="nil"/>
            </w:tcBorders>
            <w:noWrap w:val="0"/>
            <w:vAlign w:val="center"/>
          </w:tcPr>
          <w:p w14:paraId="778415FA">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eastAsia" w:ascii="Times New Roman" w:hAnsi="Times New Roman" w:eastAsia="宋体" w:cs="Times New Roman"/>
                <w:color w:val="auto"/>
                <w:kern w:val="0"/>
                <w:sz w:val="21"/>
                <w:szCs w:val="21"/>
                <w:highlight w:val="none"/>
                <w:lang w:eastAsia="zh-CN"/>
              </w:rPr>
            </w:pPr>
            <w:r>
              <w:rPr>
                <w:rFonts w:hint="eastAsia" w:ascii="Times New Roman" w:hAnsi="Times New Roman" w:eastAsia="宋体" w:cs="Times New Roman"/>
                <w:color w:val="auto"/>
                <w:kern w:val="0"/>
                <w:sz w:val="21"/>
                <w:szCs w:val="21"/>
                <w:highlight w:val="none"/>
                <w:lang w:eastAsia="zh-CN"/>
              </w:rPr>
              <w:t>污泥</w:t>
            </w:r>
          </w:p>
        </w:tc>
        <w:tc>
          <w:tcPr>
            <w:tcW w:w="777" w:type="dxa"/>
            <w:tcBorders>
              <w:tl2br w:val="nil"/>
              <w:tr2bl w:val="nil"/>
            </w:tcBorders>
            <w:noWrap w:val="0"/>
            <w:vAlign w:val="center"/>
          </w:tcPr>
          <w:p w14:paraId="39122B84">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eastAsia" w:ascii="Times New Roman" w:hAnsi="Times New Roman" w:eastAsia="宋体" w:cs="Times New Roman"/>
                <w:color w:val="auto"/>
                <w:kern w:val="0"/>
                <w:sz w:val="21"/>
                <w:szCs w:val="21"/>
                <w:highlight w:val="none"/>
                <w:lang w:eastAsia="zh-CN"/>
              </w:rPr>
            </w:pPr>
            <w:r>
              <w:rPr>
                <w:rFonts w:hint="eastAsia" w:ascii="Times New Roman" w:hAnsi="Times New Roman" w:eastAsia="宋体" w:cs="Times New Roman"/>
                <w:color w:val="auto"/>
                <w:kern w:val="0"/>
                <w:sz w:val="21"/>
                <w:szCs w:val="21"/>
                <w:highlight w:val="none"/>
                <w:lang w:eastAsia="zh-CN"/>
              </w:rPr>
              <w:t>感染性病菌</w:t>
            </w:r>
          </w:p>
        </w:tc>
        <w:tc>
          <w:tcPr>
            <w:tcW w:w="654" w:type="dxa"/>
            <w:tcBorders>
              <w:tl2br w:val="nil"/>
              <w:tr2bl w:val="nil"/>
            </w:tcBorders>
            <w:noWrap w:val="0"/>
            <w:vAlign w:val="center"/>
          </w:tcPr>
          <w:p w14:paraId="6A698F27">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eastAsia" w:ascii="Times New Roman" w:hAnsi="Times New Roman" w:eastAsia="宋体" w:cs="Times New Roman"/>
                <w:color w:val="auto"/>
                <w:kern w:val="0"/>
                <w:sz w:val="21"/>
                <w:szCs w:val="21"/>
                <w:highlight w:val="none"/>
                <w:lang w:eastAsia="zh-CN"/>
              </w:rPr>
            </w:pPr>
            <w:r>
              <w:rPr>
                <w:rFonts w:hint="eastAsia" w:ascii="Times New Roman" w:hAnsi="Times New Roman" w:eastAsia="宋体" w:cs="Times New Roman"/>
                <w:color w:val="auto"/>
                <w:kern w:val="0"/>
                <w:sz w:val="21"/>
                <w:szCs w:val="21"/>
                <w:highlight w:val="none"/>
                <w:lang w:eastAsia="zh-CN"/>
              </w:rPr>
              <w:t>间歇</w:t>
            </w:r>
          </w:p>
        </w:tc>
        <w:tc>
          <w:tcPr>
            <w:tcW w:w="655" w:type="dxa"/>
            <w:tcBorders>
              <w:tl2br w:val="nil"/>
              <w:tr2bl w:val="nil"/>
            </w:tcBorders>
            <w:noWrap w:val="0"/>
            <w:vAlign w:val="center"/>
          </w:tcPr>
          <w:p w14:paraId="63FE2E9D">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In</w:t>
            </w:r>
          </w:p>
        </w:tc>
        <w:tc>
          <w:tcPr>
            <w:tcW w:w="886" w:type="dxa"/>
            <w:vMerge w:val="restart"/>
            <w:tcBorders>
              <w:tl2br w:val="nil"/>
              <w:tr2bl w:val="nil"/>
            </w:tcBorders>
            <w:noWrap w:val="0"/>
            <w:vAlign w:val="center"/>
          </w:tcPr>
          <w:p w14:paraId="5E5CB47C">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eastAsia" w:ascii="Times New Roman" w:hAnsi="Times New Roman" w:eastAsia="宋体" w:cs="Times New Roman"/>
                <w:color w:val="auto"/>
                <w:kern w:val="0"/>
                <w:sz w:val="21"/>
                <w:szCs w:val="21"/>
                <w:highlight w:val="none"/>
                <w:lang w:eastAsia="zh-CN"/>
              </w:rPr>
            </w:pPr>
            <w:r>
              <w:rPr>
                <w:rFonts w:hint="eastAsia" w:ascii="Times New Roman" w:hAnsi="Times New Roman" w:eastAsia="宋体" w:cs="Times New Roman"/>
                <w:color w:val="auto"/>
                <w:kern w:val="0"/>
                <w:sz w:val="21"/>
                <w:szCs w:val="21"/>
                <w:highlight w:val="none"/>
                <w:lang w:eastAsia="zh-CN"/>
              </w:rPr>
              <w:t>暂存于</w:t>
            </w:r>
            <w:r>
              <w:rPr>
                <w:rFonts w:hint="eastAsia" w:cs="Times New Roman"/>
                <w:color w:val="auto"/>
                <w:sz w:val="21"/>
                <w:szCs w:val="21"/>
                <w:highlight w:val="none"/>
                <w:lang w:eastAsia="zh-CN"/>
              </w:rPr>
              <w:t>医疗废物</w:t>
            </w:r>
            <w:r>
              <w:rPr>
                <w:rFonts w:hint="eastAsia" w:ascii="Times New Roman" w:hAnsi="Times New Roman" w:eastAsia="宋体" w:cs="Times New Roman"/>
                <w:color w:val="auto"/>
                <w:kern w:val="0"/>
                <w:sz w:val="21"/>
                <w:szCs w:val="21"/>
                <w:highlight w:val="none"/>
                <w:lang w:eastAsia="zh-CN"/>
              </w:rPr>
              <w:t>暂存间，定期委托有资质单位处理</w:t>
            </w:r>
          </w:p>
        </w:tc>
      </w:tr>
      <w:tr w14:paraId="2E29CA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425" w:type="dxa"/>
            <w:vMerge w:val="restart"/>
            <w:tcBorders>
              <w:tl2br w:val="nil"/>
              <w:tr2bl w:val="nil"/>
            </w:tcBorders>
            <w:noWrap w:val="0"/>
            <w:vAlign w:val="center"/>
          </w:tcPr>
          <w:p w14:paraId="0FB414A4">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2</w:t>
            </w:r>
          </w:p>
        </w:tc>
        <w:tc>
          <w:tcPr>
            <w:tcW w:w="791" w:type="dxa"/>
            <w:vMerge w:val="restart"/>
            <w:tcBorders>
              <w:tl2br w:val="nil"/>
              <w:tr2bl w:val="nil"/>
            </w:tcBorders>
            <w:noWrap w:val="0"/>
            <w:vAlign w:val="center"/>
          </w:tcPr>
          <w:p w14:paraId="05A507E0">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sz w:val="21"/>
                <w:szCs w:val="21"/>
                <w:highlight w:val="none"/>
                <w:lang w:eastAsia="zh-CN"/>
              </w:rPr>
              <w:t>医疗废物</w:t>
            </w:r>
          </w:p>
        </w:tc>
        <w:tc>
          <w:tcPr>
            <w:tcW w:w="763" w:type="dxa"/>
            <w:vMerge w:val="restart"/>
            <w:tcBorders>
              <w:tl2br w:val="nil"/>
              <w:tr2bl w:val="nil"/>
            </w:tcBorders>
            <w:noWrap w:val="0"/>
            <w:vAlign w:val="center"/>
          </w:tcPr>
          <w:p w14:paraId="2AAFD9D8">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HW01医疗废物</w:t>
            </w:r>
          </w:p>
        </w:tc>
        <w:tc>
          <w:tcPr>
            <w:tcW w:w="901" w:type="dxa"/>
            <w:tcBorders>
              <w:tl2br w:val="nil"/>
              <w:tr2bl w:val="nil"/>
            </w:tcBorders>
            <w:noWrap w:val="0"/>
            <w:vAlign w:val="center"/>
          </w:tcPr>
          <w:p w14:paraId="116BB743">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831-001-01</w:t>
            </w:r>
          </w:p>
        </w:tc>
        <w:tc>
          <w:tcPr>
            <w:tcW w:w="968" w:type="dxa"/>
            <w:vMerge w:val="restart"/>
            <w:tcBorders>
              <w:tl2br w:val="nil"/>
              <w:tr2bl w:val="nil"/>
            </w:tcBorders>
            <w:noWrap w:val="0"/>
            <w:vAlign w:val="center"/>
          </w:tcPr>
          <w:p w14:paraId="3F2F7216">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9.64</w:t>
            </w:r>
          </w:p>
        </w:tc>
        <w:tc>
          <w:tcPr>
            <w:tcW w:w="955" w:type="dxa"/>
            <w:vMerge w:val="restart"/>
            <w:tcBorders>
              <w:tl2br w:val="nil"/>
              <w:tr2bl w:val="nil"/>
            </w:tcBorders>
            <w:noWrap w:val="0"/>
            <w:vAlign w:val="center"/>
          </w:tcPr>
          <w:p w14:paraId="2459E070">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eastAsia" w:ascii="Times New Roman" w:hAnsi="Times New Roman" w:eastAsia="宋体" w:cs="Times New Roman"/>
                <w:color w:val="auto"/>
                <w:kern w:val="0"/>
                <w:sz w:val="21"/>
                <w:szCs w:val="21"/>
                <w:highlight w:val="none"/>
                <w:lang w:eastAsia="zh-CN"/>
              </w:rPr>
            </w:pPr>
            <w:r>
              <w:rPr>
                <w:rFonts w:hint="eastAsia" w:ascii="Times New Roman" w:hAnsi="Times New Roman" w:eastAsia="宋体" w:cs="Times New Roman"/>
                <w:color w:val="auto"/>
                <w:kern w:val="0"/>
                <w:sz w:val="21"/>
                <w:szCs w:val="21"/>
                <w:highlight w:val="none"/>
                <w:lang w:eastAsia="zh-CN"/>
              </w:rPr>
              <w:t>治疗</w:t>
            </w:r>
          </w:p>
        </w:tc>
        <w:tc>
          <w:tcPr>
            <w:tcW w:w="722" w:type="dxa"/>
            <w:vMerge w:val="restart"/>
            <w:tcBorders>
              <w:tl2br w:val="nil"/>
              <w:tr2bl w:val="nil"/>
            </w:tcBorders>
            <w:noWrap w:val="0"/>
            <w:vAlign w:val="center"/>
          </w:tcPr>
          <w:p w14:paraId="40735A19">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eastAsia" w:ascii="Times New Roman" w:hAnsi="Times New Roman" w:eastAsia="宋体" w:cs="Times New Roman"/>
                <w:color w:val="auto"/>
                <w:kern w:val="0"/>
                <w:sz w:val="21"/>
                <w:szCs w:val="21"/>
                <w:highlight w:val="none"/>
                <w:lang w:eastAsia="zh-CN"/>
              </w:rPr>
            </w:pPr>
            <w:r>
              <w:rPr>
                <w:rFonts w:hint="eastAsia" w:ascii="Times New Roman" w:hAnsi="Times New Roman" w:eastAsia="宋体" w:cs="Times New Roman"/>
                <w:color w:val="auto"/>
                <w:kern w:val="0"/>
                <w:sz w:val="21"/>
                <w:szCs w:val="21"/>
                <w:highlight w:val="none"/>
                <w:lang w:eastAsia="zh-CN"/>
              </w:rPr>
              <w:t>固态、液态</w:t>
            </w:r>
          </w:p>
        </w:tc>
        <w:tc>
          <w:tcPr>
            <w:tcW w:w="723" w:type="dxa"/>
            <w:vMerge w:val="restart"/>
            <w:tcBorders>
              <w:tl2br w:val="nil"/>
              <w:tr2bl w:val="nil"/>
            </w:tcBorders>
            <w:noWrap w:val="0"/>
            <w:vAlign w:val="center"/>
          </w:tcPr>
          <w:p w14:paraId="280B1333">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eastAsia" w:ascii="Times New Roman" w:hAnsi="Times New Roman" w:eastAsia="宋体" w:cs="Times New Roman"/>
                <w:color w:val="auto"/>
                <w:kern w:val="0"/>
                <w:sz w:val="21"/>
                <w:szCs w:val="21"/>
                <w:highlight w:val="none"/>
                <w:lang w:eastAsia="zh-CN"/>
              </w:rPr>
            </w:pPr>
            <w:r>
              <w:rPr>
                <w:rFonts w:hint="eastAsia" w:ascii="Times New Roman" w:hAnsi="Times New Roman" w:eastAsia="宋体" w:cs="Times New Roman"/>
                <w:color w:val="auto"/>
                <w:kern w:val="0"/>
                <w:sz w:val="21"/>
                <w:szCs w:val="21"/>
                <w:highlight w:val="none"/>
                <w:lang w:eastAsia="zh-CN"/>
              </w:rPr>
              <w:t>医疗废物</w:t>
            </w:r>
          </w:p>
        </w:tc>
        <w:tc>
          <w:tcPr>
            <w:tcW w:w="777" w:type="dxa"/>
            <w:vMerge w:val="restart"/>
            <w:tcBorders>
              <w:tl2br w:val="nil"/>
              <w:tr2bl w:val="nil"/>
            </w:tcBorders>
            <w:noWrap w:val="0"/>
            <w:vAlign w:val="center"/>
          </w:tcPr>
          <w:p w14:paraId="73DA8FEC">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eastAsia" w:ascii="Times New Roman" w:hAnsi="Times New Roman" w:eastAsia="宋体" w:cs="Times New Roman"/>
                <w:color w:val="auto"/>
                <w:kern w:val="0"/>
                <w:sz w:val="21"/>
                <w:szCs w:val="21"/>
                <w:highlight w:val="none"/>
                <w:lang w:eastAsia="zh-CN"/>
              </w:rPr>
            </w:pPr>
            <w:r>
              <w:rPr>
                <w:rFonts w:hint="eastAsia" w:ascii="Times New Roman" w:hAnsi="Times New Roman" w:eastAsia="宋体" w:cs="Times New Roman"/>
                <w:color w:val="auto"/>
                <w:kern w:val="0"/>
                <w:sz w:val="21"/>
                <w:szCs w:val="21"/>
                <w:highlight w:val="none"/>
                <w:lang w:eastAsia="zh-CN"/>
              </w:rPr>
              <w:t>感染性成分</w:t>
            </w:r>
          </w:p>
        </w:tc>
        <w:tc>
          <w:tcPr>
            <w:tcW w:w="654" w:type="dxa"/>
            <w:vMerge w:val="restart"/>
            <w:tcBorders>
              <w:tl2br w:val="nil"/>
              <w:tr2bl w:val="nil"/>
            </w:tcBorders>
            <w:noWrap w:val="0"/>
            <w:vAlign w:val="center"/>
          </w:tcPr>
          <w:p w14:paraId="576A39A7">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eastAsia="zh-CN"/>
              </w:rPr>
              <w:t>间歇</w:t>
            </w:r>
          </w:p>
        </w:tc>
        <w:tc>
          <w:tcPr>
            <w:tcW w:w="655" w:type="dxa"/>
            <w:vMerge w:val="restart"/>
            <w:tcBorders>
              <w:tl2br w:val="nil"/>
              <w:tr2bl w:val="nil"/>
            </w:tcBorders>
            <w:noWrap w:val="0"/>
            <w:vAlign w:val="center"/>
          </w:tcPr>
          <w:p w14:paraId="7C347564">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val="en-US" w:eastAsia="zh-CN"/>
              </w:rPr>
              <w:t>In</w:t>
            </w:r>
          </w:p>
        </w:tc>
        <w:tc>
          <w:tcPr>
            <w:tcW w:w="886" w:type="dxa"/>
            <w:vMerge w:val="continue"/>
            <w:tcBorders>
              <w:tl2br w:val="nil"/>
              <w:tr2bl w:val="nil"/>
            </w:tcBorders>
            <w:noWrap w:val="0"/>
            <w:vAlign w:val="center"/>
          </w:tcPr>
          <w:p w14:paraId="5730FF74">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r>
      <w:tr w14:paraId="731B2C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425" w:type="dxa"/>
            <w:vMerge w:val="continue"/>
            <w:tcBorders>
              <w:tl2br w:val="nil"/>
              <w:tr2bl w:val="nil"/>
            </w:tcBorders>
            <w:noWrap w:val="0"/>
            <w:vAlign w:val="center"/>
          </w:tcPr>
          <w:p w14:paraId="4A744DD6">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lang w:val="en-US" w:eastAsia="zh-CN"/>
              </w:rPr>
            </w:pPr>
          </w:p>
        </w:tc>
        <w:tc>
          <w:tcPr>
            <w:tcW w:w="791" w:type="dxa"/>
            <w:vMerge w:val="continue"/>
            <w:tcBorders>
              <w:tl2br w:val="nil"/>
              <w:tr2bl w:val="nil"/>
            </w:tcBorders>
            <w:noWrap w:val="0"/>
            <w:vAlign w:val="center"/>
          </w:tcPr>
          <w:p w14:paraId="4E6D9DC2">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c>
          <w:tcPr>
            <w:tcW w:w="763" w:type="dxa"/>
            <w:vMerge w:val="continue"/>
            <w:tcBorders>
              <w:tl2br w:val="nil"/>
              <w:tr2bl w:val="nil"/>
            </w:tcBorders>
            <w:noWrap w:val="0"/>
            <w:vAlign w:val="center"/>
          </w:tcPr>
          <w:p w14:paraId="04672515">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c>
          <w:tcPr>
            <w:tcW w:w="901" w:type="dxa"/>
            <w:tcBorders>
              <w:tl2br w:val="nil"/>
              <w:tr2bl w:val="nil"/>
            </w:tcBorders>
            <w:noWrap w:val="0"/>
            <w:vAlign w:val="center"/>
          </w:tcPr>
          <w:p w14:paraId="0C3340E9">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831-002-01</w:t>
            </w:r>
          </w:p>
        </w:tc>
        <w:tc>
          <w:tcPr>
            <w:tcW w:w="968" w:type="dxa"/>
            <w:vMerge w:val="continue"/>
            <w:tcBorders>
              <w:tl2br w:val="nil"/>
              <w:tr2bl w:val="nil"/>
            </w:tcBorders>
            <w:noWrap w:val="0"/>
            <w:vAlign w:val="center"/>
          </w:tcPr>
          <w:p w14:paraId="36780634">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c>
          <w:tcPr>
            <w:tcW w:w="955" w:type="dxa"/>
            <w:vMerge w:val="continue"/>
            <w:tcBorders>
              <w:tl2br w:val="nil"/>
              <w:tr2bl w:val="nil"/>
            </w:tcBorders>
            <w:noWrap w:val="0"/>
            <w:vAlign w:val="center"/>
          </w:tcPr>
          <w:p w14:paraId="2A25D9FE">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c>
          <w:tcPr>
            <w:tcW w:w="722" w:type="dxa"/>
            <w:vMerge w:val="continue"/>
            <w:tcBorders>
              <w:tl2br w:val="nil"/>
              <w:tr2bl w:val="nil"/>
            </w:tcBorders>
            <w:noWrap w:val="0"/>
            <w:vAlign w:val="center"/>
          </w:tcPr>
          <w:p w14:paraId="74DF4A15">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c>
          <w:tcPr>
            <w:tcW w:w="723" w:type="dxa"/>
            <w:vMerge w:val="continue"/>
            <w:tcBorders>
              <w:tl2br w:val="nil"/>
              <w:tr2bl w:val="nil"/>
            </w:tcBorders>
            <w:noWrap w:val="0"/>
            <w:vAlign w:val="center"/>
          </w:tcPr>
          <w:p w14:paraId="1DE60B6D">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c>
          <w:tcPr>
            <w:tcW w:w="777" w:type="dxa"/>
            <w:vMerge w:val="continue"/>
            <w:tcBorders>
              <w:tl2br w:val="nil"/>
              <w:tr2bl w:val="nil"/>
            </w:tcBorders>
            <w:noWrap w:val="0"/>
            <w:vAlign w:val="center"/>
          </w:tcPr>
          <w:p w14:paraId="673388A1">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c>
          <w:tcPr>
            <w:tcW w:w="654" w:type="dxa"/>
            <w:vMerge w:val="continue"/>
            <w:tcBorders>
              <w:tl2br w:val="nil"/>
              <w:tr2bl w:val="nil"/>
            </w:tcBorders>
            <w:noWrap w:val="0"/>
            <w:vAlign w:val="center"/>
          </w:tcPr>
          <w:p w14:paraId="0CD68B4C">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c>
          <w:tcPr>
            <w:tcW w:w="655" w:type="dxa"/>
            <w:vMerge w:val="continue"/>
            <w:tcBorders>
              <w:tl2br w:val="nil"/>
              <w:tr2bl w:val="nil"/>
            </w:tcBorders>
            <w:noWrap w:val="0"/>
            <w:vAlign w:val="center"/>
          </w:tcPr>
          <w:p w14:paraId="1853FD35">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c>
          <w:tcPr>
            <w:tcW w:w="886" w:type="dxa"/>
            <w:vMerge w:val="continue"/>
            <w:tcBorders>
              <w:tl2br w:val="nil"/>
              <w:tr2bl w:val="nil"/>
            </w:tcBorders>
            <w:noWrap w:val="0"/>
            <w:vAlign w:val="center"/>
          </w:tcPr>
          <w:p w14:paraId="3E54BB2D">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r>
      <w:tr w14:paraId="153077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7" w:hRule="atLeast"/>
          <w:jc w:val="center"/>
        </w:trPr>
        <w:tc>
          <w:tcPr>
            <w:tcW w:w="425" w:type="dxa"/>
            <w:vMerge w:val="continue"/>
            <w:tcBorders>
              <w:tl2br w:val="nil"/>
              <w:tr2bl w:val="nil"/>
            </w:tcBorders>
            <w:noWrap w:val="0"/>
            <w:vAlign w:val="center"/>
          </w:tcPr>
          <w:p w14:paraId="200802A1">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lang w:val="en-US" w:eastAsia="zh-CN"/>
              </w:rPr>
            </w:pPr>
          </w:p>
        </w:tc>
        <w:tc>
          <w:tcPr>
            <w:tcW w:w="791" w:type="dxa"/>
            <w:vMerge w:val="continue"/>
            <w:tcBorders>
              <w:tl2br w:val="nil"/>
              <w:tr2bl w:val="nil"/>
            </w:tcBorders>
            <w:noWrap w:val="0"/>
            <w:vAlign w:val="center"/>
          </w:tcPr>
          <w:p w14:paraId="5D90863B">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c>
          <w:tcPr>
            <w:tcW w:w="763" w:type="dxa"/>
            <w:vMerge w:val="continue"/>
            <w:tcBorders>
              <w:tl2br w:val="nil"/>
              <w:tr2bl w:val="nil"/>
            </w:tcBorders>
            <w:noWrap w:val="0"/>
            <w:vAlign w:val="center"/>
          </w:tcPr>
          <w:p w14:paraId="0A1C9DFA">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c>
          <w:tcPr>
            <w:tcW w:w="901" w:type="dxa"/>
            <w:tcBorders>
              <w:top w:val="single" w:color="000000" w:sz="4" w:space="0"/>
              <w:tl2br w:val="nil"/>
              <w:tr2bl w:val="nil"/>
            </w:tcBorders>
            <w:noWrap w:val="0"/>
            <w:vAlign w:val="center"/>
          </w:tcPr>
          <w:p w14:paraId="76669306">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831-004-01</w:t>
            </w:r>
          </w:p>
        </w:tc>
        <w:tc>
          <w:tcPr>
            <w:tcW w:w="968" w:type="dxa"/>
            <w:vMerge w:val="continue"/>
            <w:tcBorders>
              <w:tl2br w:val="nil"/>
              <w:tr2bl w:val="nil"/>
            </w:tcBorders>
            <w:noWrap w:val="0"/>
            <w:vAlign w:val="center"/>
          </w:tcPr>
          <w:p w14:paraId="00DBFFF3">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c>
          <w:tcPr>
            <w:tcW w:w="955" w:type="dxa"/>
            <w:vMerge w:val="continue"/>
            <w:tcBorders>
              <w:tl2br w:val="nil"/>
              <w:tr2bl w:val="nil"/>
            </w:tcBorders>
            <w:noWrap w:val="0"/>
            <w:vAlign w:val="center"/>
          </w:tcPr>
          <w:p w14:paraId="66512B68">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c>
          <w:tcPr>
            <w:tcW w:w="722" w:type="dxa"/>
            <w:vMerge w:val="continue"/>
            <w:tcBorders>
              <w:tl2br w:val="nil"/>
              <w:tr2bl w:val="nil"/>
            </w:tcBorders>
            <w:noWrap w:val="0"/>
            <w:vAlign w:val="center"/>
          </w:tcPr>
          <w:p w14:paraId="27A7490F">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c>
          <w:tcPr>
            <w:tcW w:w="723" w:type="dxa"/>
            <w:vMerge w:val="continue"/>
            <w:tcBorders>
              <w:tl2br w:val="nil"/>
              <w:tr2bl w:val="nil"/>
            </w:tcBorders>
            <w:noWrap w:val="0"/>
            <w:vAlign w:val="center"/>
          </w:tcPr>
          <w:p w14:paraId="190F4DBB">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c>
          <w:tcPr>
            <w:tcW w:w="777" w:type="dxa"/>
            <w:tcBorders>
              <w:top w:val="single" w:color="000000" w:sz="4" w:space="0"/>
              <w:tl2br w:val="nil"/>
              <w:tr2bl w:val="nil"/>
            </w:tcBorders>
            <w:noWrap w:val="0"/>
            <w:vAlign w:val="center"/>
          </w:tcPr>
          <w:p w14:paraId="21273018">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eastAsia="zh-CN"/>
              </w:rPr>
              <w:t>毒性成分</w:t>
            </w:r>
          </w:p>
        </w:tc>
        <w:tc>
          <w:tcPr>
            <w:tcW w:w="654" w:type="dxa"/>
            <w:vMerge w:val="continue"/>
            <w:tcBorders>
              <w:tl2br w:val="nil"/>
              <w:tr2bl w:val="nil"/>
            </w:tcBorders>
            <w:noWrap w:val="0"/>
            <w:vAlign w:val="center"/>
          </w:tcPr>
          <w:p w14:paraId="47DACD85">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c>
          <w:tcPr>
            <w:tcW w:w="655" w:type="dxa"/>
            <w:tcBorders>
              <w:top w:val="single" w:color="000000" w:sz="4" w:space="0"/>
              <w:tl2br w:val="nil"/>
              <w:tr2bl w:val="nil"/>
            </w:tcBorders>
            <w:noWrap w:val="0"/>
            <w:vAlign w:val="center"/>
          </w:tcPr>
          <w:p w14:paraId="22A7B06E">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val="en-US" w:eastAsia="zh-CN"/>
              </w:rPr>
              <w:t>T</w:t>
            </w:r>
          </w:p>
        </w:tc>
        <w:tc>
          <w:tcPr>
            <w:tcW w:w="886" w:type="dxa"/>
            <w:vMerge w:val="continue"/>
            <w:tcBorders>
              <w:tl2br w:val="nil"/>
              <w:tr2bl w:val="nil"/>
            </w:tcBorders>
            <w:noWrap w:val="0"/>
            <w:vAlign w:val="center"/>
          </w:tcPr>
          <w:p w14:paraId="701A879C">
            <w:pPr>
              <w:keepNext w:val="0"/>
              <w:keepLines w:val="0"/>
              <w:pageBreakBefore w:val="0"/>
              <w:widowControl w:val="0"/>
              <w:kinsoku/>
              <w:wordWrap/>
              <w:overflowPunct/>
              <w:topLinePunct/>
              <w:autoSpaceDE/>
              <w:autoSpaceDN/>
              <w:bidi w:val="0"/>
              <w:adjustRightInd w:val="0"/>
              <w:snapToGrid w:val="0"/>
              <w:jc w:val="center"/>
              <w:textAlignment w:val="auto"/>
              <w:outlineLvl w:val="9"/>
              <w:rPr>
                <w:rFonts w:hint="default" w:ascii="Times New Roman" w:hAnsi="Times New Roman" w:eastAsia="宋体" w:cs="Times New Roman"/>
                <w:color w:val="auto"/>
                <w:kern w:val="0"/>
                <w:sz w:val="21"/>
                <w:szCs w:val="21"/>
                <w:highlight w:val="none"/>
              </w:rPr>
            </w:pPr>
          </w:p>
        </w:tc>
      </w:tr>
    </w:tbl>
    <w:p w14:paraId="1392EBD4">
      <w:pPr>
        <w:spacing w:line="360" w:lineRule="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2.5电磁波及放射性辐射</w:t>
      </w:r>
    </w:p>
    <w:p w14:paraId="6975C32C">
      <w:pPr>
        <w:adjustRightInd w:val="0"/>
        <w:snapToGrid w:val="0"/>
        <w:spacing w:line="360" w:lineRule="auto"/>
        <w:rPr>
          <w:rFonts w:hint="default" w:ascii="Times New Roman" w:hAnsi="Times New Roman" w:cs="Times New Roman"/>
          <w:color w:val="auto"/>
          <w:sz w:val="24"/>
          <w:szCs w:val="24"/>
          <w:highlight w:val="none"/>
        </w:rPr>
      </w:pPr>
      <w:r>
        <w:rPr>
          <w:rFonts w:hint="eastAsia" w:ascii="宋体" w:hAnsi="宋体"/>
          <w:color w:val="auto"/>
          <w:sz w:val="24"/>
          <w:highlight w:val="none"/>
          <w:lang w:val="en-US" w:eastAsia="zh-CN"/>
        </w:rPr>
        <w:t xml:space="preserve">    </w:t>
      </w:r>
      <w:r>
        <w:rPr>
          <w:rFonts w:hint="eastAsia" w:ascii="宋体" w:hAnsi="宋体" w:cs="宋体"/>
          <w:color w:val="auto"/>
          <w:sz w:val="24"/>
          <w:szCs w:val="24"/>
          <w:highlight w:val="none"/>
          <w:lang w:eastAsia="zh-CN"/>
        </w:rPr>
        <w:t>本项目不设置</w:t>
      </w:r>
      <w:r>
        <w:rPr>
          <w:rFonts w:ascii="Times New Roman" w:eastAsia="宋体"/>
          <w:color w:val="auto"/>
          <w:sz w:val="24"/>
          <w:szCs w:val="24"/>
          <w:highlight w:val="none"/>
          <w:lang w:eastAsia="zh-CN"/>
        </w:rPr>
        <w:t>CT、DR</w:t>
      </w:r>
      <w:r>
        <w:rPr>
          <w:rFonts w:hint="eastAsia" w:ascii="Times New Roman" w:eastAsia="宋体"/>
          <w:color w:val="auto"/>
          <w:sz w:val="24"/>
          <w:szCs w:val="24"/>
          <w:highlight w:val="none"/>
          <w:lang w:eastAsia="zh-CN"/>
        </w:rPr>
        <w:t>室</w:t>
      </w:r>
      <w:r>
        <w:rPr>
          <w:rFonts w:hint="eastAsia" w:ascii="宋体" w:hAnsi="宋体"/>
          <w:color w:val="auto"/>
          <w:sz w:val="24"/>
          <w:szCs w:val="24"/>
          <w:highlight w:val="none"/>
        </w:rPr>
        <w:t>，</w:t>
      </w:r>
      <w:r>
        <w:rPr>
          <w:rFonts w:hint="eastAsia" w:ascii="宋体" w:hAnsi="宋体"/>
          <w:color w:val="auto"/>
          <w:sz w:val="24"/>
          <w:szCs w:val="24"/>
          <w:highlight w:val="none"/>
          <w:lang w:eastAsia="zh-CN"/>
        </w:rPr>
        <w:t>无</w:t>
      </w:r>
      <w:r>
        <w:rPr>
          <w:rFonts w:hint="eastAsia" w:ascii="宋体" w:hAnsi="宋体"/>
          <w:color w:val="auto"/>
          <w:sz w:val="24"/>
          <w:highlight w:val="none"/>
        </w:rPr>
        <w:t>电磁波</w:t>
      </w:r>
      <w:r>
        <w:rPr>
          <w:rFonts w:hint="eastAsia" w:ascii="宋体" w:hAnsi="宋体"/>
          <w:color w:val="auto"/>
          <w:sz w:val="24"/>
          <w:highlight w:val="none"/>
          <w:lang w:eastAsia="zh-CN"/>
        </w:rPr>
        <w:t>及放射性</w:t>
      </w:r>
      <w:r>
        <w:rPr>
          <w:rFonts w:hint="eastAsia" w:ascii="宋体" w:hAnsi="宋体"/>
          <w:color w:val="auto"/>
          <w:sz w:val="24"/>
          <w:highlight w:val="none"/>
        </w:rPr>
        <w:t>辐射</w:t>
      </w:r>
      <w:r>
        <w:rPr>
          <w:rFonts w:hint="eastAsia" w:ascii="宋体"/>
          <w:color w:val="auto"/>
          <w:sz w:val="24"/>
          <w:highlight w:val="none"/>
          <w:lang w:eastAsia="zh-CN"/>
        </w:rPr>
        <w:t>影响</w:t>
      </w:r>
      <w:r>
        <w:rPr>
          <w:rFonts w:hint="eastAsia" w:ascii="宋体" w:hAnsi="宋体"/>
          <w:color w:val="auto"/>
          <w:sz w:val="24"/>
          <w:highlight w:val="none"/>
        </w:rPr>
        <w:t>。</w:t>
      </w:r>
    </w:p>
    <w:p w14:paraId="03870A59">
      <w:pPr>
        <w:spacing w:line="360" w:lineRule="auto"/>
        <w:ind w:firstLine="2760" w:firstLineChars="1150"/>
        <w:jc w:val="left"/>
        <w:rPr>
          <w:rFonts w:hint="default" w:ascii="Times New Roman" w:hAnsi="Times New Roman" w:cs="Times New Roman"/>
          <w:color w:val="auto"/>
          <w:sz w:val="24"/>
          <w:szCs w:val="24"/>
          <w:highlight w:val="none"/>
        </w:rPr>
        <w:sectPr>
          <w:pgSz w:w="11906" w:h="16838"/>
          <w:pgMar w:top="1418" w:right="1418" w:bottom="1559" w:left="1418" w:header="907" w:footer="907" w:gutter="0"/>
          <w:pgBorders w:display="notFirstPage">
            <w:top w:val="single" w:color="auto" w:sz="4" w:space="4"/>
            <w:left w:val="single" w:color="auto" w:sz="4" w:space="10"/>
            <w:bottom w:val="single" w:color="auto" w:sz="4" w:space="4"/>
            <w:right w:val="single" w:color="auto" w:sz="4" w:space="10"/>
          </w:pgBorders>
          <w:pgNumType w:fmt="decimal"/>
          <w:cols w:space="720" w:num="1"/>
          <w:docGrid w:type="lines" w:linePitch="312" w:charSpace="0"/>
        </w:sectPr>
      </w:pPr>
    </w:p>
    <w:p w14:paraId="3048173E">
      <w:pPr>
        <w:pStyle w:val="3"/>
        <w:numPr>
          <w:ilvl w:val="0"/>
          <w:numId w:val="0"/>
        </w:numPr>
        <w:adjustRightInd w:val="0"/>
        <w:snapToGrid w:val="0"/>
        <w:spacing w:before="0" w:after="0" w:line="240" w:lineRule="auto"/>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项目主要污染物产生及预计排放情况</w:t>
      </w:r>
    </w:p>
    <w:tbl>
      <w:tblPr>
        <w:tblStyle w:val="24"/>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410"/>
        <w:gridCol w:w="1616"/>
        <w:gridCol w:w="1687"/>
        <w:gridCol w:w="2450"/>
        <w:gridCol w:w="2428"/>
      </w:tblGrid>
      <w:tr w14:paraId="31E9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887" w:type="dxa"/>
            <w:tcBorders>
              <w:tl2br w:val="single" w:color="auto" w:sz="4" w:space="0"/>
            </w:tcBorders>
            <w:vAlign w:val="center"/>
          </w:tcPr>
          <w:p w14:paraId="6673BF89">
            <w:pPr>
              <w:jc w:val="right"/>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内</w:t>
            </w:r>
            <w:r>
              <w:rPr>
                <w:rFonts w:hint="eastAsia" w:cs="Times New Roman"/>
                <w:b/>
                <w:bCs/>
                <w:color w:val="auto"/>
                <w:sz w:val="24"/>
                <w:szCs w:val="24"/>
                <w:highlight w:val="none"/>
                <w:lang w:eastAsia="zh-CN"/>
              </w:rPr>
              <w:t>容</w:t>
            </w:r>
            <w:r>
              <w:rPr>
                <w:rFonts w:hint="default" w:ascii="Times New Roman" w:hAnsi="Times New Roman" w:cs="Times New Roman"/>
                <w:b/>
                <w:bCs/>
                <w:color w:val="auto"/>
                <w:sz w:val="24"/>
                <w:szCs w:val="24"/>
                <w:highlight w:val="none"/>
              </w:rPr>
              <w:t xml:space="preserve"> </w:t>
            </w:r>
          </w:p>
          <w:p w14:paraId="4383BADF">
            <w:pPr>
              <w:rPr>
                <w:rFonts w:hint="default" w:ascii="Times New Roman" w:hAnsi="Times New Roman" w:cs="Times New Roman"/>
                <w:b/>
                <w:bCs/>
                <w:color w:val="auto"/>
                <w:sz w:val="24"/>
                <w:szCs w:val="24"/>
                <w:highlight w:val="none"/>
              </w:rPr>
            </w:pPr>
          </w:p>
          <w:p w14:paraId="2054B1FF">
            <w:pP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类型</w:t>
            </w:r>
          </w:p>
        </w:tc>
        <w:tc>
          <w:tcPr>
            <w:tcW w:w="2026" w:type="dxa"/>
            <w:gridSpan w:val="2"/>
            <w:vAlign w:val="center"/>
          </w:tcPr>
          <w:p w14:paraId="503E235C">
            <w:pPr>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排放源</w:t>
            </w:r>
          </w:p>
          <w:p w14:paraId="7DE4A4FD">
            <w:pPr>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（编号）</w:t>
            </w:r>
          </w:p>
        </w:tc>
        <w:tc>
          <w:tcPr>
            <w:tcW w:w="1687" w:type="dxa"/>
            <w:vAlign w:val="center"/>
          </w:tcPr>
          <w:p w14:paraId="1F6EE799">
            <w:pPr>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污染物名称</w:t>
            </w:r>
          </w:p>
        </w:tc>
        <w:tc>
          <w:tcPr>
            <w:tcW w:w="2450" w:type="dxa"/>
            <w:vAlign w:val="center"/>
          </w:tcPr>
          <w:p w14:paraId="61666785">
            <w:pPr>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处理前产生浓度及产生量</w:t>
            </w:r>
          </w:p>
        </w:tc>
        <w:tc>
          <w:tcPr>
            <w:tcW w:w="2428" w:type="dxa"/>
            <w:vAlign w:val="center"/>
          </w:tcPr>
          <w:p w14:paraId="0C6471EB">
            <w:pPr>
              <w:jc w:val="center"/>
              <w:rPr>
                <w:rFonts w:hint="default" w:ascii="Times New Roman" w:hAnsi="Times New Roman" w:cs="Times New Roman"/>
                <w:b/>
                <w:bCs/>
                <w:color w:val="auto"/>
                <w:sz w:val="24"/>
                <w:szCs w:val="24"/>
                <w:highlight w:val="none"/>
              </w:rPr>
            </w:pPr>
            <w:r>
              <w:rPr>
                <w:rFonts w:hint="eastAsia" w:cs="Times New Roman"/>
                <w:b/>
                <w:bCs/>
                <w:color w:val="auto"/>
                <w:sz w:val="24"/>
                <w:szCs w:val="24"/>
                <w:highlight w:val="none"/>
                <w:lang w:eastAsia="zh-CN"/>
              </w:rPr>
              <w:t>处理后</w:t>
            </w:r>
            <w:r>
              <w:rPr>
                <w:rFonts w:hint="default" w:ascii="Times New Roman" w:hAnsi="Times New Roman" w:cs="Times New Roman"/>
                <w:b/>
                <w:bCs/>
                <w:color w:val="auto"/>
                <w:sz w:val="24"/>
                <w:szCs w:val="24"/>
                <w:highlight w:val="none"/>
              </w:rPr>
              <w:t>排放浓度及排放量</w:t>
            </w:r>
          </w:p>
        </w:tc>
      </w:tr>
      <w:tr w14:paraId="08EF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887" w:type="dxa"/>
            <w:vMerge w:val="restart"/>
            <w:vAlign w:val="center"/>
          </w:tcPr>
          <w:p w14:paraId="45DE6FAE">
            <w:pPr>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大</w:t>
            </w:r>
          </w:p>
          <w:p w14:paraId="08EBFD7D">
            <w:pPr>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气</w:t>
            </w:r>
          </w:p>
          <w:p w14:paraId="3EB239AF">
            <w:pPr>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污</w:t>
            </w:r>
          </w:p>
          <w:p w14:paraId="6B57538E">
            <w:pPr>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染</w:t>
            </w:r>
          </w:p>
          <w:p w14:paraId="2EB65CC6">
            <w:pPr>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物</w:t>
            </w:r>
          </w:p>
        </w:tc>
        <w:tc>
          <w:tcPr>
            <w:tcW w:w="410" w:type="dxa"/>
            <w:vMerge w:val="restart"/>
            <w:vAlign w:val="center"/>
          </w:tcPr>
          <w:p w14:paraId="303AC0D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施工期</w:t>
            </w:r>
          </w:p>
        </w:tc>
        <w:tc>
          <w:tcPr>
            <w:tcW w:w="1616" w:type="dxa"/>
            <w:vAlign w:val="center"/>
          </w:tcPr>
          <w:p w14:paraId="23AED96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施工</w:t>
            </w:r>
            <w:r>
              <w:rPr>
                <w:rFonts w:hint="eastAsia" w:cs="Times New Roman"/>
                <w:color w:val="auto"/>
                <w:sz w:val="24"/>
                <w:szCs w:val="24"/>
                <w:highlight w:val="none"/>
                <w:lang w:eastAsia="zh-CN"/>
              </w:rPr>
              <w:t>场地</w:t>
            </w:r>
          </w:p>
        </w:tc>
        <w:tc>
          <w:tcPr>
            <w:tcW w:w="1687" w:type="dxa"/>
            <w:vAlign w:val="center"/>
          </w:tcPr>
          <w:p w14:paraId="3678070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TSP</w:t>
            </w:r>
          </w:p>
        </w:tc>
        <w:tc>
          <w:tcPr>
            <w:tcW w:w="2450" w:type="dxa"/>
            <w:vAlign w:val="center"/>
          </w:tcPr>
          <w:p w14:paraId="6820F15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少量</w:t>
            </w:r>
          </w:p>
        </w:tc>
        <w:tc>
          <w:tcPr>
            <w:tcW w:w="2428" w:type="dxa"/>
            <w:vAlign w:val="center"/>
          </w:tcPr>
          <w:p w14:paraId="13C850F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lang w:val="de-DE"/>
              </w:rPr>
            </w:pPr>
            <w:r>
              <w:rPr>
                <w:rFonts w:hint="eastAsia" w:cs="Times New Roman"/>
                <w:color w:val="auto"/>
                <w:sz w:val="24"/>
                <w:szCs w:val="24"/>
                <w:highlight w:val="none"/>
                <w:lang w:val="en-US" w:eastAsia="zh-CN"/>
              </w:rPr>
              <w:t>少量</w:t>
            </w:r>
          </w:p>
        </w:tc>
      </w:tr>
      <w:tr w14:paraId="5C90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887" w:type="dxa"/>
            <w:vMerge w:val="continue"/>
            <w:vAlign w:val="center"/>
          </w:tcPr>
          <w:p w14:paraId="1E86F37B">
            <w:pPr>
              <w:jc w:val="center"/>
              <w:rPr>
                <w:rFonts w:hint="default" w:ascii="Times New Roman" w:hAnsi="Times New Roman" w:cs="Times New Roman"/>
                <w:color w:val="auto"/>
                <w:sz w:val="24"/>
                <w:szCs w:val="24"/>
                <w:highlight w:val="none"/>
              </w:rPr>
            </w:pPr>
          </w:p>
        </w:tc>
        <w:tc>
          <w:tcPr>
            <w:tcW w:w="410" w:type="dxa"/>
            <w:vMerge w:val="continue"/>
            <w:vAlign w:val="center"/>
          </w:tcPr>
          <w:p w14:paraId="4EC0EAB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p>
        </w:tc>
        <w:tc>
          <w:tcPr>
            <w:tcW w:w="1616" w:type="dxa"/>
            <w:vMerge w:val="restart"/>
            <w:vAlign w:val="center"/>
          </w:tcPr>
          <w:p w14:paraId="7B05CEB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施工车辆</w:t>
            </w:r>
          </w:p>
        </w:tc>
        <w:tc>
          <w:tcPr>
            <w:tcW w:w="1687" w:type="dxa"/>
            <w:vMerge w:val="restart"/>
            <w:vAlign w:val="center"/>
          </w:tcPr>
          <w:p w14:paraId="7F9D980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汽车</w:t>
            </w:r>
            <w:r>
              <w:rPr>
                <w:rFonts w:hint="default" w:ascii="Times New Roman" w:hAnsi="Times New Roman" w:cs="Times New Roman"/>
                <w:color w:val="auto"/>
                <w:sz w:val="24"/>
                <w:szCs w:val="24"/>
                <w:highlight w:val="none"/>
              </w:rPr>
              <w:t>尾气</w:t>
            </w:r>
          </w:p>
        </w:tc>
        <w:tc>
          <w:tcPr>
            <w:tcW w:w="2450" w:type="dxa"/>
            <w:vAlign w:val="center"/>
          </w:tcPr>
          <w:p w14:paraId="683F88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NO</w:t>
            </w:r>
            <w:r>
              <w:rPr>
                <w:rFonts w:hint="default" w:ascii="Times New Roman" w:hAnsi="Times New Roman" w:cs="Times New Roman"/>
                <w:color w:val="auto"/>
                <w:sz w:val="24"/>
                <w:szCs w:val="24"/>
                <w:highlight w:val="none"/>
                <w:vertAlign w:val="subscript"/>
              </w:rPr>
              <w:t>X</w:t>
            </w:r>
            <w:r>
              <w:rPr>
                <w:rFonts w:hint="default" w:ascii="Times New Roman" w:hAnsi="Times New Roman" w:cs="Times New Roman"/>
                <w:color w:val="auto"/>
                <w:sz w:val="24"/>
                <w:szCs w:val="24"/>
                <w:highlight w:val="none"/>
              </w:rPr>
              <w:t>：5.40g/km·辆</w:t>
            </w:r>
          </w:p>
        </w:tc>
        <w:tc>
          <w:tcPr>
            <w:tcW w:w="2428" w:type="dxa"/>
            <w:vAlign w:val="center"/>
          </w:tcPr>
          <w:p w14:paraId="5B0686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sz w:val="24"/>
                <w:szCs w:val="24"/>
                <w:highlight w:val="none"/>
                <w:lang w:val="de-DE"/>
              </w:rPr>
            </w:pPr>
            <w:r>
              <w:rPr>
                <w:rFonts w:hint="default" w:ascii="Times New Roman" w:hAnsi="Times New Roman" w:cs="Times New Roman"/>
                <w:color w:val="auto"/>
                <w:sz w:val="24"/>
                <w:szCs w:val="24"/>
                <w:highlight w:val="none"/>
              </w:rPr>
              <w:t>NO</w:t>
            </w:r>
            <w:r>
              <w:rPr>
                <w:rFonts w:hint="default" w:ascii="Times New Roman" w:hAnsi="Times New Roman" w:cs="Times New Roman"/>
                <w:color w:val="auto"/>
                <w:sz w:val="24"/>
                <w:szCs w:val="24"/>
                <w:highlight w:val="none"/>
                <w:vertAlign w:val="subscript"/>
              </w:rPr>
              <w:t>X</w:t>
            </w:r>
            <w:r>
              <w:rPr>
                <w:rFonts w:hint="default" w:ascii="Times New Roman" w:hAnsi="Times New Roman" w:cs="Times New Roman"/>
                <w:color w:val="auto"/>
                <w:sz w:val="24"/>
                <w:szCs w:val="24"/>
                <w:highlight w:val="none"/>
              </w:rPr>
              <w:t>：＜0.1</w:t>
            </w:r>
            <w:r>
              <w:rPr>
                <w:rFonts w:hint="eastAsia" w:cs="Times New Roman"/>
                <w:color w:val="auto"/>
                <w:sz w:val="24"/>
                <w:szCs w:val="24"/>
                <w:highlight w:val="none"/>
                <w:lang w:val="en-US" w:eastAsia="zh-CN"/>
              </w:rPr>
              <w:t>8</w:t>
            </w:r>
            <w:r>
              <w:rPr>
                <w:rFonts w:hint="default" w:ascii="Times New Roman" w:hAnsi="Times New Roman" w:cs="Times New Roman"/>
                <w:color w:val="auto"/>
                <w:sz w:val="24"/>
                <w:szCs w:val="24"/>
                <w:highlight w:val="none"/>
              </w:rPr>
              <w:t>mg/m</w:t>
            </w:r>
            <w:r>
              <w:rPr>
                <w:rFonts w:hint="default" w:ascii="Times New Roman" w:hAnsi="Times New Roman" w:cs="Times New Roman"/>
                <w:color w:val="auto"/>
                <w:sz w:val="24"/>
                <w:szCs w:val="24"/>
                <w:highlight w:val="none"/>
                <w:vertAlign w:val="superscript"/>
              </w:rPr>
              <w:t>3</w:t>
            </w:r>
          </w:p>
        </w:tc>
      </w:tr>
      <w:tr w14:paraId="0A10C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887" w:type="dxa"/>
            <w:vMerge w:val="continue"/>
            <w:vAlign w:val="center"/>
          </w:tcPr>
          <w:p w14:paraId="56999271">
            <w:pPr>
              <w:jc w:val="center"/>
              <w:rPr>
                <w:rFonts w:hint="default" w:ascii="Times New Roman" w:hAnsi="Times New Roman" w:cs="Times New Roman"/>
                <w:color w:val="auto"/>
                <w:sz w:val="24"/>
                <w:szCs w:val="24"/>
                <w:highlight w:val="none"/>
              </w:rPr>
            </w:pPr>
          </w:p>
        </w:tc>
        <w:tc>
          <w:tcPr>
            <w:tcW w:w="410" w:type="dxa"/>
            <w:vMerge w:val="continue"/>
            <w:vAlign w:val="center"/>
          </w:tcPr>
          <w:p w14:paraId="066FAA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p>
        </w:tc>
        <w:tc>
          <w:tcPr>
            <w:tcW w:w="1616" w:type="dxa"/>
            <w:vMerge w:val="continue"/>
            <w:vAlign w:val="center"/>
          </w:tcPr>
          <w:p w14:paraId="1BBFDC0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s="Times New Roman"/>
                <w:color w:val="auto"/>
                <w:sz w:val="24"/>
                <w:szCs w:val="24"/>
                <w:highlight w:val="none"/>
                <w:lang w:eastAsia="zh-CN"/>
              </w:rPr>
            </w:pPr>
          </w:p>
        </w:tc>
        <w:tc>
          <w:tcPr>
            <w:tcW w:w="1687" w:type="dxa"/>
            <w:vMerge w:val="continue"/>
            <w:vAlign w:val="center"/>
          </w:tcPr>
          <w:p w14:paraId="5D135D5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auto"/>
                <w:kern w:val="2"/>
                <w:sz w:val="24"/>
                <w:szCs w:val="24"/>
                <w:highlight w:val="none"/>
                <w:lang w:val="en-US" w:eastAsia="zh-CN" w:bidi="ar-SA"/>
              </w:rPr>
            </w:pPr>
          </w:p>
        </w:tc>
        <w:tc>
          <w:tcPr>
            <w:tcW w:w="2450" w:type="dxa"/>
            <w:vAlign w:val="center"/>
          </w:tcPr>
          <w:p w14:paraId="6CFCD7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CO：30.18g/km·辆</w:t>
            </w:r>
          </w:p>
        </w:tc>
        <w:tc>
          <w:tcPr>
            <w:tcW w:w="2428" w:type="dxa"/>
            <w:vAlign w:val="center"/>
          </w:tcPr>
          <w:p w14:paraId="3D953C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cs="Times New Roman"/>
                <w:color w:val="auto"/>
                <w:sz w:val="24"/>
                <w:szCs w:val="24"/>
                <w:highlight w:val="none"/>
                <w:lang w:val="de-DE"/>
              </w:rPr>
            </w:pPr>
            <w:r>
              <w:rPr>
                <w:rFonts w:hint="default" w:ascii="Times New Roman" w:hAnsi="Times New Roman" w:cs="Times New Roman"/>
                <w:color w:val="auto"/>
                <w:sz w:val="24"/>
                <w:szCs w:val="24"/>
                <w:highlight w:val="none"/>
              </w:rPr>
              <w:t>CO：＜0.2mg/m</w:t>
            </w:r>
            <w:r>
              <w:rPr>
                <w:rFonts w:hint="default" w:ascii="Times New Roman" w:hAnsi="Times New Roman" w:cs="Times New Roman"/>
                <w:color w:val="auto"/>
                <w:sz w:val="24"/>
                <w:szCs w:val="24"/>
                <w:highlight w:val="none"/>
                <w:vertAlign w:val="superscript"/>
              </w:rPr>
              <w:t>3</w:t>
            </w:r>
          </w:p>
        </w:tc>
      </w:tr>
      <w:tr w14:paraId="28AE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887" w:type="dxa"/>
            <w:vMerge w:val="continue"/>
            <w:vAlign w:val="center"/>
          </w:tcPr>
          <w:p w14:paraId="7336EFDD">
            <w:pPr>
              <w:jc w:val="center"/>
              <w:rPr>
                <w:rFonts w:hint="default" w:ascii="Times New Roman" w:hAnsi="Times New Roman" w:cs="Times New Roman"/>
                <w:color w:val="auto"/>
                <w:sz w:val="24"/>
                <w:szCs w:val="24"/>
                <w:highlight w:val="none"/>
              </w:rPr>
            </w:pPr>
          </w:p>
        </w:tc>
        <w:tc>
          <w:tcPr>
            <w:tcW w:w="410" w:type="dxa"/>
            <w:vMerge w:val="continue"/>
            <w:vAlign w:val="center"/>
          </w:tcPr>
          <w:p w14:paraId="2975E6C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p>
        </w:tc>
        <w:tc>
          <w:tcPr>
            <w:tcW w:w="1616" w:type="dxa"/>
            <w:vAlign w:val="center"/>
          </w:tcPr>
          <w:p w14:paraId="1A8E711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s="Times New Roman"/>
                <w:color w:val="auto"/>
                <w:sz w:val="24"/>
                <w:szCs w:val="24"/>
                <w:highlight w:val="none"/>
                <w:lang w:eastAsia="zh-CN"/>
              </w:rPr>
            </w:pPr>
            <w:r>
              <w:rPr>
                <w:rFonts w:hint="eastAsia" w:cs="Times New Roman"/>
                <w:color w:val="auto"/>
                <w:sz w:val="24"/>
                <w:szCs w:val="24"/>
                <w:highlight w:val="none"/>
                <w:lang w:eastAsia="zh-CN"/>
              </w:rPr>
              <w:t>装修</w:t>
            </w:r>
          </w:p>
        </w:tc>
        <w:tc>
          <w:tcPr>
            <w:tcW w:w="1687" w:type="dxa"/>
            <w:vAlign w:val="center"/>
          </w:tcPr>
          <w:p w14:paraId="4814DB4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auto"/>
                <w:kern w:val="2"/>
                <w:sz w:val="24"/>
                <w:szCs w:val="24"/>
                <w:highlight w:val="none"/>
                <w:lang w:val="en-US" w:eastAsia="zh-CN" w:bidi="ar-SA"/>
              </w:rPr>
            </w:pPr>
            <w:r>
              <w:rPr>
                <w:rFonts w:hint="eastAsia"/>
                <w:color w:val="auto"/>
                <w:sz w:val="24"/>
                <w:szCs w:val="24"/>
                <w:highlight w:val="none"/>
                <w:lang w:eastAsia="zh-CN"/>
              </w:rPr>
              <w:t>有机废气</w:t>
            </w:r>
          </w:p>
        </w:tc>
        <w:tc>
          <w:tcPr>
            <w:tcW w:w="2450" w:type="dxa"/>
            <w:vAlign w:val="center"/>
          </w:tcPr>
          <w:p w14:paraId="1007D52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少量</w:t>
            </w:r>
          </w:p>
        </w:tc>
        <w:tc>
          <w:tcPr>
            <w:tcW w:w="2428" w:type="dxa"/>
            <w:vAlign w:val="center"/>
          </w:tcPr>
          <w:p w14:paraId="11C2A27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少量</w:t>
            </w:r>
          </w:p>
        </w:tc>
      </w:tr>
      <w:tr w14:paraId="4072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87" w:type="dxa"/>
            <w:vMerge w:val="continue"/>
            <w:vAlign w:val="center"/>
          </w:tcPr>
          <w:p w14:paraId="6589D2A6">
            <w:pPr>
              <w:jc w:val="center"/>
              <w:rPr>
                <w:rFonts w:hint="default" w:ascii="Times New Roman" w:hAnsi="Times New Roman" w:cs="Times New Roman"/>
                <w:color w:val="auto"/>
                <w:sz w:val="24"/>
                <w:szCs w:val="24"/>
                <w:highlight w:val="none"/>
              </w:rPr>
            </w:pPr>
          </w:p>
        </w:tc>
        <w:tc>
          <w:tcPr>
            <w:tcW w:w="410" w:type="dxa"/>
            <w:vMerge w:val="restart"/>
            <w:vAlign w:val="center"/>
          </w:tcPr>
          <w:p w14:paraId="4CCFD54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eastAsia="zh-CN"/>
              </w:rPr>
              <w:t>运营期</w:t>
            </w:r>
          </w:p>
        </w:tc>
        <w:tc>
          <w:tcPr>
            <w:tcW w:w="1616" w:type="dxa"/>
            <w:vMerge w:val="restart"/>
            <w:vAlign w:val="center"/>
          </w:tcPr>
          <w:p w14:paraId="73A6FFA9">
            <w:pPr>
              <w:jc w:val="center"/>
              <w:rPr>
                <w:rFonts w:hint="default" w:ascii="Times New Roman" w:hAnsi="Times New Roman" w:cs="Times New Roman"/>
                <w:color w:val="auto"/>
                <w:sz w:val="24"/>
                <w:szCs w:val="24"/>
                <w:highlight w:val="none"/>
              </w:rPr>
            </w:pPr>
            <w:r>
              <w:rPr>
                <w:rFonts w:hint="eastAsia"/>
                <w:color w:val="auto"/>
                <w:sz w:val="24"/>
                <w:szCs w:val="24"/>
                <w:highlight w:val="none"/>
                <w:lang w:eastAsia="zh-CN"/>
              </w:rPr>
              <w:t>污水处理站</w:t>
            </w:r>
          </w:p>
        </w:tc>
        <w:tc>
          <w:tcPr>
            <w:tcW w:w="1687" w:type="dxa"/>
            <w:vAlign w:val="center"/>
          </w:tcPr>
          <w:p w14:paraId="06F50AD5">
            <w:pPr>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i w:val="0"/>
                <w:caps w:val="0"/>
                <w:color w:val="auto"/>
                <w:spacing w:val="0"/>
                <w:sz w:val="24"/>
                <w:szCs w:val="24"/>
                <w:highlight w:val="none"/>
                <w:shd w:val="clear" w:fill="FFFFFF"/>
                <w:lang w:val="en-US" w:eastAsia="zh-CN"/>
              </w:rPr>
              <w:t>NH</w:t>
            </w:r>
            <w:r>
              <w:rPr>
                <w:rFonts w:hint="default" w:ascii="Times New Roman" w:hAnsi="Times New Roman" w:cs="Times New Roman"/>
                <w:i w:val="0"/>
                <w:caps w:val="0"/>
                <w:color w:val="auto"/>
                <w:spacing w:val="0"/>
                <w:sz w:val="24"/>
                <w:szCs w:val="24"/>
                <w:highlight w:val="none"/>
                <w:shd w:val="clear" w:fill="FFFFFF"/>
                <w:vertAlign w:val="subscript"/>
                <w:lang w:val="en-US" w:eastAsia="zh-CN"/>
              </w:rPr>
              <w:t>3</w:t>
            </w:r>
          </w:p>
        </w:tc>
        <w:tc>
          <w:tcPr>
            <w:tcW w:w="2450" w:type="dxa"/>
            <w:vAlign w:val="center"/>
          </w:tcPr>
          <w:p w14:paraId="12C8276F">
            <w:pPr>
              <w:jc w:val="center"/>
              <w:rPr>
                <w:rFonts w:hint="default" w:ascii="Times New Roman" w:hAnsi="Times New Roman" w:cs="Times New Roman"/>
                <w:color w:val="auto"/>
                <w:sz w:val="24"/>
                <w:szCs w:val="24"/>
                <w:highlight w:val="none"/>
                <w:vertAlign w:val="baseline"/>
              </w:rPr>
            </w:pPr>
            <w:r>
              <w:rPr>
                <w:rFonts w:hint="eastAsia" w:cs="Times New Roman"/>
                <w:color w:val="auto"/>
                <w:sz w:val="24"/>
                <w:szCs w:val="24"/>
                <w:highlight w:val="none"/>
                <w:lang w:val="en-US" w:eastAsia="zh-CN"/>
              </w:rPr>
              <w:t>9.38</w:t>
            </w:r>
            <w:r>
              <w:rPr>
                <w:rFonts w:hint="default" w:ascii="Times New Roman" w:hAnsi="Times New Roman" w:cs="Times New Roman"/>
                <w:color w:val="auto"/>
                <w:sz w:val="24"/>
                <w:szCs w:val="24"/>
                <w:highlight w:val="none"/>
                <w:lang w:val="en-US" w:eastAsia="zh-CN"/>
              </w:rPr>
              <w:t>kg/a</w:t>
            </w:r>
          </w:p>
        </w:tc>
        <w:tc>
          <w:tcPr>
            <w:tcW w:w="2428" w:type="dxa"/>
            <w:vAlign w:val="center"/>
          </w:tcPr>
          <w:p w14:paraId="181CB972">
            <w:pPr>
              <w:jc w:val="center"/>
              <w:rPr>
                <w:rFonts w:hint="default" w:ascii="Times New Roman" w:hAnsi="Times New Roman" w:cs="Times New Roman"/>
                <w:color w:val="auto"/>
                <w:sz w:val="24"/>
                <w:szCs w:val="24"/>
                <w:highlight w:val="none"/>
                <w:lang w:val="de-DE"/>
              </w:rPr>
            </w:pPr>
            <w:r>
              <w:rPr>
                <w:rFonts w:hint="eastAsia" w:cs="Times New Roman"/>
                <w:color w:val="auto"/>
                <w:sz w:val="24"/>
                <w:szCs w:val="24"/>
                <w:highlight w:val="none"/>
                <w:lang w:val="en-US" w:eastAsia="zh-CN"/>
              </w:rPr>
              <w:t>9.38</w:t>
            </w:r>
            <w:r>
              <w:rPr>
                <w:rFonts w:hint="default" w:ascii="Times New Roman" w:hAnsi="Times New Roman" w:cs="Times New Roman"/>
                <w:color w:val="auto"/>
                <w:sz w:val="24"/>
                <w:szCs w:val="24"/>
                <w:highlight w:val="none"/>
                <w:lang w:val="en-US" w:eastAsia="zh-CN"/>
              </w:rPr>
              <w:t>kg/a</w:t>
            </w:r>
          </w:p>
        </w:tc>
      </w:tr>
      <w:tr w14:paraId="1413F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887" w:type="dxa"/>
            <w:vMerge w:val="continue"/>
            <w:vAlign w:val="center"/>
          </w:tcPr>
          <w:p w14:paraId="211148A7">
            <w:pPr>
              <w:jc w:val="center"/>
              <w:rPr>
                <w:rFonts w:hint="default" w:ascii="Times New Roman" w:hAnsi="Times New Roman" w:cs="Times New Roman"/>
                <w:color w:val="auto"/>
                <w:sz w:val="24"/>
                <w:szCs w:val="24"/>
                <w:highlight w:val="none"/>
              </w:rPr>
            </w:pPr>
          </w:p>
        </w:tc>
        <w:tc>
          <w:tcPr>
            <w:tcW w:w="410" w:type="dxa"/>
            <w:vMerge w:val="continue"/>
            <w:vAlign w:val="center"/>
          </w:tcPr>
          <w:p w14:paraId="7BA8BD2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s="Times New Roman"/>
                <w:color w:val="auto"/>
                <w:sz w:val="24"/>
                <w:szCs w:val="24"/>
                <w:highlight w:val="none"/>
                <w:lang w:eastAsia="zh-CN"/>
              </w:rPr>
            </w:pPr>
          </w:p>
        </w:tc>
        <w:tc>
          <w:tcPr>
            <w:tcW w:w="1616" w:type="dxa"/>
            <w:vMerge w:val="continue"/>
            <w:vAlign w:val="center"/>
          </w:tcPr>
          <w:p w14:paraId="04C85E14">
            <w:pPr>
              <w:jc w:val="center"/>
              <w:rPr>
                <w:rFonts w:hint="eastAsia"/>
                <w:color w:val="auto"/>
                <w:sz w:val="24"/>
                <w:szCs w:val="24"/>
                <w:highlight w:val="none"/>
                <w:lang w:eastAsia="zh-CN"/>
              </w:rPr>
            </w:pPr>
          </w:p>
        </w:tc>
        <w:tc>
          <w:tcPr>
            <w:tcW w:w="1687" w:type="dxa"/>
            <w:vAlign w:val="center"/>
          </w:tcPr>
          <w:p w14:paraId="2C7ED15D">
            <w:pPr>
              <w:jc w:val="center"/>
              <w:rPr>
                <w:rFonts w:hint="eastAsia" w:ascii="宋体" w:hAnsi="宋体" w:cs="宋体"/>
                <w:color w:val="auto"/>
                <w:sz w:val="24"/>
                <w:szCs w:val="24"/>
                <w:highlight w:val="none"/>
              </w:rPr>
            </w:pPr>
            <w:r>
              <w:rPr>
                <w:rFonts w:hint="default" w:ascii="Times New Roman" w:hAnsi="Times New Roman" w:cs="Times New Roman"/>
                <w:i w:val="0"/>
                <w:caps w:val="0"/>
                <w:color w:val="auto"/>
                <w:spacing w:val="0"/>
                <w:sz w:val="24"/>
                <w:szCs w:val="24"/>
                <w:highlight w:val="none"/>
                <w:shd w:val="clear" w:fill="FFFFFF"/>
                <w:lang w:val="en-US" w:eastAsia="zh-CN"/>
              </w:rPr>
              <w:t>H</w:t>
            </w:r>
            <w:r>
              <w:rPr>
                <w:rFonts w:hint="default" w:ascii="Times New Roman" w:hAnsi="Times New Roman" w:cs="Times New Roman"/>
                <w:i w:val="0"/>
                <w:caps w:val="0"/>
                <w:color w:val="auto"/>
                <w:spacing w:val="0"/>
                <w:sz w:val="24"/>
                <w:szCs w:val="24"/>
                <w:highlight w:val="none"/>
                <w:shd w:val="clear" w:fill="FFFFFF"/>
                <w:vertAlign w:val="subscript"/>
                <w:lang w:val="en-US" w:eastAsia="zh-CN"/>
              </w:rPr>
              <w:t>2</w:t>
            </w:r>
            <w:r>
              <w:rPr>
                <w:rFonts w:hint="default" w:ascii="Times New Roman" w:hAnsi="Times New Roman" w:cs="Times New Roman"/>
                <w:i w:val="0"/>
                <w:caps w:val="0"/>
                <w:color w:val="auto"/>
                <w:spacing w:val="0"/>
                <w:sz w:val="24"/>
                <w:szCs w:val="24"/>
                <w:highlight w:val="none"/>
                <w:shd w:val="clear" w:fill="FFFFFF"/>
                <w:lang w:val="en-US" w:eastAsia="zh-CN"/>
              </w:rPr>
              <w:t>S</w:t>
            </w:r>
          </w:p>
        </w:tc>
        <w:tc>
          <w:tcPr>
            <w:tcW w:w="2450" w:type="dxa"/>
            <w:vAlign w:val="center"/>
          </w:tcPr>
          <w:p w14:paraId="45232BA7">
            <w:pPr>
              <w:jc w:val="center"/>
              <w:rPr>
                <w:rFonts w:hint="eastAsia" w:ascii="宋体" w:hAnsi="宋体" w:cs="宋体"/>
                <w:color w:val="auto"/>
                <w:sz w:val="24"/>
                <w:szCs w:val="24"/>
                <w:highlight w:val="none"/>
                <w:vertAlign w:val="baseline"/>
              </w:rPr>
            </w:pPr>
            <w:r>
              <w:rPr>
                <w:rFonts w:hint="eastAsia" w:cs="Times New Roman"/>
                <w:color w:val="auto"/>
                <w:sz w:val="24"/>
                <w:szCs w:val="24"/>
                <w:highlight w:val="none"/>
                <w:lang w:val="en-US" w:eastAsia="zh-CN"/>
              </w:rPr>
              <w:t>0.33</w:t>
            </w:r>
            <w:r>
              <w:rPr>
                <w:rFonts w:hint="default" w:ascii="Times New Roman" w:hAnsi="Times New Roman" w:cs="Times New Roman"/>
                <w:color w:val="auto"/>
                <w:sz w:val="24"/>
                <w:szCs w:val="24"/>
                <w:highlight w:val="none"/>
                <w:lang w:val="en-US" w:eastAsia="zh-CN"/>
              </w:rPr>
              <w:t>kg/a</w:t>
            </w:r>
          </w:p>
        </w:tc>
        <w:tc>
          <w:tcPr>
            <w:tcW w:w="2428" w:type="dxa"/>
            <w:vAlign w:val="center"/>
          </w:tcPr>
          <w:p w14:paraId="7ADBEE21">
            <w:pPr>
              <w:jc w:val="center"/>
              <w:rPr>
                <w:rFonts w:hint="eastAsia" w:ascii="宋体" w:hAnsi="宋体" w:cs="宋体"/>
                <w:color w:val="auto"/>
                <w:sz w:val="24"/>
                <w:szCs w:val="24"/>
                <w:highlight w:val="none"/>
              </w:rPr>
            </w:pPr>
            <w:r>
              <w:rPr>
                <w:rFonts w:hint="eastAsia" w:cs="Times New Roman"/>
                <w:color w:val="auto"/>
                <w:sz w:val="24"/>
                <w:szCs w:val="24"/>
                <w:highlight w:val="none"/>
                <w:lang w:val="en-US" w:eastAsia="zh-CN"/>
              </w:rPr>
              <w:t>0.33</w:t>
            </w:r>
            <w:r>
              <w:rPr>
                <w:rFonts w:hint="default" w:ascii="Times New Roman" w:hAnsi="Times New Roman" w:cs="Times New Roman"/>
                <w:color w:val="auto"/>
                <w:sz w:val="24"/>
                <w:szCs w:val="24"/>
                <w:highlight w:val="none"/>
                <w:lang w:val="en-US" w:eastAsia="zh-CN"/>
              </w:rPr>
              <w:t>kg/a</w:t>
            </w:r>
          </w:p>
        </w:tc>
      </w:tr>
      <w:tr w14:paraId="4210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887" w:type="dxa"/>
            <w:vMerge w:val="continue"/>
            <w:vAlign w:val="center"/>
          </w:tcPr>
          <w:p w14:paraId="40070DC2">
            <w:pPr>
              <w:jc w:val="center"/>
              <w:rPr>
                <w:rFonts w:hint="default" w:ascii="Times New Roman" w:hAnsi="Times New Roman" w:cs="Times New Roman"/>
                <w:color w:val="auto"/>
                <w:sz w:val="24"/>
                <w:szCs w:val="24"/>
                <w:highlight w:val="none"/>
              </w:rPr>
            </w:pPr>
          </w:p>
        </w:tc>
        <w:tc>
          <w:tcPr>
            <w:tcW w:w="410" w:type="dxa"/>
            <w:vMerge w:val="continue"/>
            <w:vAlign w:val="center"/>
          </w:tcPr>
          <w:p w14:paraId="744D5D4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s="Times New Roman"/>
                <w:color w:val="auto"/>
                <w:sz w:val="24"/>
                <w:szCs w:val="24"/>
                <w:highlight w:val="none"/>
                <w:lang w:eastAsia="zh-CN"/>
              </w:rPr>
            </w:pPr>
          </w:p>
        </w:tc>
        <w:tc>
          <w:tcPr>
            <w:tcW w:w="1616" w:type="dxa"/>
            <w:vAlign w:val="center"/>
          </w:tcPr>
          <w:p w14:paraId="7295AA4E">
            <w:pPr>
              <w:jc w:val="center"/>
              <w:rPr>
                <w:rFonts w:hint="eastAsia"/>
                <w:color w:val="auto"/>
                <w:sz w:val="24"/>
                <w:szCs w:val="24"/>
                <w:highlight w:val="none"/>
                <w:lang w:eastAsia="zh-CN"/>
              </w:rPr>
            </w:pPr>
            <w:r>
              <w:rPr>
                <w:rFonts w:hint="eastAsia"/>
                <w:color w:val="auto"/>
                <w:sz w:val="24"/>
                <w:szCs w:val="24"/>
                <w:highlight w:val="none"/>
                <w:lang w:eastAsia="zh-CN"/>
              </w:rPr>
              <w:t>煎药、熏蒸室</w:t>
            </w:r>
          </w:p>
        </w:tc>
        <w:tc>
          <w:tcPr>
            <w:tcW w:w="1687" w:type="dxa"/>
            <w:vAlign w:val="center"/>
          </w:tcPr>
          <w:p w14:paraId="3437F568">
            <w:pPr>
              <w:jc w:val="center"/>
              <w:rPr>
                <w:rFonts w:hint="eastAsia"/>
                <w:color w:val="auto"/>
                <w:sz w:val="24"/>
                <w:szCs w:val="24"/>
                <w:highlight w:val="none"/>
                <w:lang w:val="en-US" w:eastAsia="zh-CN"/>
              </w:rPr>
            </w:pPr>
            <w:r>
              <w:rPr>
                <w:rFonts w:hint="eastAsia"/>
                <w:color w:val="auto"/>
                <w:sz w:val="24"/>
                <w:szCs w:val="24"/>
                <w:highlight w:val="none"/>
                <w:lang w:val="en-US" w:eastAsia="zh-CN"/>
              </w:rPr>
              <w:t>臭气浓度</w:t>
            </w:r>
          </w:p>
        </w:tc>
        <w:tc>
          <w:tcPr>
            <w:tcW w:w="2450" w:type="dxa"/>
            <w:vAlign w:val="center"/>
          </w:tcPr>
          <w:p w14:paraId="479D9A3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少量</w:t>
            </w:r>
          </w:p>
        </w:tc>
        <w:tc>
          <w:tcPr>
            <w:tcW w:w="2428" w:type="dxa"/>
            <w:vAlign w:val="center"/>
          </w:tcPr>
          <w:p w14:paraId="1359A1C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少量</w:t>
            </w:r>
          </w:p>
        </w:tc>
      </w:tr>
      <w:tr w14:paraId="37F6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887" w:type="dxa"/>
            <w:vMerge w:val="restart"/>
            <w:vAlign w:val="center"/>
          </w:tcPr>
          <w:p w14:paraId="5ADD1E81">
            <w:pPr>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水</w:t>
            </w:r>
          </w:p>
          <w:p w14:paraId="3FCF8027">
            <w:pPr>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污</w:t>
            </w:r>
          </w:p>
          <w:p w14:paraId="5F4645A3">
            <w:pPr>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染</w:t>
            </w:r>
          </w:p>
          <w:p w14:paraId="319C95E7">
            <w:pPr>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物</w:t>
            </w:r>
          </w:p>
        </w:tc>
        <w:tc>
          <w:tcPr>
            <w:tcW w:w="410" w:type="dxa"/>
            <w:vMerge w:val="restart"/>
            <w:vAlign w:val="center"/>
          </w:tcPr>
          <w:p w14:paraId="6A498125">
            <w:pPr>
              <w:pStyle w:val="12"/>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施工期</w:t>
            </w:r>
          </w:p>
        </w:tc>
        <w:tc>
          <w:tcPr>
            <w:tcW w:w="1616" w:type="dxa"/>
            <w:vMerge w:val="restart"/>
            <w:vAlign w:val="center"/>
          </w:tcPr>
          <w:p w14:paraId="4DC4E3E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eastAsia="zh-CN"/>
              </w:rPr>
              <w:t>施工人员</w:t>
            </w:r>
          </w:p>
        </w:tc>
        <w:tc>
          <w:tcPr>
            <w:tcW w:w="1687" w:type="dxa"/>
            <w:vAlign w:val="center"/>
          </w:tcPr>
          <w:p w14:paraId="5922312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COD</w:t>
            </w:r>
          </w:p>
        </w:tc>
        <w:tc>
          <w:tcPr>
            <w:tcW w:w="2450" w:type="dxa"/>
            <w:vAlign w:val="center"/>
          </w:tcPr>
          <w:p w14:paraId="4B0FAEB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300</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0.01</w:t>
            </w:r>
            <w:r>
              <w:rPr>
                <w:rFonts w:hint="default" w:ascii="Times New Roman" w:hAnsi="Times New Roman" w:cs="Times New Roman"/>
                <w:color w:val="auto"/>
                <w:sz w:val="24"/>
                <w:szCs w:val="24"/>
                <w:highlight w:val="none"/>
              </w:rPr>
              <w:t>t</w:t>
            </w:r>
          </w:p>
        </w:tc>
        <w:tc>
          <w:tcPr>
            <w:tcW w:w="2428" w:type="dxa"/>
            <w:vAlign w:val="center"/>
          </w:tcPr>
          <w:p w14:paraId="6546807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hAnsi="宋体"/>
                <w:color w:val="auto"/>
                <w:kern w:val="0"/>
                <w:sz w:val="24"/>
                <w:szCs w:val="24"/>
                <w:highlight w:val="none"/>
                <w:lang w:eastAsia="zh-CN"/>
              </w:rPr>
            </w:pPr>
            <w:r>
              <w:rPr>
                <w:rFonts w:hint="eastAsia" w:cs="Times New Roman"/>
                <w:color w:val="auto"/>
                <w:sz w:val="24"/>
                <w:szCs w:val="24"/>
                <w:highlight w:val="none"/>
                <w:lang w:val="en-US" w:eastAsia="zh-CN"/>
              </w:rPr>
              <w:t>255</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0.009</w:t>
            </w:r>
            <w:r>
              <w:rPr>
                <w:rFonts w:hint="default" w:ascii="Times New Roman" w:hAnsi="Times New Roman" w:cs="Times New Roman"/>
                <w:color w:val="auto"/>
                <w:sz w:val="24"/>
                <w:szCs w:val="24"/>
                <w:highlight w:val="none"/>
              </w:rPr>
              <w:t>t</w:t>
            </w:r>
          </w:p>
        </w:tc>
      </w:tr>
      <w:tr w14:paraId="35AE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887" w:type="dxa"/>
            <w:vMerge w:val="continue"/>
            <w:vAlign w:val="center"/>
          </w:tcPr>
          <w:p w14:paraId="376FE198">
            <w:pPr>
              <w:jc w:val="center"/>
              <w:rPr>
                <w:rFonts w:hint="default" w:ascii="Times New Roman" w:hAnsi="Times New Roman" w:cs="Times New Roman"/>
                <w:color w:val="auto"/>
                <w:sz w:val="24"/>
                <w:szCs w:val="24"/>
                <w:highlight w:val="none"/>
              </w:rPr>
            </w:pPr>
          </w:p>
        </w:tc>
        <w:tc>
          <w:tcPr>
            <w:tcW w:w="410" w:type="dxa"/>
            <w:vMerge w:val="continue"/>
            <w:vAlign w:val="center"/>
          </w:tcPr>
          <w:p w14:paraId="5A4F91EA">
            <w:pPr>
              <w:pStyle w:val="12"/>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p>
        </w:tc>
        <w:tc>
          <w:tcPr>
            <w:tcW w:w="1616" w:type="dxa"/>
            <w:vMerge w:val="continue"/>
            <w:vAlign w:val="center"/>
          </w:tcPr>
          <w:p w14:paraId="38B71C9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p>
        </w:tc>
        <w:tc>
          <w:tcPr>
            <w:tcW w:w="1687" w:type="dxa"/>
            <w:vAlign w:val="center"/>
          </w:tcPr>
          <w:p w14:paraId="25629CB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s="Times New Roman"/>
                <w:color w:val="auto"/>
                <w:sz w:val="24"/>
                <w:szCs w:val="24"/>
                <w:highlight w:val="none"/>
                <w:lang w:eastAsia="zh-CN"/>
              </w:rPr>
            </w:pPr>
            <w:r>
              <w:rPr>
                <w:rFonts w:hint="eastAsia" w:ascii="Times New Roman" w:hAnsi="宋体" w:cs="Times New Roman"/>
                <w:color w:val="auto"/>
                <w:sz w:val="24"/>
                <w:szCs w:val="24"/>
                <w:highlight w:val="none"/>
                <w:lang w:val="en-US" w:eastAsia="zh-CN"/>
              </w:rPr>
              <w:t>NH</w:t>
            </w:r>
            <w:r>
              <w:rPr>
                <w:rFonts w:hint="eastAsia" w:ascii="Times New Roman" w:hAnsi="宋体" w:cs="Times New Roman"/>
                <w:color w:val="auto"/>
                <w:sz w:val="24"/>
                <w:szCs w:val="24"/>
                <w:highlight w:val="none"/>
                <w:vertAlign w:val="subscript"/>
                <w:lang w:val="en-US" w:eastAsia="zh-CN"/>
              </w:rPr>
              <w:t>3</w:t>
            </w:r>
            <w:r>
              <w:rPr>
                <w:rFonts w:hint="eastAsia" w:ascii="Times New Roman" w:hAnsi="宋体" w:cs="Times New Roman"/>
                <w:color w:val="auto"/>
                <w:sz w:val="24"/>
                <w:szCs w:val="24"/>
                <w:highlight w:val="none"/>
                <w:lang w:val="en-US" w:eastAsia="zh-CN"/>
              </w:rPr>
              <w:t>-N</w:t>
            </w:r>
          </w:p>
        </w:tc>
        <w:tc>
          <w:tcPr>
            <w:tcW w:w="2450" w:type="dxa"/>
            <w:vAlign w:val="center"/>
          </w:tcPr>
          <w:p w14:paraId="17E635C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30</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0.001</w:t>
            </w:r>
            <w:r>
              <w:rPr>
                <w:rFonts w:hint="default" w:ascii="Times New Roman" w:hAnsi="Times New Roman" w:cs="Times New Roman"/>
                <w:color w:val="auto"/>
                <w:sz w:val="24"/>
                <w:szCs w:val="24"/>
                <w:highlight w:val="none"/>
              </w:rPr>
              <w:t>t</w:t>
            </w:r>
          </w:p>
        </w:tc>
        <w:tc>
          <w:tcPr>
            <w:tcW w:w="2428" w:type="dxa"/>
            <w:vAlign w:val="center"/>
          </w:tcPr>
          <w:p w14:paraId="5A065ED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hAnsi="宋体"/>
                <w:color w:val="auto"/>
                <w:kern w:val="0"/>
                <w:sz w:val="24"/>
                <w:szCs w:val="24"/>
                <w:highlight w:val="none"/>
                <w:lang w:eastAsia="zh-CN"/>
              </w:rPr>
            </w:pPr>
            <w:r>
              <w:rPr>
                <w:rFonts w:hint="eastAsia" w:cs="Times New Roman"/>
                <w:color w:val="auto"/>
                <w:sz w:val="24"/>
                <w:szCs w:val="24"/>
                <w:highlight w:val="none"/>
                <w:lang w:val="en-US" w:eastAsia="zh-CN"/>
              </w:rPr>
              <w:t>29.1</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hAnsi="宋体" w:cs="Times New Roman"/>
                <w:color w:val="auto"/>
                <w:sz w:val="24"/>
                <w:highlight w:val="none"/>
                <w:lang w:val="en-US" w:eastAsia="zh-CN"/>
              </w:rPr>
              <w:t xml:space="preserve"> 0.000995</w:t>
            </w:r>
            <w:r>
              <w:rPr>
                <w:rFonts w:hint="default" w:ascii="Times New Roman" w:hAnsi="Times New Roman" w:cs="Times New Roman"/>
                <w:color w:val="auto"/>
                <w:sz w:val="24"/>
                <w:szCs w:val="24"/>
                <w:highlight w:val="none"/>
              </w:rPr>
              <w:t>t</w:t>
            </w:r>
          </w:p>
        </w:tc>
      </w:tr>
      <w:tr w14:paraId="6611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887" w:type="dxa"/>
            <w:vMerge w:val="continue"/>
            <w:vAlign w:val="center"/>
          </w:tcPr>
          <w:p w14:paraId="06C0D661">
            <w:pPr>
              <w:jc w:val="center"/>
              <w:rPr>
                <w:rFonts w:hint="default" w:ascii="Times New Roman" w:hAnsi="Times New Roman" w:cs="Times New Roman"/>
                <w:color w:val="auto"/>
                <w:sz w:val="24"/>
                <w:szCs w:val="24"/>
                <w:highlight w:val="none"/>
              </w:rPr>
            </w:pPr>
          </w:p>
        </w:tc>
        <w:tc>
          <w:tcPr>
            <w:tcW w:w="410" w:type="dxa"/>
            <w:vMerge w:val="continue"/>
            <w:vAlign w:val="center"/>
          </w:tcPr>
          <w:p w14:paraId="55FFE399">
            <w:pPr>
              <w:pStyle w:val="12"/>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p>
        </w:tc>
        <w:tc>
          <w:tcPr>
            <w:tcW w:w="1616" w:type="dxa"/>
            <w:vMerge w:val="continue"/>
            <w:vAlign w:val="center"/>
          </w:tcPr>
          <w:p w14:paraId="01D751C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p>
        </w:tc>
        <w:tc>
          <w:tcPr>
            <w:tcW w:w="1687" w:type="dxa"/>
            <w:vAlign w:val="center"/>
          </w:tcPr>
          <w:p w14:paraId="00F9159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s="Times New Roman"/>
                <w:color w:val="auto"/>
                <w:sz w:val="24"/>
                <w:szCs w:val="24"/>
                <w:highlight w:val="none"/>
                <w:lang w:eastAsia="zh-CN"/>
              </w:rPr>
            </w:pPr>
            <w:r>
              <w:rPr>
                <w:rFonts w:hint="eastAsia" w:ascii="Times New Roman" w:hAnsi="宋体" w:cs="Times New Roman"/>
                <w:color w:val="auto"/>
                <w:sz w:val="24"/>
                <w:szCs w:val="24"/>
                <w:highlight w:val="none"/>
                <w:lang w:val="en-US" w:eastAsia="zh-CN"/>
              </w:rPr>
              <w:t>SS</w:t>
            </w:r>
          </w:p>
        </w:tc>
        <w:tc>
          <w:tcPr>
            <w:tcW w:w="2450" w:type="dxa"/>
            <w:vAlign w:val="center"/>
          </w:tcPr>
          <w:p w14:paraId="4788DA5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100</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0.0034</w:t>
            </w:r>
            <w:r>
              <w:rPr>
                <w:rFonts w:hint="default" w:ascii="Times New Roman" w:hAnsi="Times New Roman" w:cs="Times New Roman"/>
                <w:color w:val="auto"/>
                <w:sz w:val="24"/>
                <w:szCs w:val="24"/>
                <w:highlight w:val="none"/>
              </w:rPr>
              <w:t>t</w:t>
            </w:r>
          </w:p>
        </w:tc>
        <w:tc>
          <w:tcPr>
            <w:tcW w:w="2428" w:type="dxa"/>
            <w:vAlign w:val="center"/>
          </w:tcPr>
          <w:p w14:paraId="72C1ADD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hAnsi="宋体"/>
                <w:color w:val="auto"/>
                <w:kern w:val="0"/>
                <w:sz w:val="24"/>
                <w:szCs w:val="24"/>
                <w:highlight w:val="none"/>
                <w:lang w:eastAsia="zh-CN"/>
              </w:rPr>
            </w:pPr>
            <w:r>
              <w:rPr>
                <w:rFonts w:hint="eastAsia" w:cs="Times New Roman"/>
                <w:color w:val="auto"/>
                <w:sz w:val="24"/>
                <w:szCs w:val="24"/>
                <w:highlight w:val="none"/>
                <w:lang w:val="en-US" w:eastAsia="zh-CN"/>
              </w:rPr>
              <w:t>50</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hAnsi="宋体" w:cs="Times New Roman"/>
                <w:color w:val="auto"/>
                <w:sz w:val="24"/>
                <w:highlight w:val="none"/>
                <w:lang w:val="en-US" w:eastAsia="zh-CN"/>
              </w:rPr>
              <w:t>0.0017</w:t>
            </w:r>
            <w:r>
              <w:rPr>
                <w:rFonts w:hint="default" w:ascii="Times New Roman" w:hAnsi="Times New Roman" w:cs="Times New Roman"/>
                <w:color w:val="auto"/>
                <w:sz w:val="24"/>
                <w:szCs w:val="24"/>
                <w:highlight w:val="none"/>
              </w:rPr>
              <w:t>t</w:t>
            </w:r>
          </w:p>
        </w:tc>
      </w:tr>
      <w:tr w14:paraId="1660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87" w:type="dxa"/>
            <w:vMerge w:val="continue"/>
            <w:vAlign w:val="center"/>
          </w:tcPr>
          <w:p w14:paraId="15EF68CB">
            <w:pPr>
              <w:jc w:val="center"/>
              <w:rPr>
                <w:rFonts w:hint="default" w:ascii="Times New Roman" w:hAnsi="Times New Roman" w:cs="Times New Roman"/>
                <w:color w:val="auto"/>
                <w:sz w:val="24"/>
                <w:szCs w:val="24"/>
                <w:highlight w:val="none"/>
              </w:rPr>
            </w:pPr>
          </w:p>
        </w:tc>
        <w:tc>
          <w:tcPr>
            <w:tcW w:w="410" w:type="dxa"/>
            <w:vMerge w:val="restart"/>
            <w:vAlign w:val="center"/>
          </w:tcPr>
          <w:p w14:paraId="48FD2946">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运营期</w:t>
            </w:r>
          </w:p>
        </w:tc>
        <w:tc>
          <w:tcPr>
            <w:tcW w:w="1616" w:type="dxa"/>
            <w:vMerge w:val="restart"/>
            <w:vAlign w:val="center"/>
          </w:tcPr>
          <w:p w14:paraId="1C3E7819">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textAlignment w:val="auto"/>
              <w:rPr>
                <w:rFonts w:hint="eastAsia" w:ascii="Times New Roman" w:hAnsi="Times New Roman" w:eastAsia="宋体" w:cs="Times New Roman"/>
                <w:b w:val="0"/>
                <w:bCs w:val="0"/>
                <w:color w:val="auto"/>
                <w:sz w:val="24"/>
                <w:szCs w:val="24"/>
                <w:highlight w:val="none"/>
                <w:lang w:eastAsia="zh-CN"/>
              </w:rPr>
            </w:pPr>
            <w:r>
              <w:rPr>
                <w:rFonts w:hint="eastAsia" w:cs="Times New Roman"/>
                <w:b w:val="0"/>
                <w:bCs w:val="0"/>
                <w:color w:val="auto"/>
                <w:sz w:val="24"/>
                <w:szCs w:val="24"/>
                <w:highlight w:val="none"/>
                <w:lang w:val="en-US" w:eastAsia="zh-CN"/>
              </w:rPr>
              <w:t xml:space="preserve">  </w:t>
            </w:r>
            <w:r>
              <w:rPr>
                <w:rFonts w:hint="default" w:ascii="Times New Roman" w:hAnsi="Times New Roman" w:cs="Times New Roman"/>
                <w:b w:val="0"/>
                <w:bCs w:val="0"/>
                <w:color w:val="auto"/>
                <w:sz w:val="24"/>
                <w:szCs w:val="24"/>
                <w:highlight w:val="none"/>
              </w:rPr>
              <w:t>医疗废水</w:t>
            </w:r>
          </w:p>
        </w:tc>
        <w:tc>
          <w:tcPr>
            <w:tcW w:w="1687" w:type="dxa"/>
            <w:vAlign w:val="center"/>
          </w:tcPr>
          <w:p w14:paraId="49180F12">
            <w:pPr>
              <w:jc w:val="center"/>
              <w:rPr>
                <w:rFonts w:hint="default" w:ascii="Times New Roman" w:hAnsi="Times New Roman" w:cs="Times New Roman"/>
                <w:b w:val="0"/>
                <w:bCs w:val="0"/>
                <w:color w:val="auto"/>
                <w:sz w:val="24"/>
                <w:szCs w:val="24"/>
                <w:highlight w:val="none"/>
              </w:rPr>
            </w:pPr>
            <w:r>
              <w:rPr>
                <w:rFonts w:hint="eastAsia"/>
                <w:color w:val="auto"/>
                <w:sz w:val="24"/>
                <w:szCs w:val="24"/>
                <w:highlight w:val="none"/>
                <w:vertAlign w:val="baseline"/>
                <w:lang w:val="en-US" w:eastAsia="zh-CN"/>
              </w:rPr>
              <w:t>COD</w:t>
            </w:r>
          </w:p>
        </w:tc>
        <w:tc>
          <w:tcPr>
            <w:tcW w:w="2450" w:type="dxa"/>
            <w:vAlign w:val="center"/>
          </w:tcPr>
          <w:p w14:paraId="49BF758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250</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1.61</w:t>
            </w:r>
            <w:r>
              <w:rPr>
                <w:rFonts w:hint="default" w:ascii="Times New Roman" w:hAnsi="Times New Roman" w:cs="Times New Roman"/>
                <w:color w:val="auto"/>
                <w:sz w:val="24"/>
                <w:szCs w:val="24"/>
                <w:highlight w:val="none"/>
              </w:rPr>
              <w:t>t/a</w:t>
            </w:r>
          </w:p>
        </w:tc>
        <w:tc>
          <w:tcPr>
            <w:tcW w:w="2428" w:type="dxa"/>
            <w:vAlign w:val="center"/>
          </w:tcPr>
          <w:p w14:paraId="3364F19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200</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1.29</w:t>
            </w:r>
            <w:r>
              <w:rPr>
                <w:rFonts w:hint="default" w:ascii="Times New Roman" w:hAnsi="Times New Roman" w:cs="Times New Roman"/>
                <w:color w:val="auto"/>
                <w:sz w:val="24"/>
                <w:szCs w:val="24"/>
                <w:highlight w:val="none"/>
              </w:rPr>
              <w:t>t/a</w:t>
            </w:r>
          </w:p>
        </w:tc>
      </w:tr>
      <w:tr w14:paraId="1A6D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887" w:type="dxa"/>
            <w:vMerge w:val="continue"/>
            <w:vAlign w:val="center"/>
          </w:tcPr>
          <w:p w14:paraId="475C1DC1">
            <w:pPr>
              <w:jc w:val="center"/>
              <w:rPr>
                <w:rFonts w:hint="default" w:ascii="Times New Roman" w:hAnsi="Times New Roman" w:cs="Times New Roman"/>
                <w:color w:val="auto"/>
                <w:sz w:val="24"/>
                <w:szCs w:val="24"/>
                <w:highlight w:val="none"/>
                <w:lang w:val="de-DE"/>
              </w:rPr>
            </w:pPr>
          </w:p>
        </w:tc>
        <w:tc>
          <w:tcPr>
            <w:tcW w:w="410" w:type="dxa"/>
            <w:vMerge w:val="continue"/>
            <w:vAlign w:val="center"/>
          </w:tcPr>
          <w:p w14:paraId="75AB3708">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color w:val="auto"/>
                <w:sz w:val="24"/>
                <w:szCs w:val="24"/>
                <w:highlight w:val="none"/>
                <w:lang w:val="de-DE"/>
              </w:rPr>
            </w:pPr>
          </w:p>
        </w:tc>
        <w:tc>
          <w:tcPr>
            <w:tcW w:w="1616" w:type="dxa"/>
            <w:vMerge w:val="continue"/>
            <w:vAlign w:val="center"/>
          </w:tcPr>
          <w:p w14:paraId="6DB38929">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color w:val="auto"/>
                <w:sz w:val="24"/>
                <w:szCs w:val="24"/>
                <w:highlight w:val="none"/>
                <w:lang w:val="de-DE"/>
              </w:rPr>
            </w:pPr>
          </w:p>
        </w:tc>
        <w:tc>
          <w:tcPr>
            <w:tcW w:w="1687" w:type="dxa"/>
            <w:vAlign w:val="center"/>
          </w:tcPr>
          <w:p w14:paraId="44FDF1DF">
            <w:pPr>
              <w:jc w:val="center"/>
              <w:rPr>
                <w:rFonts w:hint="default" w:ascii="Times New Roman" w:hAnsi="Times New Roman" w:cs="Times New Roman"/>
                <w:b w:val="0"/>
                <w:bCs w:val="0"/>
                <w:color w:val="auto"/>
                <w:sz w:val="24"/>
                <w:szCs w:val="24"/>
                <w:highlight w:val="none"/>
              </w:rPr>
            </w:pPr>
            <w:r>
              <w:rPr>
                <w:rFonts w:hint="eastAsia"/>
                <w:color w:val="auto"/>
                <w:sz w:val="24"/>
                <w:szCs w:val="24"/>
                <w:highlight w:val="none"/>
                <w:vertAlign w:val="baseline"/>
                <w:lang w:val="en-US" w:eastAsia="zh-CN"/>
              </w:rPr>
              <w:t>SS</w:t>
            </w:r>
          </w:p>
        </w:tc>
        <w:tc>
          <w:tcPr>
            <w:tcW w:w="2450" w:type="dxa"/>
            <w:vAlign w:val="center"/>
          </w:tcPr>
          <w:p w14:paraId="2621141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100</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0.65</w:t>
            </w:r>
            <w:r>
              <w:rPr>
                <w:rFonts w:hint="default" w:ascii="Times New Roman" w:hAnsi="Times New Roman" w:cs="Times New Roman"/>
                <w:color w:val="auto"/>
                <w:sz w:val="24"/>
                <w:szCs w:val="24"/>
                <w:highlight w:val="none"/>
              </w:rPr>
              <w:t>t/a</w:t>
            </w:r>
          </w:p>
        </w:tc>
        <w:tc>
          <w:tcPr>
            <w:tcW w:w="2428" w:type="dxa"/>
            <w:vAlign w:val="center"/>
          </w:tcPr>
          <w:p w14:paraId="4AAD601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30</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0.19</w:t>
            </w:r>
            <w:r>
              <w:rPr>
                <w:rFonts w:hint="default" w:ascii="Times New Roman" w:hAnsi="Times New Roman" w:cs="Times New Roman"/>
                <w:color w:val="auto"/>
                <w:sz w:val="24"/>
                <w:szCs w:val="24"/>
                <w:highlight w:val="none"/>
              </w:rPr>
              <w:t>t/a</w:t>
            </w:r>
          </w:p>
        </w:tc>
      </w:tr>
      <w:tr w14:paraId="6FF7A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87" w:type="dxa"/>
            <w:vMerge w:val="continue"/>
            <w:vAlign w:val="center"/>
          </w:tcPr>
          <w:p w14:paraId="4B26AAC5">
            <w:pPr>
              <w:jc w:val="center"/>
              <w:rPr>
                <w:rFonts w:hint="default" w:ascii="Times New Roman" w:hAnsi="Times New Roman" w:cs="Times New Roman"/>
                <w:color w:val="auto"/>
                <w:sz w:val="24"/>
                <w:szCs w:val="24"/>
                <w:highlight w:val="none"/>
                <w:lang w:val="de-DE"/>
              </w:rPr>
            </w:pPr>
          </w:p>
        </w:tc>
        <w:tc>
          <w:tcPr>
            <w:tcW w:w="410" w:type="dxa"/>
            <w:vMerge w:val="continue"/>
            <w:vAlign w:val="center"/>
          </w:tcPr>
          <w:p w14:paraId="663C4C72">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color w:val="auto"/>
                <w:sz w:val="24"/>
                <w:szCs w:val="24"/>
                <w:highlight w:val="none"/>
                <w:lang w:val="de-DE"/>
              </w:rPr>
            </w:pPr>
          </w:p>
        </w:tc>
        <w:tc>
          <w:tcPr>
            <w:tcW w:w="1616" w:type="dxa"/>
            <w:vMerge w:val="continue"/>
            <w:vAlign w:val="center"/>
          </w:tcPr>
          <w:p w14:paraId="73F8C12B">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color w:val="auto"/>
                <w:sz w:val="24"/>
                <w:szCs w:val="24"/>
                <w:highlight w:val="none"/>
                <w:lang w:val="de-DE"/>
              </w:rPr>
            </w:pPr>
          </w:p>
        </w:tc>
        <w:tc>
          <w:tcPr>
            <w:tcW w:w="1687" w:type="dxa"/>
            <w:vAlign w:val="center"/>
          </w:tcPr>
          <w:p w14:paraId="532EF246">
            <w:pPr>
              <w:jc w:val="center"/>
              <w:rPr>
                <w:rFonts w:hint="default" w:ascii="Times New Roman" w:hAnsi="Times New Roman" w:cs="Times New Roman"/>
                <w:b w:val="0"/>
                <w:bCs w:val="0"/>
                <w:color w:val="auto"/>
                <w:sz w:val="24"/>
                <w:szCs w:val="24"/>
                <w:highlight w:val="none"/>
              </w:rPr>
            </w:pPr>
            <w:r>
              <w:rPr>
                <w:rFonts w:hint="eastAsia"/>
                <w:color w:val="auto"/>
                <w:sz w:val="24"/>
                <w:szCs w:val="24"/>
                <w:highlight w:val="none"/>
                <w:vertAlign w:val="baseline"/>
                <w:lang w:val="en-US" w:eastAsia="zh-CN"/>
              </w:rPr>
              <w:t>氨氮</w:t>
            </w:r>
          </w:p>
        </w:tc>
        <w:tc>
          <w:tcPr>
            <w:tcW w:w="2450" w:type="dxa"/>
            <w:vAlign w:val="center"/>
          </w:tcPr>
          <w:p w14:paraId="2EA0864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28</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0.18</w:t>
            </w:r>
            <w:r>
              <w:rPr>
                <w:rFonts w:hint="default" w:ascii="Times New Roman" w:hAnsi="Times New Roman" w:cs="Times New Roman"/>
                <w:color w:val="auto"/>
                <w:sz w:val="24"/>
                <w:szCs w:val="24"/>
                <w:highlight w:val="none"/>
              </w:rPr>
              <w:t>t/a</w:t>
            </w:r>
          </w:p>
        </w:tc>
        <w:tc>
          <w:tcPr>
            <w:tcW w:w="2428" w:type="dxa"/>
            <w:vAlign w:val="center"/>
          </w:tcPr>
          <w:p w14:paraId="6733343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27.2</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0.17</w:t>
            </w:r>
            <w:r>
              <w:rPr>
                <w:rFonts w:hint="default" w:ascii="Times New Roman" w:hAnsi="Times New Roman" w:cs="Times New Roman"/>
                <w:color w:val="auto"/>
                <w:sz w:val="24"/>
                <w:szCs w:val="24"/>
                <w:highlight w:val="none"/>
              </w:rPr>
              <w:t>t/a</w:t>
            </w:r>
          </w:p>
        </w:tc>
      </w:tr>
      <w:tr w14:paraId="2E58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87" w:type="dxa"/>
            <w:vMerge w:val="continue"/>
            <w:vAlign w:val="center"/>
          </w:tcPr>
          <w:p w14:paraId="0C010CE4">
            <w:pPr>
              <w:jc w:val="center"/>
              <w:rPr>
                <w:rFonts w:hint="default" w:ascii="Times New Roman" w:hAnsi="Times New Roman" w:cs="Times New Roman"/>
                <w:color w:val="auto"/>
                <w:sz w:val="24"/>
                <w:szCs w:val="24"/>
                <w:highlight w:val="none"/>
                <w:lang w:val="de-DE"/>
              </w:rPr>
            </w:pPr>
          </w:p>
        </w:tc>
        <w:tc>
          <w:tcPr>
            <w:tcW w:w="410" w:type="dxa"/>
            <w:vMerge w:val="continue"/>
            <w:vAlign w:val="center"/>
          </w:tcPr>
          <w:p w14:paraId="79D4756D">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color w:val="auto"/>
                <w:sz w:val="24"/>
                <w:szCs w:val="24"/>
                <w:highlight w:val="none"/>
                <w:lang w:val="de-DE"/>
              </w:rPr>
            </w:pPr>
          </w:p>
        </w:tc>
        <w:tc>
          <w:tcPr>
            <w:tcW w:w="1616" w:type="dxa"/>
            <w:vMerge w:val="continue"/>
            <w:vAlign w:val="center"/>
          </w:tcPr>
          <w:p w14:paraId="767B803B">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color w:val="auto"/>
                <w:sz w:val="24"/>
                <w:szCs w:val="24"/>
                <w:highlight w:val="none"/>
                <w:lang w:val="de-DE"/>
              </w:rPr>
            </w:pPr>
          </w:p>
        </w:tc>
        <w:tc>
          <w:tcPr>
            <w:tcW w:w="1687" w:type="dxa"/>
            <w:vAlign w:val="center"/>
          </w:tcPr>
          <w:p w14:paraId="6BD40794">
            <w:pPr>
              <w:jc w:val="center"/>
              <w:rPr>
                <w:rFonts w:hint="default" w:ascii="Times New Roman" w:hAnsi="Times New Roman" w:cs="Times New Roman"/>
                <w:b w:val="0"/>
                <w:bCs w:val="0"/>
                <w:color w:val="auto"/>
                <w:sz w:val="24"/>
                <w:szCs w:val="24"/>
                <w:highlight w:val="none"/>
              </w:rPr>
            </w:pPr>
            <w:r>
              <w:rPr>
                <w:rFonts w:hint="default" w:ascii="Times New Roman" w:hAnsi="Times New Roman" w:cs="Times New Roman"/>
                <w:color w:val="auto"/>
                <w:sz w:val="24"/>
                <w:szCs w:val="24"/>
                <w:highlight w:val="none"/>
              </w:rPr>
              <w:t>粪大肠菌群数</w:t>
            </w:r>
          </w:p>
        </w:tc>
        <w:tc>
          <w:tcPr>
            <w:tcW w:w="2450" w:type="dxa"/>
            <w:vAlign w:val="center"/>
          </w:tcPr>
          <w:p w14:paraId="3BDD073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eastAsia"/>
                <w:color w:val="auto"/>
                <w:sz w:val="24"/>
                <w:szCs w:val="24"/>
                <w:highlight w:val="none"/>
                <w:vertAlign w:val="baseline"/>
                <w:lang w:val="en-US" w:eastAsia="zh-CN"/>
              </w:rPr>
              <w:t>1</w:t>
            </w:r>
            <w:r>
              <w:rPr>
                <w:rFonts w:hint="default" w:ascii="Arial" w:hAnsi="Arial" w:cs="Arial"/>
                <w:color w:val="auto"/>
                <w:sz w:val="24"/>
                <w:szCs w:val="24"/>
                <w:highlight w:val="none"/>
                <w:vertAlign w:val="baseline"/>
                <w:lang w:val="en-US" w:eastAsia="zh-CN"/>
              </w:rPr>
              <w:t>×</w:t>
            </w:r>
            <w:r>
              <w:rPr>
                <w:rFonts w:hint="default"/>
                <w:color w:val="auto"/>
                <w:sz w:val="24"/>
                <w:szCs w:val="24"/>
                <w:highlight w:val="none"/>
                <w:vertAlign w:val="baseline"/>
                <w:lang w:val="en-US" w:eastAsia="zh-CN"/>
              </w:rPr>
              <w:t>10</w:t>
            </w:r>
            <w:r>
              <w:rPr>
                <w:rFonts w:hint="eastAsia"/>
                <w:color w:val="auto"/>
                <w:sz w:val="24"/>
                <w:szCs w:val="24"/>
                <w:highlight w:val="none"/>
                <w:vertAlign w:val="superscript"/>
                <w:lang w:val="en-US" w:eastAsia="zh-CN"/>
              </w:rPr>
              <w:t>6</w:t>
            </w:r>
            <w:r>
              <w:rPr>
                <w:rFonts w:hint="default"/>
                <w:color w:val="auto"/>
                <w:sz w:val="24"/>
                <w:szCs w:val="24"/>
                <w:highlight w:val="none"/>
                <w:vertAlign w:val="baseline"/>
                <w:lang w:val="en-US" w:eastAsia="zh-CN"/>
              </w:rPr>
              <w:t>MPN/</w:t>
            </w:r>
            <w:r>
              <w:rPr>
                <w:rFonts w:hint="eastAsia"/>
                <w:color w:val="auto"/>
                <w:sz w:val="24"/>
                <w:szCs w:val="24"/>
                <w:highlight w:val="none"/>
                <w:vertAlign w:val="baseline"/>
                <w:lang w:val="en-US" w:eastAsia="zh-CN"/>
              </w:rPr>
              <w:t>L，6.45</w:t>
            </w:r>
            <w:r>
              <w:rPr>
                <w:rFonts w:hint="default"/>
                <w:color w:val="auto"/>
                <w:sz w:val="24"/>
                <w:szCs w:val="24"/>
                <w:highlight w:val="none"/>
                <w:vertAlign w:val="baseline"/>
                <w:lang w:val="en-US" w:eastAsia="zh-CN"/>
              </w:rPr>
              <w:t>×10</w:t>
            </w:r>
            <w:r>
              <w:rPr>
                <w:rFonts w:hint="default"/>
                <w:color w:val="auto"/>
                <w:sz w:val="24"/>
                <w:szCs w:val="24"/>
                <w:highlight w:val="none"/>
                <w:vertAlign w:val="superscript"/>
                <w:lang w:val="en-US" w:eastAsia="zh-CN"/>
              </w:rPr>
              <w:t>12</w:t>
            </w:r>
            <w:r>
              <w:rPr>
                <w:rFonts w:hint="eastAsia"/>
                <w:color w:val="auto"/>
                <w:sz w:val="24"/>
                <w:szCs w:val="24"/>
                <w:highlight w:val="none"/>
                <w:vertAlign w:val="baseline"/>
                <w:lang w:val="en-US" w:eastAsia="zh-CN"/>
              </w:rPr>
              <w:t>个</w:t>
            </w:r>
            <w:r>
              <w:rPr>
                <w:rFonts w:hint="default"/>
                <w:color w:val="auto"/>
                <w:sz w:val="24"/>
                <w:szCs w:val="24"/>
                <w:highlight w:val="none"/>
                <w:vertAlign w:val="baseline"/>
                <w:lang w:val="en-US" w:eastAsia="zh-CN"/>
              </w:rPr>
              <w:t>/</w:t>
            </w:r>
            <w:r>
              <w:rPr>
                <w:rFonts w:hint="eastAsia"/>
                <w:color w:val="auto"/>
                <w:sz w:val="24"/>
                <w:szCs w:val="24"/>
                <w:highlight w:val="none"/>
                <w:vertAlign w:val="baseline"/>
                <w:lang w:val="en-US" w:eastAsia="zh-CN"/>
              </w:rPr>
              <w:t>a</w:t>
            </w:r>
          </w:p>
        </w:tc>
        <w:tc>
          <w:tcPr>
            <w:tcW w:w="2428" w:type="dxa"/>
            <w:vAlign w:val="center"/>
          </w:tcPr>
          <w:p w14:paraId="24DFA8C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4"/>
                <w:szCs w:val="24"/>
                <w:highlight w:val="none"/>
                <w:vertAlign w:val="baseline"/>
                <w:lang w:val="en-US" w:eastAsia="zh-CN"/>
              </w:rPr>
            </w:pPr>
            <w:r>
              <w:rPr>
                <w:rFonts w:hint="eastAsia"/>
                <w:color w:val="auto"/>
                <w:sz w:val="24"/>
                <w:szCs w:val="24"/>
                <w:highlight w:val="none"/>
                <w:vertAlign w:val="baseline"/>
                <w:lang w:val="en-US" w:eastAsia="zh-CN"/>
              </w:rPr>
              <w:t>5000</w:t>
            </w:r>
            <w:r>
              <w:rPr>
                <w:rFonts w:hint="default"/>
                <w:color w:val="auto"/>
                <w:sz w:val="24"/>
                <w:szCs w:val="24"/>
                <w:highlight w:val="none"/>
                <w:vertAlign w:val="baseline"/>
                <w:lang w:val="en-US" w:eastAsia="zh-CN"/>
              </w:rPr>
              <w:t>MPN/</w:t>
            </w:r>
            <w:r>
              <w:rPr>
                <w:rFonts w:hint="eastAsia"/>
                <w:color w:val="auto"/>
                <w:sz w:val="24"/>
                <w:szCs w:val="24"/>
                <w:highlight w:val="none"/>
                <w:vertAlign w:val="baseline"/>
                <w:lang w:val="en-US" w:eastAsia="zh-CN"/>
              </w:rPr>
              <w:t>L，</w:t>
            </w:r>
          </w:p>
          <w:p w14:paraId="1150320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eastAsia"/>
                <w:color w:val="auto"/>
                <w:sz w:val="24"/>
                <w:szCs w:val="24"/>
                <w:highlight w:val="none"/>
                <w:vertAlign w:val="baseline"/>
                <w:lang w:val="en-US" w:eastAsia="zh-CN"/>
              </w:rPr>
              <w:t>3.23</w:t>
            </w:r>
            <w:r>
              <w:rPr>
                <w:rFonts w:hint="default"/>
                <w:color w:val="auto"/>
                <w:sz w:val="24"/>
                <w:szCs w:val="24"/>
                <w:highlight w:val="none"/>
                <w:vertAlign w:val="baseline"/>
                <w:lang w:val="en-US" w:eastAsia="zh-CN"/>
              </w:rPr>
              <w:t>×10</w:t>
            </w:r>
            <w:r>
              <w:rPr>
                <w:rFonts w:hint="default"/>
                <w:color w:val="auto"/>
                <w:sz w:val="24"/>
                <w:szCs w:val="24"/>
                <w:highlight w:val="none"/>
                <w:vertAlign w:val="superscript"/>
                <w:lang w:val="en-US" w:eastAsia="zh-CN"/>
              </w:rPr>
              <w:t>1</w:t>
            </w:r>
            <w:r>
              <w:rPr>
                <w:rFonts w:hint="eastAsia"/>
                <w:color w:val="auto"/>
                <w:sz w:val="24"/>
                <w:szCs w:val="24"/>
                <w:highlight w:val="none"/>
                <w:vertAlign w:val="superscript"/>
                <w:lang w:val="en-US" w:eastAsia="zh-CN"/>
              </w:rPr>
              <w:t>0</w:t>
            </w:r>
            <w:r>
              <w:rPr>
                <w:rFonts w:hint="eastAsia"/>
                <w:color w:val="auto"/>
                <w:sz w:val="24"/>
                <w:szCs w:val="24"/>
                <w:highlight w:val="none"/>
                <w:vertAlign w:val="baseline"/>
                <w:lang w:val="en-US" w:eastAsia="zh-CN"/>
              </w:rPr>
              <w:t>个</w:t>
            </w:r>
            <w:r>
              <w:rPr>
                <w:rFonts w:hint="default"/>
                <w:color w:val="auto"/>
                <w:sz w:val="24"/>
                <w:szCs w:val="24"/>
                <w:highlight w:val="none"/>
                <w:vertAlign w:val="baseline"/>
                <w:lang w:val="en-US" w:eastAsia="zh-CN"/>
              </w:rPr>
              <w:t>/</w:t>
            </w:r>
            <w:r>
              <w:rPr>
                <w:rFonts w:hint="eastAsia"/>
                <w:color w:val="auto"/>
                <w:sz w:val="24"/>
                <w:szCs w:val="24"/>
                <w:highlight w:val="none"/>
                <w:vertAlign w:val="baseline"/>
                <w:lang w:val="en-US" w:eastAsia="zh-CN"/>
              </w:rPr>
              <w:t>a</w:t>
            </w:r>
          </w:p>
        </w:tc>
      </w:tr>
      <w:tr w14:paraId="457C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887" w:type="dxa"/>
            <w:vMerge w:val="continue"/>
            <w:vAlign w:val="center"/>
          </w:tcPr>
          <w:p w14:paraId="1B051E77">
            <w:pPr>
              <w:jc w:val="center"/>
              <w:rPr>
                <w:rFonts w:hint="default" w:ascii="Times New Roman" w:hAnsi="Times New Roman" w:cs="Times New Roman"/>
                <w:color w:val="auto"/>
                <w:sz w:val="24"/>
                <w:szCs w:val="24"/>
                <w:highlight w:val="none"/>
                <w:lang w:val="de-DE"/>
              </w:rPr>
            </w:pPr>
          </w:p>
        </w:tc>
        <w:tc>
          <w:tcPr>
            <w:tcW w:w="410" w:type="dxa"/>
            <w:vMerge w:val="continue"/>
            <w:vAlign w:val="center"/>
          </w:tcPr>
          <w:p w14:paraId="6086857F">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color w:val="auto"/>
                <w:sz w:val="24"/>
                <w:szCs w:val="24"/>
                <w:highlight w:val="none"/>
                <w:lang w:val="de-DE"/>
              </w:rPr>
            </w:pPr>
          </w:p>
        </w:tc>
        <w:tc>
          <w:tcPr>
            <w:tcW w:w="1616" w:type="dxa"/>
            <w:vMerge w:val="continue"/>
            <w:vAlign w:val="center"/>
          </w:tcPr>
          <w:p w14:paraId="7925B2F3">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color w:val="auto"/>
                <w:sz w:val="24"/>
                <w:szCs w:val="24"/>
                <w:highlight w:val="none"/>
                <w:lang w:val="de-DE"/>
              </w:rPr>
            </w:pPr>
          </w:p>
        </w:tc>
        <w:tc>
          <w:tcPr>
            <w:tcW w:w="1687" w:type="dxa"/>
            <w:vAlign w:val="center"/>
          </w:tcPr>
          <w:p w14:paraId="704CC4EA">
            <w:pPr>
              <w:jc w:val="center"/>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总余氯</w:t>
            </w:r>
          </w:p>
        </w:tc>
        <w:tc>
          <w:tcPr>
            <w:tcW w:w="2450" w:type="dxa"/>
            <w:vAlign w:val="center"/>
          </w:tcPr>
          <w:p w14:paraId="1102CE6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4"/>
                <w:szCs w:val="24"/>
                <w:highlight w:val="none"/>
                <w:vertAlign w:val="baseline"/>
                <w:lang w:val="en-US" w:eastAsia="zh-CN"/>
              </w:rPr>
            </w:pPr>
            <w:r>
              <w:rPr>
                <w:rFonts w:hint="eastAsia"/>
                <w:color w:val="auto"/>
                <w:sz w:val="24"/>
                <w:szCs w:val="24"/>
                <w:highlight w:val="none"/>
                <w:vertAlign w:val="baseline"/>
                <w:lang w:val="en-US" w:eastAsia="zh-CN"/>
              </w:rPr>
              <w:t>/</w:t>
            </w:r>
          </w:p>
        </w:tc>
        <w:tc>
          <w:tcPr>
            <w:tcW w:w="2428" w:type="dxa"/>
            <w:vAlign w:val="center"/>
          </w:tcPr>
          <w:p w14:paraId="1A98FF3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olor w:val="auto"/>
                <w:sz w:val="24"/>
                <w:szCs w:val="24"/>
                <w:highlight w:val="none"/>
                <w:vertAlign w:val="baseline"/>
                <w:lang w:val="en-US" w:eastAsia="zh-CN"/>
              </w:rPr>
            </w:pPr>
            <w:r>
              <w:rPr>
                <w:rFonts w:hint="eastAsia"/>
                <w:color w:val="auto"/>
                <w:sz w:val="24"/>
                <w:szCs w:val="24"/>
                <w:highlight w:val="none"/>
                <w:vertAlign w:val="baseline"/>
                <w:lang w:val="en-US" w:eastAsia="zh-CN"/>
              </w:rPr>
              <w:t>6</w:t>
            </w:r>
            <w:r>
              <w:rPr>
                <w:rFonts w:hint="default" w:ascii="Times New Roman" w:hAnsi="Times New Roman" w:cs="Times New Roman"/>
                <w:color w:val="auto"/>
                <w:sz w:val="24"/>
                <w:szCs w:val="24"/>
                <w:highlight w:val="none"/>
              </w:rPr>
              <w:t>mg/L</w:t>
            </w:r>
          </w:p>
        </w:tc>
      </w:tr>
      <w:tr w14:paraId="66D7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887" w:type="dxa"/>
            <w:vMerge w:val="continue"/>
            <w:vAlign w:val="center"/>
          </w:tcPr>
          <w:p w14:paraId="39C8852F">
            <w:pPr>
              <w:jc w:val="center"/>
              <w:rPr>
                <w:rFonts w:hint="default" w:ascii="Times New Roman" w:hAnsi="Times New Roman" w:cs="Times New Roman"/>
                <w:color w:val="auto"/>
                <w:sz w:val="24"/>
                <w:szCs w:val="24"/>
                <w:highlight w:val="none"/>
                <w:lang w:val="de-DE"/>
              </w:rPr>
            </w:pPr>
          </w:p>
        </w:tc>
        <w:tc>
          <w:tcPr>
            <w:tcW w:w="410" w:type="dxa"/>
            <w:vMerge w:val="continue"/>
            <w:vAlign w:val="center"/>
          </w:tcPr>
          <w:p w14:paraId="410359E0">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color w:val="auto"/>
                <w:sz w:val="24"/>
                <w:szCs w:val="24"/>
                <w:highlight w:val="none"/>
                <w:lang w:val="de-DE"/>
              </w:rPr>
            </w:pPr>
          </w:p>
        </w:tc>
        <w:tc>
          <w:tcPr>
            <w:tcW w:w="1616" w:type="dxa"/>
            <w:vMerge w:val="restart"/>
            <w:vAlign w:val="center"/>
          </w:tcPr>
          <w:p w14:paraId="3DADAD42">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color w:val="auto"/>
                <w:sz w:val="24"/>
                <w:szCs w:val="24"/>
                <w:highlight w:val="none"/>
                <w:lang w:val="de-DE"/>
              </w:rPr>
            </w:pPr>
            <w:r>
              <w:rPr>
                <w:rFonts w:hint="eastAsia" w:cs="Times New Roman"/>
                <w:b w:val="0"/>
                <w:bCs w:val="0"/>
                <w:color w:val="auto"/>
                <w:sz w:val="24"/>
                <w:szCs w:val="24"/>
                <w:highlight w:val="none"/>
                <w:lang w:eastAsia="zh-CN"/>
              </w:rPr>
              <w:t>生活污水</w:t>
            </w:r>
          </w:p>
        </w:tc>
        <w:tc>
          <w:tcPr>
            <w:tcW w:w="1687" w:type="dxa"/>
            <w:vAlign w:val="center"/>
          </w:tcPr>
          <w:p w14:paraId="675E95EA">
            <w:pPr>
              <w:jc w:val="center"/>
              <w:rPr>
                <w:rFonts w:hint="default" w:ascii="Times New Roman" w:hAnsi="Times New Roman" w:cs="Times New Roman"/>
                <w:b w:val="0"/>
                <w:bCs w:val="0"/>
                <w:color w:val="auto"/>
                <w:sz w:val="24"/>
                <w:szCs w:val="24"/>
                <w:highlight w:val="none"/>
              </w:rPr>
            </w:pPr>
            <w:r>
              <w:rPr>
                <w:rFonts w:hint="eastAsia"/>
                <w:color w:val="auto"/>
                <w:sz w:val="24"/>
                <w:szCs w:val="24"/>
                <w:highlight w:val="none"/>
                <w:vertAlign w:val="baseline"/>
                <w:lang w:val="en-US" w:eastAsia="zh-CN"/>
              </w:rPr>
              <w:t>COD</w:t>
            </w:r>
          </w:p>
        </w:tc>
        <w:tc>
          <w:tcPr>
            <w:tcW w:w="2450" w:type="dxa"/>
            <w:vAlign w:val="center"/>
          </w:tcPr>
          <w:p w14:paraId="4004AFE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280</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1.34</w:t>
            </w:r>
            <w:r>
              <w:rPr>
                <w:rFonts w:hint="default" w:ascii="Times New Roman" w:hAnsi="Times New Roman" w:cs="Times New Roman"/>
                <w:color w:val="auto"/>
                <w:sz w:val="24"/>
                <w:szCs w:val="24"/>
                <w:highlight w:val="none"/>
              </w:rPr>
              <w:t>t/a</w:t>
            </w:r>
          </w:p>
        </w:tc>
        <w:tc>
          <w:tcPr>
            <w:tcW w:w="2428" w:type="dxa"/>
            <w:vAlign w:val="center"/>
          </w:tcPr>
          <w:p w14:paraId="523443B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238</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1.14</w:t>
            </w:r>
            <w:r>
              <w:rPr>
                <w:rFonts w:hint="default" w:ascii="Times New Roman" w:hAnsi="Times New Roman" w:cs="Times New Roman"/>
                <w:color w:val="auto"/>
                <w:sz w:val="24"/>
                <w:szCs w:val="24"/>
                <w:highlight w:val="none"/>
              </w:rPr>
              <w:t>t/a</w:t>
            </w:r>
          </w:p>
        </w:tc>
      </w:tr>
      <w:tr w14:paraId="06CF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887" w:type="dxa"/>
            <w:vMerge w:val="continue"/>
            <w:vAlign w:val="center"/>
          </w:tcPr>
          <w:p w14:paraId="181B120F">
            <w:pPr>
              <w:jc w:val="center"/>
              <w:rPr>
                <w:rFonts w:hint="default" w:ascii="Times New Roman" w:hAnsi="Times New Roman" w:cs="Times New Roman"/>
                <w:color w:val="auto"/>
                <w:sz w:val="24"/>
                <w:szCs w:val="24"/>
                <w:highlight w:val="none"/>
                <w:lang w:val="de-DE"/>
              </w:rPr>
            </w:pPr>
          </w:p>
        </w:tc>
        <w:tc>
          <w:tcPr>
            <w:tcW w:w="410" w:type="dxa"/>
            <w:vMerge w:val="continue"/>
            <w:vAlign w:val="center"/>
          </w:tcPr>
          <w:p w14:paraId="7A0E7A80">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color w:val="auto"/>
                <w:sz w:val="24"/>
                <w:szCs w:val="24"/>
                <w:highlight w:val="none"/>
                <w:lang w:val="de-DE"/>
              </w:rPr>
            </w:pPr>
          </w:p>
        </w:tc>
        <w:tc>
          <w:tcPr>
            <w:tcW w:w="1616" w:type="dxa"/>
            <w:vMerge w:val="continue"/>
            <w:vAlign w:val="center"/>
          </w:tcPr>
          <w:p w14:paraId="709B6604">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color w:val="auto"/>
                <w:sz w:val="24"/>
                <w:szCs w:val="24"/>
                <w:highlight w:val="none"/>
                <w:lang w:val="de-DE"/>
              </w:rPr>
            </w:pPr>
          </w:p>
        </w:tc>
        <w:tc>
          <w:tcPr>
            <w:tcW w:w="1687" w:type="dxa"/>
            <w:vAlign w:val="center"/>
          </w:tcPr>
          <w:p w14:paraId="017C5937">
            <w:pPr>
              <w:jc w:val="center"/>
              <w:rPr>
                <w:rFonts w:hint="default" w:ascii="Times New Roman" w:hAnsi="Times New Roman" w:cs="Times New Roman"/>
                <w:b w:val="0"/>
                <w:bCs w:val="0"/>
                <w:color w:val="auto"/>
                <w:sz w:val="24"/>
                <w:szCs w:val="24"/>
                <w:highlight w:val="none"/>
              </w:rPr>
            </w:pPr>
            <w:r>
              <w:rPr>
                <w:rFonts w:hint="eastAsia"/>
                <w:color w:val="auto"/>
                <w:sz w:val="24"/>
                <w:szCs w:val="24"/>
                <w:highlight w:val="none"/>
                <w:vertAlign w:val="baseline"/>
                <w:lang w:val="en-US" w:eastAsia="zh-CN"/>
              </w:rPr>
              <w:t>SS</w:t>
            </w:r>
          </w:p>
        </w:tc>
        <w:tc>
          <w:tcPr>
            <w:tcW w:w="2450" w:type="dxa"/>
            <w:vAlign w:val="center"/>
          </w:tcPr>
          <w:p w14:paraId="59206DD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220</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1.06</w:t>
            </w:r>
            <w:r>
              <w:rPr>
                <w:rFonts w:hint="default" w:ascii="Times New Roman" w:hAnsi="Times New Roman" w:cs="Times New Roman"/>
                <w:color w:val="auto"/>
                <w:sz w:val="24"/>
                <w:szCs w:val="24"/>
                <w:highlight w:val="none"/>
              </w:rPr>
              <w:t>t/a</w:t>
            </w:r>
          </w:p>
        </w:tc>
        <w:tc>
          <w:tcPr>
            <w:tcW w:w="2428" w:type="dxa"/>
            <w:vAlign w:val="center"/>
          </w:tcPr>
          <w:p w14:paraId="06329D1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110</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0.53</w:t>
            </w:r>
            <w:r>
              <w:rPr>
                <w:rFonts w:hint="default" w:ascii="Times New Roman" w:hAnsi="Times New Roman" w:cs="Times New Roman"/>
                <w:color w:val="auto"/>
                <w:sz w:val="24"/>
                <w:szCs w:val="24"/>
                <w:highlight w:val="none"/>
              </w:rPr>
              <w:t>t/a</w:t>
            </w:r>
          </w:p>
        </w:tc>
      </w:tr>
      <w:tr w14:paraId="0210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887" w:type="dxa"/>
            <w:vMerge w:val="continue"/>
            <w:vAlign w:val="center"/>
          </w:tcPr>
          <w:p w14:paraId="121869E5">
            <w:pPr>
              <w:jc w:val="center"/>
              <w:rPr>
                <w:rFonts w:hint="default" w:ascii="Times New Roman" w:hAnsi="Times New Roman" w:cs="Times New Roman"/>
                <w:color w:val="auto"/>
                <w:sz w:val="24"/>
                <w:szCs w:val="24"/>
                <w:highlight w:val="none"/>
                <w:lang w:val="de-DE"/>
              </w:rPr>
            </w:pPr>
          </w:p>
        </w:tc>
        <w:tc>
          <w:tcPr>
            <w:tcW w:w="410" w:type="dxa"/>
            <w:vMerge w:val="continue"/>
            <w:vAlign w:val="center"/>
          </w:tcPr>
          <w:p w14:paraId="06088844">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color w:val="auto"/>
                <w:sz w:val="24"/>
                <w:szCs w:val="24"/>
                <w:highlight w:val="none"/>
                <w:lang w:val="de-DE"/>
              </w:rPr>
            </w:pPr>
          </w:p>
        </w:tc>
        <w:tc>
          <w:tcPr>
            <w:tcW w:w="1616" w:type="dxa"/>
            <w:vMerge w:val="continue"/>
            <w:vAlign w:val="center"/>
          </w:tcPr>
          <w:p w14:paraId="2B21DC43">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color w:val="auto"/>
                <w:sz w:val="24"/>
                <w:szCs w:val="24"/>
                <w:highlight w:val="none"/>
                <w:lang w:val="de-DE"/>
              </w:rPr>
            </w:pPr>
          </w:p>
        </w:tc>
        <w:tc>
          <w:tcPr>
            <w:tcW w:w="1687" w:type="dxa"/>
            <w:vAlign w:val="center"/>
          </w:tcPr>
          <w:p w14:paraId="7F822414">
            <w:pPr>
              <w:jc w:val="center"/>
              <w:rPr>
                <w:rFonts w:hint="default" w:ascii="Times New Roman" w:hAnsi="Times New Roman" w:cs="Times New Roman"/>
                <w:b w:val="0"/>
                <w:bCs w:val="0"/>
                <w:color w:val="auto"/>
                <w:sz w:val="24"/>
                <w:szCs w:val="24"/>
                <w:highlight w:val="none"/>
              </w:rPr>
            </w:pPr>
            <w:r>
              <w:rPr>
                <w:rFonts w:hint="eastAsia"/>
                <w:color w:val="auto"/>
                <w:sz w:val="24"/>
                <w:szCs w:val="24"/>
                <w:highlight w:val="none"/>
                <w:vertAlign w:val="baseline"/>
                <w:lang w:val="en-US" w:eastAsia="zh-CN"/>
              </w:rPr>
              <w:t>氨氮</w:t>
            </w:r>
          </w:p>
        </w:tc>
        <w:tc>
          <w:tcPr>
            <w:tcW w:w="2450" w:type="dxa"/>
            <w:vAlign w:val="center"/>
          </w:tcPr>
          <w:p w14:paraId="5375C4B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30</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0.14</w:t>
            </w:r>
            <w:r>
              <w:rPr>
                <w:rFonts w:hint="default" w:ascii="Times New Roman" w:hAnsi="Times New Roman" w:cs="Times New Roman"/>
                <w:color w:val="auto"/>
                <w:sz w:val="24"/>
                <w:szCs w:val="24"/>
                <w:highlight w:val="none"/>
              </w:rPr>
              <w:t>t/a</w:t>
            </w:r>
          </w:p>
        </w:tc>
        <w:tc>
          <w:tcPr>
            <w:tcW w:w="2428" w:type="dxa"/>
            <w:vAlign w:val="center"/>
          </w:tcPr>
          <w:p w14:paraId="3C10993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29.1</w:t>
            </w:r>
            <w:r>
              <w:rPr>
                <w:rFonts w:hint="default" w:ascii="Times New Roman" w:hAnsi="Times New Roman"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0.136</w:t>
            </w:r>
            <w:r>
              <w:rPr>
                <w:rFonts w:hint="default" w:ascii="Times New Roman" w:hAnsi="Times New Roman" w:cs="Times New Roman"/>
                <w:color w:val="auto"/>
                <w:sz w:val="24"/>
                <w:szCs w:val="24"/>
                <w:highlight w:val="none"/>
              </w:rPr>
              <w:t>t/a</w:t>
            </w:r>
          </w:p>
        </w:tc>
      </w:tr>
      <w:tr w14:paraId="3B2B9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87" w:type="dxa"/>
            <w:vMerge w:val="restart"/>
            <w:vAlign w:val="center"/>
          </w:tcPr>
          <w:p w14:paraId="49D793D6">
            <w:pPr>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固</w:t>
            </w:r>
          </w:p>
          <w:p w14:paraId="3136427E">
            <w:pPr>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体</w:t>
            </w:r>
          </w:p>
          <w:p w14:paraId="1408B489">
            <w:pPr>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废</w:t>
            </w:r>
          </w:p>
          <w:p w14:paraId="3422100D">
            <w:pPr>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物</w:t>
            </w:r>
          </w:p>
        </w:tc>
        <w:tc>
          <w:tcPr>
            <w:tcW w:w="410" w:type="dxa"/>
            <w:vMerge w:val="restart"/>
            <w:vAlign w:val="center"/>
          </w:tcPr>
          <w:p w14:paraId="56EEAC77">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施工期</w:t>
            </w:r>
          </w:p>
        </w:tc>
        <w:tc>
          <w:tcPr>
            <w:tcW w:w="1616" w:type="dxa"/>
            <w:vAlign w:val="center"/>
          </w:tcPr>
          <w:p w14:paraId="4A6913F1">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eastAsia" w:ascii="Times New Roman" w:hAnsi="Times New Roman" w:eastAsia="宋体" w:cs="Times New Roman"/>
                <w:b w:val="0"/>
                <w:bCs w:val="0"/>
                <w:color w:val="auto"/>
                <w:sz w:val="24"/>
                <w:szCs w:val="24"/>
                <w:highlight w:val="none"/>
                <w:lang w:eastAsia="zh-CN"/>
              </w:rPr>
            </w:pPr>
            <w:r>
              <w:rPr>
                <w:rFonts w:hint="eastAsia" w:cs="Times New Roman"/>
                <w:b w:val="0"/>
                <w:bCs w:val="0"/>
                <w:color w:val="auto"/>
                <w:sz w:val="24"/>
                <w:szCs w:val="24"/>
                <w:highlight w:val="none"/>
                <w:lang w:eastAsia="zh-CN"/>
              </w:rPr>
              <w:t>施工场地</w:t>
            </w:r>
          </w:p>
        </w:tc>
        <w:tc>
          <w:tcPr>
            <w:tcW w:w="1687" w:type="dxa"/>
            <w:vAlign w:val="center"/>
          </w:tcPr>
          <w:p w14:paraId="08785A29">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建筑垃圾</w:t>
            </w:r>
          </w:p>
        </w:tc>
        <w:tc>
          <w:tcPr>
            <w:tcW w:w="2450" w:type="dxa"/>
            <w:vAlign w:val="center"/>
          </w:tcPr>
          <w:p w14:paraId="34823CC9">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lang w:val="en-US"/>
              </w:rPr>
            </w:pPr>
            <w:r>
              <w:rPr>
                <w:rFonts w:hint="eastAsia" w:cs="Times New Roman"/>
                <w:b w:val="0"/>
                <w:bCs w:val="0"/>
                <w:color w:val="auto"/>
                <w:sz w:val="24"/>
                <w:szCs w:val="24"/>
                <w:highlight w:val="none"/>
                <w:lang w:val="en-US" w:eastAsia="zh-CN"/>
              </w:rPr>
              <w:t>400t</w:t>
            </w:r>
          </w:p>
        </w:tc>
        <w:tc>
          <w:tcPr>
            <w:tcW w:w="2428" w:type="dxa"/>
            <w:vAlign w:val="center"/>
          </w:tcPr>
          <w:p w14:paraId="3F1E6EC2">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400t</w:t>
            </w:r>
          </w:p>
        </w:tc>
      </w:tr>
      <w:tr w14:paraId="0C56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87" w:type="dxa"/>
            <w:vMerge w:val="continue"/>
            <w:vAlign w:val="center"/>
          </w:tcPr>
          <w:p w14:paraId="5300E6ED">
            <w:pPr>
              <w:jc w:val="center"/>
              <w:rPr>
                <w:rFonts w:hint="default" w:ascii="Times New Roman" w:hAnsi="Times New Roman" w:cs="Times New Roman"/>
                <w:color w:val="auto"/>
                <w:sz w:val="24"/>
                <w:szCs w:val="24"/>
                <w:highlight w:val="none"/>
              </w:rPr>
            </w:pPr>
          </w:p>
        </w:tc>
        <w:tc>
          <w:tcPr>
            <w:tcW w:w="410" w:type="dxa"/>
            <w:vMerge w:val="continue"/>
            <w:vAlign w:val="center"/>
          </w:tcPr>
          <w:p w14:paraId="6A7BBDFC">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rPr>
            </w:pPr>
          </w:p>
        </w:tc>
        <w:tc>
          <w:tcPr>
            <w:tcW w:w="1616" w:type="dxa"/>
            <w:vAlign w:val="center"/>
          </w:tcPr>
          <w:p w14:paraId="50C91DBF">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rPr>
            </w:pPr>
            <w:r>
              <w:rPr>
                <w:rFonts w:hint="eastAsia" w:cs="Times New Roman"/>
                <w:b w:val="0"/>
                <w:bCs w:val="0"/>
                <w:color w:val="auto"/>
                <w:sz w:val="24"/>
                <w:szCs w:val="24"/>
                <w:highlight w:val="none"/>
                <w:lang w:eastAsia="zh-CN"/>
              </w:rPr>
              <w:t>施工人员</w:t>
            </w:r>
          </w:p>
        </w:tc>
        <w:tc>
          <w:tcPr>
            <w:tcW w:w="1687" w:type="dxa"/>
            <w:vAlign w:val="center"/>
          </w:tcPr>
          <w:p w14:paraId="0459C0DC">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生活垃圾</w:t>
            </w:r>
          </w:p>
        </w:tc>
        <w:tc>
          <w:tcPr>
            <w:tcW w:w="2450" w:type="dxa"/>
            <w:vAlign w:val="center"/>
          </w:tcPr>
          <w:p w14:paraId="09741AD1">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0.675t</w:t>
            </w:r>
          </w:p>
        </w:tc>
        <w:tc>
          <w:tcPr>
            <w:tcW w:w="2428" w:type="dxa"/>
            <w:vAlign w:val="center"/>
          </w:tcPr>
          <w:p w14:paraId="04138B24">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rPr>
            </w:pPr>
            <w:r>
              <w:rPr>
                <w:rFonts w:hint="eastAsia" w:cs="Times New Roman"/>
                <w:b w:val="0"/>
                <w:bCs w:val="0"/>
                <w:color w:val="auto"/>
                <w:sz w:val="24"/>
                <w:szCs w:val="24"/>
                <w:highlight w:val="none"/>
                <w:lang w:val="en-US" w:eastAsia="zh-CN"/>
              </w:rPr>
              <w:t>0.675t</w:t>
            </w:r>
          </w:p>
        </w:tc>
      </w:tr>
      <w:tr w14:paraId="0172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887" w:type="dxa"/>
            <w:vMerge w:val="continue"/>
            <w:vAlign w:val="center"/>
          </w:tcPr>
          <w:p w14:paraId="3DD7860B">
            <w:pPr>
              <w:jc w:val="center"/>
              <w:rPr>
                <w:rFonts w:hint="default" w:ascii="Times New Roman" w:hAnsi="Times New Roman" w:cs="Times New Roman"/>
                <w:color w:val="auto"/>
                <w:sz w:val="24"/>
                <w:szCs w:val="24"/>
                <w:highlight w:val="none"/>
              </w:rPr>
            </w:pPr>
          </w:p>
        </w:tc>
        <w:tc>
          <w:tcPr>
            <w:tcW w:w="410" w:type="dxa"/>
            <w:vMerge w:val="restart"/>
            <w:vAlign w:val="center"/>
          </w:tcPr>
          <w:p w14:paraId="723FFCCC">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运营期</w:t>
            </w:r>
          </w:p>
        </w:tc>
        <w:tc>
          <w:tcPr>
            <w:tcW w:w="1616" w:type="dxa"/>
            <w:vAlign w:val="center"/>
          </w:tcPr>
          <w:p w14:paraId="095474ED">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eastAsia" w:ascii="Times New Roman" w:hAnsi="Times New Roman" w:eastAsia="宋体" w:cs="Times New Roman"/>
                <w:b w:val="0"/>
                <w:bCs w:val="0"/>
                <w:color w:val="auto"/>
                <w:sz w:val="24"/>
                <w:szCs w:val="24"/>
                <w:highlight w:val="none"/>
                <w:lang w:eastAsia="zh-CN"/>
              </w:rPr>
            </w:pPr>
            <w:r>
              <w:rPr>
                <w:rFonts w:hint="eastAsia" w:cs="Times New Roman"/>
                <w:b w:val="0"/>
                <w:bCs w:val="0"/>
                <w:color w:val="auto"/>
                <w:sz w:val="24"/>
                <w:szCs w:val="24"/>
                <w:highlight w:val="none"/>
                <w:lang w:eastAsia="zh-CN"/>
              </w:rPr>
              <w:t>医护人员、病人</w:t>
            </w:r>
          </w:p>
        </w:tc>
        <w:tc>
          <w:tcPr>
            <w:tcW w:w="1687" w:type="dxa"/>
            <w:vAlign w:val="center"/>
          </w:tcPr>
          <w:p w14:paraId="466DC92C">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eastAsia" w:ascii="Times New Roman" w:hAnsi="Times New Roman" w:eastAsia="宋体" w:cs="Times New Roman"/>
                <w:b w:val="0"/>
                <w:bCs w:val="0"/>
                <w:color w:val="auto"/>
                <w:sz w:val="24"/>
                <w:szCs w:val="24"/>
                <w:highlight w:val="none"/>
                <w:lang w:eastAsia="zh-CN"/>
              </w:rPr>
            </w:pPr>
            <w:r>
              <w:rPr>
                <w:rFonts w:hint="eastAsia" w:cs="Times New Roman"/>
                <w:b w:val="0"/>
                <w:bCs w:val="0"/>
                <w:color w:val="auto"/>
                <w:sz w:val="24"/>
                <w:szCs w:val="24"/>
                <w:highlight w:val="none"/>
                <w:lang w:eastAsia="zh-CN"/>
              </w:rPr>
              <w:t>生活垃圾</w:t>
            </w:r>
          </w:p>
        </w:tc>
        <w:tc>
          <w:tcPr>
            <w:tcW w:w="2450" w:type="dxa"/>
            <w:vAlign w:val="center"/>
          </w:tcPr>
          <w:p w14:paraId="0AEC15B6">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rPr>
            </w:pPr>
            <w:r>
              <w:rPr>
                <w:rFonts w:hint="eastAsia" w:cs="Times New Roman"/>
                <w:b w:val="0"/>
                <w:bCs w:val="0"/>
                <w:color w:val="auto"/>
                <w:sz w:val="24"/>
                <w:highlight w:val="none"/>
                <w:lang w:val="en-US" w:eastAsia="zh-CN"/>
              </w:rPr>
              <w:t>37.41</w:t>
            </w:r>
            <w:r>
              <w:rPr>
                <w:rFonts w:hint="default" w:ascii="Times New Roman" w:hAnsi="Times New Roman" w:cs="Times New Roman"/>
                <w:b w:val="0"/>
                <w:bCs w:val="0"/>
                <w:color w:val="auto"/>
                <w:sz w:val="24"/>
                <w:szCs w:val="24"/>
                <w:highlight w:val="none"/>
              </w:rPr>
              <w:t>t/a</w:t>
            </w:r>
          </w:p>
        </w:tc>
        <w:tc>
          <w:tcPr>
            <w:tcW w:w="2428" w:type="dxa"/>
            <w:vAlign w:val="center"/>
          </w:tcPr>
          <w:p w14:paraId="3190264E">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rPr>
            </w:pPr>
            <w:r>
              <w:rPr>
                <w:rFonts w:hint="eastAsia" w:cs="Times New Roman"/>
                <w:b w:val="0"/>
                <w:bCs w:val="0"/>
                <w:color w:val="auto"/>
                <w:sz w:val="24"/>
                <w:highlight w:val="none"/>
                <w:lang w:val="en-US" w:eastAsia="zh-CN"/>
              </w:rPr>
              <w:t>37.41</w:t>
            </w:r>
            <w:r>
              <w:rPr>
                <w:rFonts w:hint="default" w:ascii="Times New Roman" w:hAnsi="Times New Roman" w:cs="Times New Roman"/>
                <w:b w:val="0"/>
                <w:bCs w:val="0"/>
                <w:color w:val="auto"/>
                <w:sz w:val="24"/>
                <w:szCs w:val="24"/>
                <w:highlight w:val="none"/>
              </w:rPr>
              <w:t>t/a</w:t>
            </w:r>
          </w:p>
        </w:tc>
      </w:tr>
      <w:tr w14:paraId="316D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7" w:type="dxa"/>
            <w:vMerge w:val="continue"/>
            <w:vAlign w:val="center"/>
          </w:tcPr>
          <w:p w14:paraId="65B9C755">
            <w:pPr>
              <w:jc w:val="center"/>
              <w:rPr>
                <w:rFonts w:hint="default" w:ascii="Times New Roman" w:hAnsi="Times New Roman" w:cs="Times New Roman"/>
                <w:color w:val="auto"/>
                <w:sz w:val="24"/>
                <w:szCs w:val="24"/>
                <w:highlight w:val="none"/>
              </w:rPr>
            </w:pPr>
          </w:p>
        </w:tc>
        <w:tc>
          <w:tcPr>
            <w:tcW w:w="410" w:type="dxa"/>
            <w:vMerge w:val="continue"/>
            <w:vAlign w:val="center"/>
          </w:tcPr>
          <w:p w14:paraId="5A0B357F">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rPr>
            </w:pPr>
          </w:p>
        </w:tc>
        <w:tc>
          <w:tcPr>
            <w:tcW w:w="1616" w:type="dxa"/>
            <w:vAlign w:val="center"/>
          </w:tcPr>
          <w:p w14:paraId="0E7E8BFD">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eastAsia" w:cs="Times New Roman"/>
                <w:b w:val="0"/>
                <w:bCs w:val="0"/>
                <w:color w:val="auto"/>
                <w:sz w:val="24"/>
                <w:szCs w:val="24"/>
                <w:highlight w:val="none"/>
                <w:lang w:eastAsia="zh-CN"/>
              </w:rPr>
            </w:pPr>
            <w:r>
              <w:rPr>
                <w:rFonts w:hint="eastAsia" w:cs="Times New Roman"/>
                <w:b w:val="0"/>
                <w:bCs w:val="0"/>
                <w:color w:val="auto"/>
                <w:sz w:val="24"/>
                <w:szCs w:val="24"/>
                <w:highlight w:val="none"/>
                <w:lang w:eastAsia="zh-CN"/>
              </w:rPr>
              <w:t>煎药及治疗</w:t>
            </w:r>
          </w:p>
        </w:tc>
        <w:tc>
          <w:tcPr>
            <w:tcW w:w="1687" w:type="dxa"/>
            <w:vAlign w:val="center"/>
          </w:tcPr>
          <w:p w14:paraId="201F7047">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eastAsia" w:cs="Times New Roman"/>
                <w:b w:val="0"/>
                <w:bCs w:val="0"/>
                <w:color w:val="auto"/>
                <w:sz w:val="24"/>
                <w:szCs w:val="24"/>
                <w:highlight w:val="none"/>
                <w:lang w:eastAsia="zh-CN"/>
              </w:rPr>
            </w:pPr>
            <w:r>
              <w:rPr>
                <w:rFonts w:hint="eastAsia" w:ascii="Times New Roman" w:hAnsi="Times New Roman" w:cs="Times New Roman"/>
                <w:b w:val="0"/>
                <w:bCs w:val="0"/>
                <w:color w:val="auto"/>
                <w:sz w:val="24"/>
                <w:szCs w:val="24"/>
                <w:highlight w:val="none"/>
                <w:lang w:val="en-US" w:eastAsia="zh-CN"/>
              </w:rPr>
              <w:t>煎药药渣及废弃中药材</w:t>
            </w:r>
          </w:p>
        </w:tc>
        <w:tc>
          <w:tcPr>
            <w:tcW w:w="2450" w:type="dxa"/>
            <w:vAlign w:val="center"/>
          </w:tcPr>
          <w:p w14:paraId="6944C0D1">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eastAsia" w:cs="Times New Roman"/>
                <w:b w:val="0"/>
                <w:bCs w:val="0"/>
                <w:color w:val="auto"/>
                <w:sz w:val="24"/>
                <w:highlight w:val="none"/>
                <w:lang w:val="en-US" w:eastAsia="zh-CN"/>
              </w:rPr>
            </w:pPr>
            <w:r>
              <w:rPr>
                <w:rFonts w:hint="eastAsia" w:cs="Times New Roman"/>
                <w:b w:val="0"/>
                <w:bCs w:val="0"/>
                <w:color w:val="auto"/>
                <w:sz w:val="24"/>
                <w:szCs w:val="24"/>
                <w:highlight w:val="none"/>
                <w:lang w:val="en-US" w:eastAsia="zh-CN"/>
              </w:rPr>
              <w:t>6.8t/a</w:t>
            </w:r>
          </w:p>
        </w:tc>
        <w:tc>
          <w:tcPr>
            <w:tcW w:w="2428" w:type="dxa"/>
            <w:vAlign w:val="center"/>
          </w:tcPr>
          <w:p w14:paraId="026B334E">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eastAsia" w:cs="Times New Roman"/>
                <w:b w:val="0"/>
                <w:bCs w:val="0"/>
                <w:color w:val="auto"/>
                <w:sz w:val="24"/>
                <w:highlight w:val="none"/>
                <w:lang w:val="en-US" w:eastAsia="zh-CN"/>
              </w:rPr>
            </w:pPr>
            <w:r>
              <w:rPr>
                <w:rFonts w:hint="eastAsia" w:cs="Times New Roman"/>
                <w:b w:val="0"/>
                <w:bCs w:val="0"/>
                <w:color w:val="auto"/>
                <w:sz w:val="24"/>
                <w:szCs w:val="24"/>
                <w:highlight w:val="none"/>
                <w:lang w:val="en-US" w:eastAsia="zh-CN"/>
              </w:rPr>
              <w:t>6.8t/a</w:t>
            </w:r>
          </w:p>
        </w:tc>
      </w:tr>
      <w:tr w14:paraId="6FB9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87" w:type="dxa"/>
            <w:vMerge w:val="continue"/>
            <w:vAlign w:val="center"/>
          </w:tcPr>
          <w:p w14:paraId="1F7EC96C">
            <w:pPr>
              <w:jc w:val="center"/>
              <w:rPr>
                <w:rFonts w:hint="default" w:ascii="Times New Roman" w:hAnsi="Times New Roman" w:cs="Times New Roman"/>
                <w:color w:val="auto"/>
                <w:sz w:val="24"/>
                <w:szCs w:val="24"/>
                <w:highlight w:val="none"/>
              </w:rPr>
            </w:pPr>
          </w:p>
        </w:tc>
        <w:tc>
          <w:tcPr>
            <w:tcW w:w="410" w:type="dxa"/>
            <w:vMerge w:val="continue"/>
            <w:vAlign w:val="center"/>
          </w:tcPr>
          <w:p w14:paraId="34AC2C59">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rPr>
            </w:pPr>
          </w:p>
        </w:tc>
        <w:tc>
          <w:tcPr>
            <w:tcW w:w="1616" w:type="dxa"/>
            <w:vAlign w:val="center"/>
          </w:tcPr>
          <w:p w14:paraId="2FA5F877">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rPr>
            </w:pPr>
            <w:r>
              <w:rPr>
                <w:rFonts w:hint="eastAsia" w:cs="Times New Roman"/>
                <w:b w:val="0"/>
                <w:bCs w:val="0"/>
                <w:color w:val="auto"/>
                <w:sz w:val="24"/>
                <w:szCs w:val="24"/>
                <w:highlight w:val="none"/>
                <w:lang w:val="zh-CN"/>
              </w:rPr>
              <w:t>污水处理站</w:t>
            </w:r>
          </w:p>
        </w:tc>
        <w:tc>
          <w:tcPr>
            <w:tcW w:w="1687" w:type="dxa"/>
            <w:vAlign w:val="center"/>
          </w:tcPr>
          <w:p w14:paraId="2FAEE60A">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lang w:val="en-US" w:eastAsia="zh-CN"/>
              </w:rPr>
            </w:pPr>
            <w:r>
              <w:rPr>
                <w:rFonts w:hint="eastAsia" w:cs="Times New Roman"/>
                <w:b w:val="0"/>
                <w:bCs w:val="0"/>
                <w:color w:val="auto"/>
                <w:sz w:val="24"/>
                <w:szCs w:val="24"/>
                <w:highlight w:val="none"/>
                <w:lang w:eastAsia="zh-CN"/>
              </w:rPr>
              <w:t>污泥及栅渣</w:t>
            </w:r>
          </w:p>
        </w:tc>
        <w:tc>
          <w:tcPr>
            <w:tcW w:w="2450" w:type="dxa"/>
            <w:vAlign w:val="center"/>
          </w:tcPr>
          <w:p w14:paraId="5599FC1D">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lang w:val="en-US" w:eastAsia="zh-CN"/>
              </w:rPr>
            </w:pPr>
            <w:r>
              <w:rPr>
                <w:rFonts w:hint="eastAsia" w:cs="Times New Roman"/>
                <w:b w:val="0"/>
                <w:bCs w:val="0"/>
                <w:color w:val="auto"/>
                <w:sz w:val="24"/>
                <w:highlight w:val="none"/>
                <w:lang w:val="en-US" w:eastAsia="zh-CN"/>
              </w:rPr>
              <w:t>0.15</w:t>
            </w:r>
            <w:r>
              <w:rPr>
                <w:rFonts w:hint="default" w:ascii="Times New Roman" w:hAnsi="Times New Roman" w:cs="Times New Roman"/>
                <w:b w:val="0"/>
                <w:bCs w:val="0"/>
                <w:color w:val="auto"/>
                <w:sz w:val="24"/>
                <w:highlight w:val="none"/>
              </w:rPr>
              <w:t>t/a</w:t>
            </w:r>
          </w:p>
        </w:tc>
        <w:tc>
          <w:tcPr>
            <w:tcW w:w="2428" w:type="dxa"/>
            <w:vAlign w:val="center"/>
          </w:tcPr>
          <w:p w14:paraId="50263E20">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rPr>
            </w:pPr>
            <w:r>
              <w:rPr>
                <w:rFonts w:hint="eastAsia" w:cs="Times New Roman"/>
                <w:b w:val="0"/>
                <w:bCs w:val="0"/>
                <w:color w:val="auto"/>
                <w:sz w:val="24"/>
                <w:highlight w:val="none"/>
                <w:lang w:val="en-US" w:eastAsia="zh-CN"/>
              </w:rPr>
              <w:t>0.15</w:t>
            </w:r>
            <w:r>
              <w:rPr>
                <w:rFonts w:hint="default" w:ascii="Times New Roman" w:hAnsi="Times New Roman" w:cs="Times New Roman"/>
                <w:b w:val="0"/>
                <w:bCs w:val="0"/>
                <w:color w:val="auto"/>
                <w:sz w:val="24"/>
                <w:highlight w:val="none"/>
              </w:rPr>
              <w:t>t/a</w:t>
            </w:r>
          </w:p>
        </w:tc>
      </w:tr>
      <w:tr w14:paraId="342F8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887" w:type="dxa"/>
            <w:vMerge w:val="continue"/>
            <w:vAlign w:val="center"/>
          </w:tcPr>
          <w:p w14:paraId="536DE03F">
            <w:pPr>
              <w:jc w:val="center"/>
              <w:rPr>
                <w:rFonts w:hint="default" w:ascii="Times New Roman" w:hAnsi="Times New Roman" w:cs="Times New Roman"/>
                <w:color w:val="auto"/>
                <w:sz w:val="24"/>
                <w:szCs w:val="24"/>
                <w:highlight w:val="none"/>
              </w:rPr>
            </w:pPr>
          </w:p>
        </w:tc>
        <w:tc>
          <w:tcPr>
            <w:tcW w:w="410" w:type="dxa"/>
            <w:vMerge w:val="continue"/>
            <w:vAlign w:val="center"/>
          </w:tcPr>
          <w:p w14:paraId="42F5E4C9">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rPr>
            </w:pPr>
          </w:p>
        </w:tc>
        <w:tc>
          <w:tcPr>
            <w:tcW w:w="1616" w:type="dxa"/>
            <w:vAlign w:val="center"/>
          </w:tcPr>
          <w:p w14:paraId="1568943E">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rPr>
            </w:pPr>
            <w:r>
              <w:rPr>
                <w:rFonts w:hint="eastAsia" w:cs="Times New Roman"/>
                <w:b w:val="0"/>
                <w:bCs w:val="0"/>
                <w:color w:val="auto"/>
                <w:sz w:val="24"/>
                <w:szCs w:val="24"/>
                <w:highlight w:val="none"/>
                <w:lang w:eastAsia="zh-CN"/>
              </w:rPr>
              <w:t>病人</w:t>
            </w:r>
          </w:p>
        </w:tc>
        <w:tc>
          <w:tcPr>
            <w:tcW w:w="1687" w:type="dxa"/>
            <w:vAlign w:val="center"/>
          </w:tcPr>
          <w:p w14:paraId="056CAD3A">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eastAsia" w:ascii="Times New Roman" w:hAnsi="Times New Roman" w:eastAsia="宋体" w:cs="Times New Roman"/>
                <w:b w:val="0"/>
                <w:bCs w:val="0"/>
                <w:color w:val="auto"/>
                <w:sz w:val="24"/>
                <w:szCs w:val="24"/>
                <w:highlight w:val="none"/>
                <w:lang w:eastAsia="zh-CN"/>
              </w:rPr>
            </w:pPr>
            <w:r>
              <w:rPr>
                <w:rFonts w:hint="eastAsia" w:cs="Times New Roman"/>
                <w:b w:val="0"/>
                <w:bCs w:val="0"/>
                <w:color w:val="auto"/>
                <w:sz w:val="24"/>
                <w:szCs w:val="24"/>
                <w:highlight w:val="none"/>
                <w:lang w:eastAsia="zh-CN"/>
              </w:rPr>
              <w:t>医疗废物</w:t>
            </w:r>
          </w:p>
        </w:tc>
        <w:tc>
          <w:tcPr>
            <w:tcW w:w="2450" w:type="dxa"/>
            <w:vAlign w:val="center"/>
          </w:tcPr>
          <w:p w14:paraId="6EF14DA3">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highlight w:val="none"/>
                <w:lang w:val="en-US" w:eastAsia="zh-CN"/>
              </w:rPr>
              <w:t>9.64</w:t>
            </w:r>
            <w:r>
              <w:rPr>
                <w:rFonts w:hint="default" w:ascii="Times New Roman" w:hAnsi="Times New Roman" w:cs="Times New Roman"/>
                <w:b w:val="0"/>
                <w:bCs w:val="0"/>
                <w:color w:val="auto"/>
                <w:sz w:val="24"/>
                <w:highlight w:val="none"/>
              </w:rPr>
              <w:t>t/a</w:t>
            </w:r>
          </w:p>
        </w:tc>
        <w:tc>
          <w:tcPr>
            <w:tcW w:w="2428" w:type="dxa"/>
            <w:vAlign w:val="center"/>
          </w:tcPr>
          <w:p w14:paraId="5420AFE6">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cs="Times New Roman"/>
                <w:b w:val="0"/>
                <w:bCs w:val="0"/>
                <w:color w:val="auto"/>
                <w:sz w:val="24"/>
                <w:szCs w:val="24"/>
                <w:highlight w:val="none"/>
              </w:rPr>
            </w:pPr>
            <w:r>
              <w:rPr>
                <w:rFonts w:hint="eastAsia" w:cs="Times New Roman"/>
                <w:b w:val="0"/>
                <w:bCs w:val="0"/>
                <w:color w:val="auto"/>
                <w:sz w:val="24"/>
                <w:highlight w:val="none"/>
                <w:lang w:val="en-US" w:eastAsia="zh-CN"/>
              </w:rPr>
              <w:t>9.64</w:t>
            </w:r>
            <w:r>
              <w:rPr>
                <w:rFonts w:hint="default" w:ascii="Times New Roman" w:hAnsi="Times New Roman" w:cs="Times New Roman"/>
                <w:b w:val="0"/>
                <w:bCs w:val="0"/>
                <w:color w:val="auto"/>
                <w:sz w:val="24"/>
                <w:highlight w:val="none"/>
              </w:rPr>
              <w:t>t/a</w:t>
            </w:r>
          </w:p>
        </w:tc>
      </w:tr>
      <w:tr w14:paraId="2812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87" w:type="dxa"/>
            <w:vMerge w:val="restart"/>
            <w:vAlign w:val="center"/>
          </w:tcPr>
          <w:p w14:paraId="0D162FC6">
            <w:pPr>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噪</w:t>
            </w:r>
          </w:p>
          <w:p w14:paraId="195E0A1B">
            <w:pPr>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声</w:t>
            </w:r>
          </w:p>
        </w:tc>
        <w:tc>
          <w:tcPr>
            <w:tcW w:w="410" w:type="dxa"/>
            <w:vAlign w:val="center"/>
          </w:tcPr>
          <w:p w14:paraId="57069CB6">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施工期</w:t>
            </w:r>
          </w:p>
        </w:tc>
        <w:tc>
          <w:tcPr>
            <w:tcW w:w="1616" w:type="dxa"/>
            <w:vAlign w:val="center"/>
          </w:tcPr>
          <w:p w14:paraId="5DC545D3">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施工</w:t>
            </w:r>
            <w:r>
              <w:rPr>
                <w:rFonts w:hint="eastAsia" w:cs="Times New Roman"/>
                <w:b w:val="0"/>
                <w:bCs w:val="0"/>
                <w:color w:val="auto"/>
                <w:sz w:val="24"/>
                <w:szCs w:val="24"/>
                <w:highlight w:val="none"/>
                <w:lang w:eastAsia="zh-CN"/>
              </w:rPr>
              <w:t>设备</w:t>
            </w:r>
            <w:r>
              <w:rPr>
                <w:rFonts w:hint="default" w:ascii="Times New Roman" w:hAnsi="Times New Roman" w:eastAsia="宋体" w:cs="Times New Roman"/>
                <w:b w:val="0"/>
                <w:bCs w:val="0"/>
                <w:color w:val="auto"/>
                <w:sz w:val="24"/>
                <w:szCs w:val="24"/>
                <w:highlight w:val="none"/>
              </w:rPr>
              <w:t>，运输车辆</w:t>
            </w:r>
          </w:p>
        </w:tc>
        <w:tc>
          <w:tcPr>
            <w:tcW w:w="1687" w:type="dxa"/>
            <w:vMerge w:val="restart"/>
            <w:vAlign w:val="center"/>
          </w:tcPr>
          <w:p w14:paraId="3F56117D">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eastAsia="宋体" w:cs="Times New Roman"/>
                <w:b w:val="0"/>
                <w:bCs w:val="0"/>
                <w:color w:val="auto"/>
                <w:sz w:val="24"/>
                <w:szCs w:val="24"/>
                <w:highlight w:val="none"/>
              </w:rPr>
            </w:pPr>
            <w:r>
              <w:rPr>
                <w:rFonts w:hint="eastAsia" w:cs="Times New Roman"/>
                <w:b w:val="0"/>
                <w:bCs w:val="0"/>
                <w:color w:val="auto"/>
                <w:sz w:val="24"/>
                <w:szCs w:val="24"/>
                <w:highlight w:val="none"/>
                <w:lang w:val="en-US" w:eastAsia="zh-CN"/>
              </w:rPr>
              <w:t>等效声</w:t>
            </w:r>
            <w:r>
              <w:rPr>
                <w:rFonts w:hint="default" w:ascii="Times New Roman" w:hAnsi="Times New Roman" w:eastAsia="宋体" w:cs="Times New Roman"/>
                <w:b w:val="0"/>
                <w:bCs w:val="0"/>
                <w:color w:val="auto"/>
                <w:sz w:val="24"/>
                <w:szCs w:val="24"/>
                <w:highlight w:val="none"/>
                <w:lang w:val="en-US" w:eastAsia="zh-CN"/>
              </w:rPr>
              <w:t>级</w:t>
            </w:r>
          </w:p>
        </w:tc>
        <w:tc>
          <w:tcPr>
            <w:tcW w:w="2450" w:type="dxa"/>
            <w:vAlign w:val="center"/>
          </w:tcPr>
          <w:p w14:paraId="6AE57AA6">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75</w:t>
            </w:r>
            <w:r>
              <w:rPr>
                <w:rFonts w:hint="default" w:ascii="Times New Roman" w:hAnsi="Times New Roman" w:eastAsia="宋体" w:cs="Times New Roman"/>
                <w:b w:val="0"/>
                <w:bCs w:val="0"/>
                <w:color w:val="auto"/>
                <w:sz w:val="24"/>
                <w:szCs w:val="24"/>
                <w:highlight w:val="none"/>
              </w:rPr>
              <w:t>~</w:t>
            </w:r>
            <w:r>
              <w:rPr>
                <w:rFonts w:hint="eastAsia" w:cs="Times New Roman"/>
                <w:b w:val="0"/>
                <w:bCs w:val="0"/>
                <w:color w:val="auto"/>
                <w:sz w:val="24"/>
                <w:szCs w:val="24"/>
                <w:highlight w:val="none"/>
                <w:lang w:val="en-US" w:eastAsia="zh-CN"/>
              </w:rPr>
              <w:t>8</w:t>
            </w:r>
            <w:r>
              <w:rPr>
                <w:rFonts w:hint="default" w:ascii="Times New Roman" w:hAnsi="Times New Roman" w:eastAsia="宋体" w:cs="Times New Roman"/>
                <w:b w:val="0"/>
                <w:bCs w:val="0"/>
                <w:color w:val="auto"/>
                <w:sz w:val="24"/>
                <w:szCs w:val="24"/>
                <w:highlight w:val="none"/>
                <w:lang w:val="en-US" w:eastAsia="zh-CN"/>
              </w:rPr>
              <w:t>0</w:t>
            </w:r>
            <w:r>
              <w:rPr>
                <w:rFonts w:hint="default" w:ascii="Times New Roman" w:hAnsi="Times New Roman" w:eastAsia="宋体" w:cs="Times New Roman"/>
                <w:b w:val="0"/>
                <w:bCs w:val="0"/>
                <w:color w:val="auto"/>
                <w:sz w:val="24"/>
                <w:szCs w:val="24"/>
                <w:highlight w:val="none"/>
              </w:rPr>
              <w:t>dB(A)</w:t>
            </w:r>
          </w:p>
        </w:tc>
        <w:tc>
          <w:tcPr>
            <w:tcW w:w="2428" w:type="dxa"/>
            <w:vAlign w:val="center"/>
          </w:tcPr>
          <w:p w14:paraId="001BFC3D">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满足《建筑施工场界环境噪声排放标准》（GB12523-2011）</w:t>
            </w:r>
          </w:p>
        </w:tc>
      </w:tr>
      <w:tr w14:paraId="50534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887" w:type="dxa"/>
            <w:vMerge w:val="continue"/>
            <w:vAlign w:val="center"/>
          </w:tcPr>
          <w:p w14:paraId="7CD6DD3A">
            <w:pPr>
              <w:jc w:val="center"/>
              <w:rPr>
                <w:rFonts w:hint="default" w:ascii="Times New Roman" w:hAnsi="Times New Roman" w:cs="Times New Roman"/>
                <w:color w:val="auto"/>
                <w:sz w:val="24"/>
                <w:szCs w:val="24"/>
                <w:highlight w:val="none"/>
              </w:rPr>
            </w:pPr>
          </w:p>
        </w:tc>
        <w:tc>
          <w:tcPr>
            <w:tcW w:w="410" w:type="dxa"/>
            <w:vAlign w:val="center"/>
          </w:tcPr>
          <w:p w14:paraId="23007444">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运营期</w:t>
            </w:r>
          </w:p>
        </w:tc>
        <w:tc>
          <w:tcPr>
            <w:tcW w:w="1616" w:type="dxa"/>
            <w:vAlign w:val="center"/>
          </w:tcPr>
          <w:p w14:paraId="7368B44C">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eastAsia="宋体" w:cs="Times New Roman"/>
                <w:b w:val="0"/>
                <w:bCs w:val="0"/>
                <w:color w:val="auto"/>
                <w:sz w:val="24"/>
                <w:szCs w:val="24"/>
                <w:highlight w:val="none"/>
                <w:lang w:eastAsia="zh-CN"/>
              </w:rPr>
            </w:pPr>
            <w:r>
              <w:rPr>
                <w:rFonts w:hint="default" w:ascii="Times New Roman" w:hAnsi="Times New Roman" w:eastAsia="宋体" w:cs="Times New Roman"/>
                <w:b w:val="0"/>
                <w:bCs w:val="0"/>
                <w:color w:val="auto"/>
                <w:sz w:val="24"/>
                <w:szCs w:val="24"/>
                <w:highlight w:val="none"/>
                <w:lang w:eastAsia="zh-CN"/>
              </w:rPr>
              <w:t>水泵、</w:t>
            </w:r>
            <w:r>
              <w:rPr>
                <w:rFonts w:hint="eastAsia" w:cs="Times New Roman"/>
                <w:b w:val="0"/>
                <w:bCs w:val="0"/>
                <w:color w:val="auto"/>
                <w:sz w:val="24"/>
                <w:szCs w:val="24"/>
                <w:highlight w:val="none"/>
                <w:lang w:eastAsia="zh-CN"/>
              </w:rPr>
              <w:t>冷却机组</w:t>
            </w:r>
          </w:p>
        </w:tc>
        <w:tc>
          <w:tcPr>
            <w:tcW w:w="1687" w:type="dxa"/>
            <w:vMerge w:val="continue"/>
            <w:vAlign w:val="center"/>
          </w:tcPr>
          <w:p w14:paraId="4B11B5DA">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eastAsia="宋体" w:cs="Times New Roman"/>
                <w:b w:val="0"/>
                <w:bCs w:val="0"/>
                <w:color w:val="auto"/>
                <w:sz w:val="24"/>
                <w:szCs w:val="24"/>
                <w:highlight w:val="none"/>
              </w:rPr>
            </w:pPr>
          </w:p>
        </w:tc>
        <w:tc>
          <w:tcPr>
            <w:tcW w:w="2450" w:type="dxa"/>
            <w:vAlign w:val="center"/>
          </w:tcPr>
          <w:p w14:paraId="75C77E7E">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ind w:leftChars="0" w:right="0" w:rightChars="0"/>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val="en-US" w:eastAsia="zh-CN"/>
              </w:rPr>
              <w:t>7</w:t>
            </w:r>
            <w:r>
              <w:rPr>
                <w:rFonts w:hint="default" w:ascii="Times New Roman" w:hAnsi="Times New Roman" w:eastAsia="宋体" w:cs="Times New Roman"/>
                <w:b w:val="0"/>
                <w:bCs w:val="0"/>
                <w:color w:val="auto"/>
                <w:sz w:val="24"/>
                <w:szCs w:val="24"/>
                <w:highlight w:val="none"/>
              </w:rPr>
              <w:t>0~</w:t>
            </w:r>
            <w:r>
              <w:rPr>
                <w:rFonts w:hint="eastAsia" w:cs="Times New Roman"/>
                <w:b w:val="0"/>
                <w:bCs w:val="0"/>
                <w:color w:val="auto"/>
                <w:sz w:val="24"/>
                <w:szCs w:val="24"/>
                <w:highlight w:val="none"/>
                <w:lang w:val="en-US" w:eastAsia="zh-CN"/>
              </w:rPr>
              <w:t>7</w:t>
            </w:r>
            <w:r>
              <w:rPr>
                <w:rFonts w:hint="default" w:ascii="Times New Roman" w:hAnsi="Times New Roman" w:eastAsia="宋体" w:cs="Times New Roman"/>
                <w:b w:val="0"/>
                <w:bCs w:val="0"/>
                <w:color w:val="auto"/>
                <w:sz w:val="24"/>
                <w:szCs w:val="24"/>
                <w:highlight w:val="none"/>
                <w:lang w:val="en-US" w:eastAsia="zh-CN"/>
              </w:rPr>
              <w:t>5</w:t>
            </w:r>
            <w:r>
              <w:rPr>
                <w:rFonts w:hint="default" w:ascii="Times New Roman" w:hAnsi="Times New Roman" w:eastAsia="宋体" w:cs="Times New Roman"/>
                <w:b w:val="0"/>
                <w:bCs w:val="0"/>
                <w:color w:val="auto"/>
                <w:sz w:val="24"/>
                <w:szCs w:val="24"/>
                <w:highlight w:val="none"/>
              </w:rPr>
              <w:t>dB(A)</w:t>
            </w:r>
          </w:p>
        </w:tc>
        <w:tc>
          <w:tcPr>
            <w:tcW w:w="2428" w:type="dxa"/>
            <w:vAlign w:val="center"/>
          </w:tcPr>
          <w:p w14:paraId="136F19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val="0"/>
                <w:bCs w:val="0"/>
                <w:color w:val="auto"/>
                <w:sz w:val="24"/>
                <w:szCs w:val="24"/>
                <w:highlight w:val="none"/>
              </w:rPr>
            </w:pPr>
            <w:r>
              <w:rPr>
                <w:rFonts w:hint="eastAsia" w:cs="Times New Roman"/>
                <w:b w:val="0"/>
                <w:bCs w:val="0"/>
                <w:color w:val="auto"/>
                <w:sz w:val="24"/>
                <w:szCs w:val="24"/>
                <w:highlight w:val="none"/>
                <w:lang w:eastAsia="zh-CN"/>
              </w:rPr>
              <w:t>院界噪声</w:t>
            </w:r>
            <w:r>
              <w:rPr>
                <w:rFonts w:hint="default" w:ascii="Times New Roman" w:hAnsi="Times New Roman" w:eastAsia="宋体" w:cs="Times New Roman"/>
                <w:b w:val="0"/>
                <w:bCs w:val="0"/>
                <w:color w:val="auto"/>
                <w:sz w:val="24"/>
                <w:szCs w:val="24"/>
                <w:highlight w:val="none"/>
              </w:rPr>
              <w:t>满足《工业企业厂界环境噪声排放标准》（GB12348-2008）</w:t>
            </w:r>
            <w:r>
              <w:rPr>
                <w:rFonts w:hint="default" w:ascii="Times New Roman" w:hAnsi="Times New Roman" w:eastAsia="宋体" w:cs="Times New Roman"/>
                <w:b w:val="0"/>
                <w:bCs w:val="0"/>
                <w:smallCaps/>
                <w:color w:val="auto"/>
                <w:sz w:val="24"/>
                <w:szCs w:val="24"/>
                <w:highlight w:val="none"/>
              </w:rPr>
              <w:t>中</w:t>
            </w:r>
            <w:r>
              <w:rPr>
                <w:rFonts w:hint="default" w:ascii="Times New Roman" w:hAnsi="Times New Roman" w:eastAsia="宋体" w:cs="Times New Roman"/>
                <w:b w:val="0"/>
                <w:bCs w:val="0"/>
                <w:smallCaps/>
                <w:color w:val="auto"/>
                <w:sz w:val="24"/>
                <w:szCs w:val="24"/>
                <w:highlight w:val="none"/>
                <w:lang w:val="en-US" w:eastAsia="zh-CN"/>
              </w:rPr>
              <w:t>2</w:t>
            </w:r>
            <w:r>
              <w:rPr>
                <w:rFonts w:hint="default" w:ascii="Times New Roman" w:hAnsi="Times New Roman" w:eastAsia="宋体" w:cs="Times New Roman"/>
                <w:b w:val="0"/>
                <w:bCs w:val="0"/>
                <w:smallCaps/>
                <w:color w:val="auto"/>
                <w:sz w:val="24"/>
                <w:szCs w:val="24"/>
                <w:highlight w:val="none"/>
              </w:rPr>
              <w:t>类、4类标准要求</w:t>
            </w:r>
            <w:r>
              <w:rPr>
                <w:rFonts w:hint="eastAsia" w:cs="Times New Roman"/>
                <w:b w:val="0"/>
                <w:bCs w:val="0"/>
                <w:smallCaps/>
                <w:color w:val="auto"/>
                <w:sz w:val="24"/>
                <w:szCs w:val="24"/>
                <w:highlight w:val="none"/>
                <w:lang w:eastAsia="zh-CN"/>
              </w:rPr>
              <w:t>；病房满足</w:t>
            </w:r>
            <w:r>
              <w:rPr>
                <w:rFonts w:hint="default" w:ascii="Times New Roman" w:hAnsi="Times New Roman" w:eastAsia="宋体" w:cs="Times New Roman"/>
                <w:b w:val="0"/>
                <w:bCs w:val="0"/>
                <w:color w:val="auto"/>
                <w:sz w:val="24"/>
                <w:szCs w:val="24"/>
                <w:highlight w:val="none"/>
              </w:rPr>
              <w:t>《工业企业厂界环境噪声排放标准》（GB12348-2008）</w:t>
            </w:r>
            <w:r>
              <w:rPr>
                <w:rFonts w:hint="default" w:ascii="Times New Roman" w:hAnsi="Times New Roman" w:eastAsia="宋体" w:cs="Times New Roman"/>
                <w:b w:val="0"/>
                <w:bCs w:val="0"/>
                <w:smallCaps/>
                <w:color w:val="auto"/>
                <w:sz w:val="24"/>
                <w:szCs w:val="24"/>
                <w:highlight w:val="none"/>
              </w:rPr>
              <w:t>中</w:t>
            </w:r>
            <w:r>
              <w:rPr>
                <w:rFonts w:hint="eastAsia" w:cs="Times New Roman"/>
                <w:color w:val="auto"/>
                <w:sz w:val="24"/>
                <w:szCs w:val="24"/>
                <w:highlight w:val="none"/>
                <w:lang w:val="en-US" w:eastAsia="zh-CN"/>
              </w:rPr>
              <w:t>2</w:t>
            </w:r>
            <w:r>
              <w:rPr>
                <w:rFonts w:hint="eastAsia" w:ascii="Times New Roman" w:hAnsi="Times New Roman" w:cs="Times New Roman"/>
                <w:color w:val="auto"/>
                <w:sz w:val="24"/>
                <w:szCs w:val="24"/>
                <w:highlight w:val="none"/>
                <w:lang w:eastAsia="zh-CN"/>
              </w:rPr>
              <w:t>类功能区A类</w:t>
            </w:r>
            <w:r>
              <w:rPr>
                <w:rFonts w:hint="eastAsia" w:ascii="Times New Roman" w:hAnsi="Times New Roman" w:cs="Times New Roman"/>
                <w:color w:val="auto"/>
                <w:sz w:val="24"/>
                <w:szCs w:val="24"/>
                <w:highlight w:val="none"/>
              </w:rPr>
              <w:t>房间标准</w:t>
            </w:r>
            <w:r>
              <w:rPr>
                <w:rFonts w:hint="eastAsia" w:ascii="Times New Roman" w:hAnsi="Times New Roman" w:cs="Times New Roman"/>
                <w:color w:val="auto"/>
                <w:sz w:val="24"/>
                <w:szCs w:val="24"/>
                <w:highlight w:val="none"/>
                <w:lang w:eastAsia="zh-CN"/>
              </w:rPr>
              <w:t>，即昼间45dB</w:t>
            </w:r>
            <w:r>
              <w:rPr>
                <w:rFonts w:hint="default" w:ascii="Times New Roman" w:hAnsi="Times New Roman" w:cs="Times New Roman"/>
                <w:color w:val="auto"/>
                <w:sz w:val="24"/>
                <w:szCs w:val="24"/>
                <w:highlight w:val="none"/>
              </w:rPr>
              <w:t>(A)</w:t>
            </w:r>
            <w:r>
              <w:rPr>
                <w:rFonts w:hint="eastAsia"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eastAsia="zh-CN"/>
              </w:rPr>
              <w:t>夜间35dB</w:t>
            </w:r>
            <w:r>
              <w:rPr>
                <w:rFonts w:hint="default" w:ascii="Times New Roman" w:hAnsi="Times New Roman" w:cs="Times New Roman"/>
                <w:color w:val="auto"/>
                <w:sz w:val="24"/>
                <w:szCs w:val="24"/>
                <w:highlight w:val="none"/>
              </w:rPr>
              <w:t>(A)</w:t>
            </w:r>
            <w:r>
              <w:rPr>
                <w:rFonts w:hint="eastAsia" w:ascii="Times New Roman" w:hAnsi="Times New Roman" w:cs="Times New Roman"/>
                <w:color w:val="auto"/>
                <w:sz w:val="24"/>
                <w:szCs w:val="24"/>
                <w:highlight w:val="none"/>
              </w:rPr>
              <w:t>。</w:t>
            </w:r>
          </w:p>
        </w:tc>
      </w:tr>
      <w:tr w14:paraId="7A80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887" w:type="dxa"/>
            <w:tcBorders>
              <w:right w:val="single" w:color="000000" w:sz="4" w:space="0"/>
            </w:tcBorders>
            <w:vAlign w:val="center"/>
          </w:tcPr>
          <w:p w14:paraId="299A1905">
            <w:pPr>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其他</w:t>
            </w:r>
          </w:p>
        </w:tc>
        <w:tc>
          <w:tcPr>
            <w:tcW w:w="8591" w:type="dxa"/>
            <w:gridSpan w:val="5"/>
            <w:tcBorders>
              <w:left w:val="single" w:color="000000" w:sz="4" w:space="0"/>
            </w:tcBorders>
            <w:vAlign w:val="center"/>
          </w:tcPr>
          <w:p w14:paraId="57035D3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kern w:val="44"/>
                <w:sz w:val="24"/>
                <w:szCs w:val="24"/>
                <w:highlight w:val="none"/>
              </w:rPr>
              <w:t>无</w:t>
            </w:r>
          </w:p>
        </w:tc>
      </w:tr>
    </w:tbl>
    <w:p w14:paraId="6164D86C">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主要生态影响(不够时可附另页)</w:t>
      </w:r>
    </w:p>
    <w:p w14:paraId="2611650A">
      <w:pPr>
        <w:snapToGrid w:val="0"/>
        <w:spacing w:line="480" w:lineRule="exact"/>
        <w:ind w:firstLine="480" w:firstLineChars="200"/>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rPr>
        <w:t>本项目</w:t>
      </w:r>
      <w:r>
        <w:rPr>
          <w:rFonts w:hint="eastAsia" w:cs="Times New Roman"/>
          <w:color w:val="auto"/>
          <w:sz w:val="24"/>
          <w:highlight w:val="none"/>
          <w:lang w:eastAsia="zh-CN"/>
        </w:rPr>
        <w:t>依托现有本溪大楼</w:t>
      </w:r>
      <w:r>
        <w:rPr>
          <w:rFonts w:hint="eastAsia" w:cs="Times New Roman"/>
          <w:color w:val="auto"/>
          <w:sz w:val="24"/>
          <w:highlight w:val="none"/>
          <w:lang w:val="en-US" w:eastAsia="zh-CN"/>
        </w:rPr>
        <w:t>3-5层进行建设</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不需新增土地，不会对区域生态环境产生影响。</w:t>
      </w:r>
    </w:p>
    <w:p w14:paraId="67A8E0AF">
      <w:pPr>
        <w:spacing w:line="360" w:lineRule="auto"/>
        <w:rPr>
          <w:rFonts w:hint="default" w:ascii="Times New Roman" w:hAnsi="Times New Roman" w:cs="Times New Roman"/>
          <w:b/>
          <w:bCs/>
          <w:color w:val="auto"/>
          <w:sz w:val="24"/>
          <w:szCs w:val="24"/>
          <w:highlight w:val="none"/>
        </w:rPr>
        <w:sectPr>
          <w:pgSz w:w="11906" w:h="16838"/>
          <w:pgMar w:top="1418" w:right="1418" w:bottom="1559" w:left="1418" w:header="907" w:footer="907" w:gutter="0"/>
          <w:pgBorders w:display="notFirstPage">
            <w:top w:val="single" w:color="auto" w:sz="4" w:space="4"/>
            <w:left w:val="single" w:color="auto" w:sz="4" w:space="10"/>
            <w:bottom w:val="single" w:color="auto" w:sz="4" w:space="4"/>
            <w:right w:val="single" w:color="auto" w:sz="4" w:space="10"/>
          </w:pgBorders>
          <w:pgNumType w:fmt="decimal"/>
          <w:cols w:space="720" w:num="1"/>
          <w:docGrid w:type="lines" w:linePitch="312" w:charSpace="0"/>
        </w:sectPr>
      </w:pPr>
    </w:p>
    <w:p w14:paraId="2310B9EE">
      <w:pPr>
        <w:pStyle w:val="3"/>
        <w:numPr>
          <w:ilvl w:val="0"/>
          <w:numId w:val="0"/>
        </w:numPr>
        <w:adjustRightInd w:val="0"/>
        <w:snapToGrid w:val="0"/>
        <w:spacing w:before="0" w:after="0" w:line="240" w:lineRule="auto"/>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mc:AlternateContent>
          <mc:Choice Requires="wps">
            <w:drawing>
              <wp:anchor distT="0" distB="0" distL="114300" distR="114300" simplePos="0" relativeHeight="251684864" behindDoc="0" locked="0" layoutInCell="1" allowOverlap="1">
                <wp:simplePos x="0" y="0"/>
                <wp:positionH relativeFrom="column">
                  <wp:posOffset>-125730</wp:posOffset>
                </wp:positionH>
                <wp:positionV relativeFrom="paragraph">
                  <wp:posOffset>221615</wp:posOffset>
                </wp:positionV>
                <wp:extent cx="6037580" cy="8629650"/>
                <wp:effectExtent l="4445" t="4445" r="15875" b="14605"/>
                <wp:wrapNone/>
                <wp:docPr id="59" name="矩形 59"/>
                <wp:cNvGraphicFramePr/>
                <a:graphic xmlns:a="http://schemas.openxmlformats.org/drawingml/2006/main">
                  <a:graphicData uri="http://schemas.microsoft.com/office/word/2010/wordprocessingShape">
                    <wps:wsp>
                      <wps:cNvSpPr/>
                      <wps:spPr>
                        <a:xfrm>
                          <a:off x="0" y="0"/>
                          <a:ext cx="6037580" cy="8629650"/>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9.9pt;margin-top:17.45pt;height:679.5pt;width:475.4pt;z-index:251684864;mso-width-relative:page;mso-height-relative:page;" filled="f" stroked="t" coordsize="21600,21600" o:gfxdata="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LGSLtkAAAALAQAADwAAAAAAAAABACAAAAAiAAAAZHJzL2Rvd25yZXYu&#10;eG1sUEsBAhQAFAAAAAgAh07iQOB6FNH6AQAA+AMAAA4AAAAAAAAAAQAgAAAAKAEAAGRycy9lMm9E&#10;b2MueG1sUEsFBgAAAAAGAAYAWQEAAJQFAAAAAA==&#10;">
                <v:fill on="f" focussize="0,0"/>
                <v:stroke color="#000000" joinstyle="miter"/>
                <v:imagedata o:title=""/>
                <o:lock v:ext="edit" aspectratio="f"/>
              </v:rect>
            </w:pict>
          </mc:Fallback>
        </mc:AlternateContent>
      </w:r>
      <w:r>
        <w:rPr>
          <w:rFonts w:hint="default" w:ascii="Times New Roman" w:hAnsi="Times New Roman" w:cs="Times New Roman"/>
          <w:color w:val="auto"/>
          <w:sz w:val="28"/>
          <w:szCs w:val="28"/>
          <w:highlight w:val="none"/>
        </w:rPr>
        <w:t>环境影响分析</w:t>
      </w:r>
    </w:p>
    <w:p w14:paraId="3F30A35C">
      <w:pPr>
        <w:adjustRightInd w:val="0"/>
        <w:snapToGrid w:val="0"/>
        <w:spacing w:line="360" w:lineRule="auto"/>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施工期环境影响简要分析：</w:t>
      </w:r>
    </w:p>
    <w:p w14:paraId="719B358E">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1环境空气影响分析</w:t>
      </w:r>
    </w:p>
    <w:p w14:paraId="06E12E78">
      <w:pPr>
        <w:adjustRightInd w:val="0"/>
        <w:snapToGrid w:val="0"/>
        <w:spacing w:line="360" w:lineRule="auto"/>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（1）施工</w:t>
      </w:r>
      <w:r>
        <w:rPr>
          <w:rFonts w:hint="eastAsia" w:cs="Times New Roman"/>
          <w:color w:val="auto"/>
          <w:sz w:val="24"/>
          <w:szCs w:val="24"/>
          <w:highlight w:val="none"/>
          <w:lang w:eastAsia="zh-CN"/>
        </w:rPr>
        <w:t>粉尘</w:t>
      </w:r>
      <w:r>
        <w:rPr>
          <w:rFonts w:hint="default" w:ascii="Times New Roman" w:hAnsi="Times New Roman" w:cs="Times New Roman"/>
          <w:color w:val="auto"/>
          <w:sz w:val="24"/>
          <w:szCs w:val="24"/>
          <w:highlight w:val="none"/>
        </w:rPr>
        <w:t xml:space="preserve">                                                              </w:t>
      </w:r>
    </w:p>
    <w:p w14:paraId="743ADB00">
      <w:pPr>
        <w:adjustRightInd w:val="0"/>
        <w:snapToGrid w:val="0"/>
        <w:spacing w:line="360" w:lineRule="auto"/>
        <w:ind w:firstLine="480" w:firstLineChars="2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施工期空气污染主要来自</w:t>
      </w:r>
      <w:r>
        <w:rPr>
          <w:rFonts w:hint="eastAsia" w:cs="Times New Roman"/>
          <w:color w:val="auto"/>
          <w:sz w:val="24"/>
          <w:szCs w:val="24"/>
          <w:highlight w:val="none"/>
          <w:lang w:eastAsia="zh-CN"/>
        </w:rPr>
        <w:t>粉尘</w:t>
      </w:r>
      <w:r>
        <w:rPr>
          <w:rFonts w:hint="default" w:ascii="Times New Roman" w:hAnsi="Times New Roman" w:cs="Times New Roman"/>
          <w:color w:val="auto"/>
          <w:sz w:val="24"/>
          <w:szCs w:val="24"/>
          <w:highlight w:val="none"/>
        </w:rPr>
        <w:t>。</w:t>
      </w:r>
    </w:p>
    <w:p w14:paraId="0D6130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sz w:val="24"/>
          <w:szCs w:val="24"/>
          <w:highlight w:val="none"/>
          <w:lang w:val="en-US" w:eastAsia="zh-CN"/>
        </w:rPr>
      </w:pPr>
      <w:r>
        <w:rPr>
          <w:rFonts w:hint="eastAsia" w:cs="Times New Roman"/>
          <w:color w:val="auto"/>
          <w:sz w:val="24"/>
          <w:szCs w:val="24"/>
          <w:highlight w:val="none"/>
          <w:lang w:val="en-US" w:eastAsia="zh-CN"/>
        </w:rPr>
        <w:t>施工</w:t>
      </w:r>
      <w:r>
        <w:rPr>
          <w:rFonts w:hint="eastAsia" w:cs="Times New Roman"/>
          <w:color w:val="auto"/>
          <w:sz w:val="24"/>
          <w:szCs w:val="24"/>
          <w:highlight w:val="none"/>
          <w:lang w:eastAsia="zh-CN"/>
        </w:rPr>
        <w:t>改造阶段</w:t>
      </w:r>
      <w:r>
        <w:rPr>
          <w:rFonts w:hint="eastAsia"/>
          <w:color w:val="auto"/>
          <w:sz w:val="24"/>
          <w:szCs w:val="24"/>
          <w:highlight w:val="none"/>
          <w:lang w:val="en-US" w:eastAsia="zh-CN"/>
        </w:rPr>
        <w:t>墙壁进行拆除与修整、功能设施搭建或砌筑、隔断工序</w:t>
      </w:r>
      <w:r>
        <w:rPr>
          <w:rFonts w:ascii="Times New Roman" w:hAnsi="Times New Roman"/>
          <w:color w:val="auto"/>
          <w:sz w:val="24"/>
          <w:highlight w:val="none"/>
        </w:rPr>
        <w:t>会有</w:t>
      </w:r>
      <w:r>
        <w:rPr>
          <w:rFonts w:hint="eastAsia"/>
          <w:color w:val="auto"/>
          <w:sz w:val="24"/>
          <w:highlight w:val="none"/>
          <w:lang w:eastAsia="zh-CN"/>
        </w:rPr>
        <w:t>粉尘</w:t>
      </w:r>
      <w:r>
        <w:rPr>
          <w:rFonts w:ascii="Times New Roman" w:hAnsi="Times New Roman"/>
          <w:color w:val="auto"/>
          <w:sz w:val="24"/>
          <w:highlight w:val="none"/>
        </w:rPr>
        <w:t>产生</w:t>
      </w:r>
      <w:r>
        <w:rPr>
          <w:rFonts w:hint="eastAsia"/>
          <w:color w:val="auto"/>
          <w:sz w:val="24"/>
          <w:highlight w:val="none"/>
          <w:lang w:eastAsia="zh-CN"/>
        </w:rPr>
        <w:t>。</w:t>
      </w:r>
      <w:r>
        <w:rPr>
          <w:rFonts w:hint="eastAsia" w:cs="Times New Roman"/>
          <w:color w:val="auto"/>
          <w:sz w:val="24"/>
          <w:szCs w:val="24"/>
          <w:highlight w:val="none"/>
          <w:lang w:eastAsia="zh-CN"/>
        </w:rPr>
        <w:t>本项目依托现有本溪大楼</w:t>
      </w:r>
      <w:r>
        <w:rPr>
          <w:rFonts w:hint="eastAsia" w:cs="Times New Roman"/>
          <w:color w:val="auto"/>
          <w:sz w:val="24"/>
          <w:szCs w:val="24"/>
          <w:highlight w:val="none"/>
          <w:lang w:val="en-US" w:eastAsia="zh-CN"/>
        </w:rPr>
        <w:t>3-5层建设，无需动土建设，</w:t>
      </w:r>
      <w:r>
        <w:rPr>
          <w:rFonts w:hint="eastAsia"/>
          <w:color w:val="auto"/>
          <w:sz w:val="24"/>
          <w:szCs w:val="24"/>
          <w:highlight w:val="none"/>
          <w:lang w:val="en-US" w:eastAsia="zh-CN"/>
        </w:rPr>
        <w:t>粉尘产生量很小，且本项目施工阶段均在大楼内部进行，不会对周围环境产生较大影响。考虑到周边居户较集中，人口密度较大，施工过程应采取措施进行防护。建设单位在施工期采取如下措施，进一步预防或减轻施工建设活动对外环境的不良影响：</w:t>
      </w:r>
    </w:p>
    <w:p w14:paraId="2C0EE1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s="Times New Roman"/>
          <w:color w:val="auto"/>
          <w:sz w:val="24"/>
          <w:szCs w:val="24"/>
          <w:highlight w:val="none"/>
          <w:lang w:eastAsia="zh-CN"/>
        </w:rPr>
      </w:pPr>
      <w:r>
        <w:rPr>
          <w:rFonts w:hint="eastAsia" w:cs="Times New Roman"/>
          <w:color w:val="auto"/>
          <w:sz w:val="24"/>
          <w:szCs w:val="24"/>
          <w:highlight w:val="none"/>
          <w:lang w:eastAsia="zh-CN"/>
        </w:rPr>
        <w:t>（1）合理安排工期和作业强度，尽量缩短施工建设周期；</w:t>
      </w:r>
    </w:p>
    <w:p w14:paraId="33E03C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s="Times New Roman"/>
          <w:color w:val="auto"/>
          <w:sz w:val="24"/>
          <w:szCs w:val="24"/>
          <w:highlight w:val="none"/>
          <w:lang w:eastAsia="zh-CN"/>
        </w:rPr>
      </w:pPr>
      <w:r>
        <w:rPr>
          <w:rFonts w:hint="eastAsia" w:cs="Times New Roman"/>
          <w:color w:val="auto"/>
          <w:sz w:val="24"/>
          <w:szCs w:val="24"/>
          <w:highlight w:val="none"/>
          <w:lang w:eastAsia="zh-CN"/>
        </w:rPr>
        <w:t>（2）在科学设置室内换气排气、加强施工人员劳动保护前提下，尽量将作业门窗关闭，且优先关闭面向西侧、南侧门窗，利用墙壁及门窗的阻隔作用，减轻施工废气对周边直接辐射产生的影响；</w:t>
      </w:r>
    </w:p>
    <w:p w14:paraId="5925BAD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s="Times New Roman"/>
          <w:color w:val="auto"/>
          <w:sz w:val="24"/>
          <w:szCs w:val="24"/>
          <w:highlight w:val="none"/>
          <w:lang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3</w:t>
      </w:r>
      <w:r>
        <w:rPr>
          <w:rFonts w:hint="eastAsia" w:cs="Times New Roman"/>
          <w:color w:val="auto"/>
          <w:sz w:val="24"/>
          <w:szCs w:val="24"/>
          <w:highlight w:val="none"/>
          <w:lang w:eastAsia="zh-CN"/>
        </w:rPr>
        <w:t>）在有可能产尘的工作面，勤喷水雾，保证抑尘效果。</w:t>
      </w:r>
    </w:p>
    <w:p w14:paraId="24796AF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s="Times New Roman"/>
          <w:color w:val="auto"/>
          <w:sz w:val="24"/>
          <w:szCs w:val="24"/>
          <w:highlight w:val="none"/>
          <w:lang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4</w:t>
      </w:r>
      <w:r>
        <w:rPr>
          <w:rFonts w:hint="eastAsia" w:cs="Times New Roman"/>
          <w:color w:val="auto"/>
          <w:sz w:val="24"/>
          <w:szCs w:val="24"/>
          <w:highlight w:val="none"/>
          <w:lang w:eastAsia="zh-CN"/>
        </w:rPr>
        <w:t>）不得在施工楼内设置混凝土搅拌装置，砌墙和其它构筑物所用混凝土料，应使用预拌商品混凝土；禁止在楼内烧制沥青、焚烧垃圾等行为。</w:t>
      </w:r>
    </w:p>
    <w:p w14:paraId="539B93D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s="Times New Roman"/>
          <w:color w:val="auto"/>
          <w:sz w:val="24"/>
          <w:szCs w:val="24"/>
          <w:highlight w:val="none"/>
          <w:lang w:eastAsia="zh-CN"/>
        </w:rPr>
      </w:pPr>
      <w:r>
        <w:rPr>
          <w:rFonts w:hint="eastAsia" w:cs="Times New Roman"/>
          <w:color w:val="auto"/>
          <w:sz w:val="24"/>
          <w:szCs w:val="24"/>
          <w:highlight w:val="none"/>
          <w:lang w:eastAsia="zh-CN"/>
        </w:rPr>
        <w:t>采取上述措施后，施工粉尘不会对周边环境产生较大影响。</w:t>
      </w:r>
    </w:p>
    <w:p w14:paraId="506D50F6">
      <w:pPr>
        <w:adjustRightInd w:val="0"/>
        <w:snapToGrid w:val="0"/>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（2）汽车尾气</w:t>
      </w:r>
    </w:p>
    <w:p w14:paraId="70533C3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sz w:val="24"/>
          <w:highlight w:val="none"/>
        </w:rPr>
      </w:pPr>
      <w:r>
        <w:rPr>
          <w:rFonts w:hint="eastAsia"/>
          <w:color w:val="auto"/>
          <w:sz w:val="24"/>
          <w:highlight w:val="none"/>
          <w:lang w:eastAsia="zh-CN"/>
        </w:rPr>
        <w:t>建筑材料</w:t>
      </w:r>
      <w:r>
        <w:rPr>
          <w:rFonts w:hint="eastAsia"/>
          <w:color w:val="auto"/>
          <w:sz w:val="24"/>
          <w:highlight w:val="none"/>
        </w:rPr>
        <w:t>运输车辆将产生尾气，排放的主要污染物为NO</w:t>
      </w:r>
      <w:r>
        <w:rPr>
          <w:rFonts w:hint="eastAsia"/>
          <w:color w:val="auto"/>
          <w:sz w:val="24"/>
          <w:highlight w:val="none"/>
          <w:vertAlign w:val="subscript"/>
        </w:rPr>
        <w:t>X</w:t>
      </w:r>
      <w:r>
        <w:rPr>
          <w:rFonts w:hint="eastAsia"/>
          <w:color w:val="auto"/>
          <w:sz w:val="24"/>
          <w:highlight w:val="none"/>
        </w:rPr>
        <w:t>、CO、THC等。中型车辆平均时速为</w:t>
      </w:r>
      <w:r>
        <w:rPr>
          <w:color w:val="auto"/>
          <w:sz w:val="24"/>
          <w:highlight w:val="none"/>
        </w:rPr>
        <w:t>50km</w:t>
      </w:r>
      <w:r>
        <w:rPr>
          <w:rFonts w:hint="eastAsia"/>
          <w:color w:val="auto"/>
          <w:sz w:val="24"/>
          <w:highlight w:val="none"/>
        </w:rPr>
        <w:t>时，CO排放量为</w:t>
      </w:r>
      <w:r>
        <w:rPr>
          <w:color w:val="auto"/>
          <w:sz w:val="24"/>
          <w:highlight w:val="none"/>
        </w:rPr>
        <w:t>30.18g/km·</w:t>
      </w:r>
      <w:r>
        <w:rPr>
          <w:rFonts w:hint="eastAsia"/>
          <w:color w:val="auto"/>
          <w:sz w:val="24"/>
          <w:highlight w:val="none"/>
        </w:rPr>
        <w:t>辆，NO</w:t>
      </w:r>
      <w:r>
        <w:rPr>
          <w:rFonts w:hint="eastAsia"/>
          <w:color w:val="auto"/>
          <w:sz w:val="24"/>
          <w:highlight w:val="none"/>
          <w:vertAlign w:val="subscript"/>
        </w:rPr>
        <w:t>X</w:t>
      </w:r>
      <w:r>
        <w:rPr>
          <w:rFonts w:hint="eastAsia"/>
          <w:color w:val="auto"/>
          <w:sz w:val="24"/>
          <w:highlight w:val="none"/>
        </w:rPr>
        <w:t>为</w:t>
      </w:r>
      <w:r>
        <w:rPr>
          <w:color w:val="auto"/>
          <w:sz w:val="24"/>
          <w:highlight w:val="none"/>
        </w:rPr>
        <w:t>5.40g/km·</w:t>
      </w:r>
      <w:r>
        <w:rPr>
          <w:rFonts w:hint="eastAsia"/>
          <w:color w:val="auto"/>
          <w:sz w:val="24"/>
          <w:highlight w:val="none"/>
        </w:rPr>
        <w:t>辆。据已有施工现场监测结果，在距离现场</w:t>
      </w:r>
      <w:r>
        <w:rPr>
          <w:color w:val="auto"/>
          <w:sz w:val="24"/>
          <w:highlight w:val="none"/>
        </w:rPr>
        <w:t xml:space="preserve">50m </w:t>
      </w:r>
      <w:r>
        <w:rPr>
          <w:rFonts w:hint="eastAsia"/>
          <w:color w:val="auto"/>
          <w:sz w:val="24"/>
          <w:highlight w:val="none"/>
        </w:rPr>
        <w:t>处CO、NO</w:t>
      </w:r>
      <w:r>
        <w:rPr>
          <w:rFonts w:hint="eastAsia"/>
          <w:color w:val="auto"/>
          <w:sz w:val="24"/>
          <w:highlight w:val="none"/>
          <w:vertAlign w:val="subscript"/>
        </w:rPr>
        <w:t>X</w:t>
      </w:r>
      <w:r>
        <w:rPr>
          <w:rFonts w:hint="eastAsia"/>
          <w:color w:val="auto"/>
          <w:sz w:val="24"/>
          <w:highlight w:val="none"/>
        </w:rPr>
        <w:t xml:space="preserve"> </w:t>
      </w:r>
      <w:r>
        <w:rPr>
          <w:color w:val="auto"/>
          <w:sz w:val="24"/>
          <w:highlight w:val="none"/>
        </w:rPr>
        <w:t>1</w:t>
      </w:r>
      <w:r>
        <w:rPr>
          <w:rFonts w:hint="eastAsia"/>
          <w:color w:val="auto"/>
          <w:sz w:val="24"/>
          <w:highlight w:val="none"/>
        </w:rPr>
        <w:t>小时平均浓度分别为</w:t>
      </w:r>
      <w:r>
        <w:rPr>
          <w:color w:val="auto"/>
          <w:sz w:val="24"/>
          <w:highlight w:val="none"/>
        </w:rPr>
        <w:t>0.2mg/m</w:t>
      </w:r>
      <w:r>
        <w:rPr>
          <w:color w:val="auto"/>
          <w:sz w:val="24"/>
          <w:highlight w:val="none"/>
          <w:vertAlign w:val="superscript"/>
        </w:rPr>
        <w:t>3</w:t>
      </w:r>
      <w:r>
        <w:rPr>
          <w:rFonts w:hint="eastAsia"/>
          <w:color w:val="auto"/>
          <w:sz w:val="24"/>
          <w:highlight w:val="none"/>
        </w:rPr>
        <w:t>和</w:t>
      </w:r>
      <w:r>
        <w:rPr>
          <w:color w:val="auto"/>
          <w:sz w:val="24"/>
          <w:highlight w:val="none"/>
        </w:rPr>
        <w:t>0.18mg/m</w:t>
      </w:r>
      <w:r>
        <w:rPr>
          <w:color w:val="auto"/>
          <w:sz w:val="24"/>
          <w:highlight w:val="none"/>
          <w:vertAlign w:val="superscript"/>
        </w:rPr>
        <w:t>3</w:t>
      </w:r>
      <w:r>
        <w:rPr>
          <w:rFonts w:hint="eastAsia"/>
          <w:color w:val="auto"/>
          <w:sz w:val="24"/>
          <w:highlight w:val="none"/>
        </w:rPr>
        <w:t>，日平均浓度分别为</w:t>
      </w:r>
      <w:r>
        <w:rPr>
          <w:color w:val="auto"/>
          <w:sz w:val="24"/>
          <w:highlight w:val="none"/>
        </w:rPr>
        <w:t>0.13mg/m</w:t>
      </w:r>
      <w:r>
        <w:rPr>
          <w:color w:val="auto"/>
          <w:sz w:val="24"/>
          <w:highlight w:val="none"/>
          <w:vertAlign w:val="superscript"/>
        </w:rPr>
        <w:t>3</w:t>
      </w:r>
      <w:r>
        <w:rPr>
          <w:rFonts w:hint="eastAsia"/>
          <w:color w:val="auto"/>
          <w:sz w:val="24"/>
          <w:highlight w:val="none"/>
        </w:rPr>
        <w:t>和</w:t>
      </w:r>
      <w:r>
        <w:rPr>
          <w:color w:val="auto"/>
          <w:sz w:val="24"/>
          <w:highlight w:val="none"/>
        </w:rPr>
        <w:t>0.</w:t>
      </w:r>
      <w:r>
        <w:rPr>
          <w:rFonts w:hint="eastAsia"/>
          <w:color w:val="auto"/>
          <w:sz w:val="24"/>
          <w:highlight w:val="none"/>
        </w:rPr>
        <w:t>07</w:t>
      </w:r>
      <w:r>
        <w:rPr>
          <w:color w:val="auto"/>
          <w:sz w:val="24"/>
          <w:highlight w:val="none"/>
        </w:rPr>
        <w:t>mg/m</w:t>
      </w:r>
      <w:r>
        <w:rPr>
          <w:color w:val="auto"/>
          <w:sz w:val="24"/>
          <w:highlight w:val="none"/>
          <w:vertAlign w:val="superscript"/>
        </w:rPr>
        <w:t>3</w:t>
      </w:r>
      <w:r>
        <w:rPr>
          <w:rFonts w:hint="eastAsia"/>
          <w:color w:val="auto"/>
          <w:sz w:val="24"/>
          <w:highlight w:val="none"/>
        </w:rPr>
        <w:t>，均能满足国家《环境空气质量标准》（</w:t>
      </w:r>
      <w:r>
        <w:rPr>
          <w:color w:val="auto"/>
          <w:sz w:val="24"/>
          <w:highlight w:val="none"/>
        </w:rPr>
        <w:t>GB3095-</w:t>
      </w:r>
      <w:r>
        <w:rPr>
          <w:rFonts w:hint="eastAsia"/>
          <w:color w:val="auto"/>
          <w:sz w:val="24"/>
          <w:highlight w:val="none"/>
        </w:rPr>
        <w:t>2012）二级标准的要求。</w:t>
      </w:r>
    </w:p>
    <w:p w14:paraId="27D48A1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sz w:val="24"/>
          <w:highlight w:val="none"/>
        </w:rPr>
      </w:pPr>
      <w:r>
        <w:rPr>
          <w:rFonts w:hint="eastAsia"/>
          <w:color w:val="auto"/>
          <w:sz w:val="24"/>
          <w:highlight w:val="none"/>
        </w:rPr>
        <w:t>为尽可能减轻汽车尾气产生的污染，降低对施工区局部环境的影响，应采取以下措施：</w:t>
      </w:r>
    </w:p>
    <w:p w14:paraId="0F050FD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sz w:val="24"/>
          <w:highlight w:val="none"/>
        </w:rPr>
      </w:pPr>
      <w:r>
        <w:rPr>
          <w:rFonts w:hint="eastAsia"/>
          <w:color w:val="auto"/>
          <w:sz w:val="24"/>
          <w:highlight w:val="none"/>
        </w:rPr>
        <w:t>①加强对施工车辆的检修和维护，严禁使用超期服役和尾气超标车辆；</w:t>
      </w:r>
    </w:p>
    <w:p w14:paraId="76F3E3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sz w:val="24"/>
          <w:highlight w:val="none"/>
        </w:rPr>
      </w:pPr>
      <w:r>
        <w:rPr>
          <w:rFonts w:hint="eastAsia"/>
          <w:color w:val="auto"/>
          <w:sz w:val="24"/>
          <w:highlight w:val="none"/>
        </w:rPr>
        <w:t>②尽可能使用气动和电动的设备、机械，或使用优质燃油，以减少机械和车辆有害气体排放；</w:t>
      </w:r>
    </w:p>
    <w:p w14:paraId="0BB39D7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sz w:val="24"/>
          <w:highlight w:val="none"/>
        </w:rPr>
      </w:pPr>
      <w:r>
        <w:rPr>
          <w:rFonts w:hint="eastAsia"/>
          <w:color w:val="auto"/>
          <w:sz w:val="24"/>
          <w:highlight w:val="none"/>
        </w:rPr>
        <w:t>③合理规划施工进度及进入场地的车流量，防止施工现场车流量过大。</w:t>
      </w:r>
    </w:p>
    <w:p w14:paraId="5152B7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sz w:val="24"/>
          <w:highlight w:val="none"/>
        </w:rPr>
      </w:pPr>
      <w:r>
        <w:rPr>
          <w:rFonts w:hint="eastAsia"/>
          <w:color w:val="auto"/>
          <w:sz w:val="24"/>
          <w:highlight w:val="none"/>
        </w:rPr>
        <w:t>随着施工结束，施工机械设备尾气也将停止排放。采取上述措施后，对周围环境空气质量状况影响不大。</w:t>
      </w:r>
    </w:p>
    <w:p w14:paraId="2768CA8E">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cs="Times New Roman"/>
          <w:color w:val="auto"/>
          <w:sz w:val="24"/>
          <w:szCs w:val="24"/>
          <w:highlight w:val="none"/>
          <w:lang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3</w:t>
      </w:r>
      <w:r>
        <w:rPr>
          <w:rFonts w:hint="eastAsia" w:cs="Times New Roman"/>
          <w:color w:val="auto"/>
          <w:sz w:val="24"/>
          <w:szCs w:val="24"/>
          <w:highlight w:val="none"/>
          <w:lang w:eastAsia="zh-CN"/>
        </w:rPr>
        <w:t>）装修废气</w:t>
      </w:r>
    </w:p>
    <w:p w14:paraId="61800469">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color w:val="auto"/>
          <w:sz w:val="24"/>
          <w:szCs w:val="24"/>
          <w:highlight w:val="none"/>
          <w:lang w:eastAsia="zh-CN"/>
        </w:rPr>
      </w:pPr>
      <w:r>
        <w:rPr>
          <w:rFonts w:hint="eastAsia"/>
          <w:color w:val="auto"/>
          <w:sz w:val="24"/>
          <w:szCs w:val="24"/>
          <w:highlight w:val="none"/>
          <w:lang w:eastAsia="zh-CN"/>
        </w:rPr>
        <w:t>本项目施工期装修工序涉及墙壁涂料、装饰</w:t>
      </w:r>
      <w:r>
        <w:rPr>
          <w:rFonts w:hint="eastAsia"/>
          <w:color w:val="auto"/>
          <w:sz w:val="24"/>
          <w:szCs w:val="24"/>
          <w:highlight w:val="none"/>
          <w:lang w:val="en-US" w:eastAsia="zh-CN"/>
        </w:rPr>
        <w:t>工序</w:t>
      </w:r>
      <w:r>
        <w:rPr>
          <w:rFonts w:hint="eastAsia"/>
          <w:color w:val="auto"/>
          <w:sz w:val="24"/>
          <w:szCs w:val="24"/>
          <w:highlight w:val="none"/>
          <w:lang w:eastAsia="zh-CN"/>
        </w:rPr>
        <w:t>，涂料及装饰材料会产生少量挥发性有机废气，本项目施工期较短，内墙采用水性涂料，选用环保型板材、胶粘剂，拒绝不合格的装饰材料。采取上述措施后，</w:t>
      </w:r>
      <w:r>
        <w:rPr>
          <w:rFonts w:hint="eastAsia"/>
          <w:color w:val="auto"/>
          <w:sz w:val="24"/>
          <w:szCs w:val="24"/>
          <w:highlight w:val="none"/>
          <w:lang w:val="en-US" w:eastAsia="zh-CN"/>
        </w:rPr>
        <w:t>不会对周围环境产生较大影响。</w:t>
      </w:r>
    </w:p>
    <w:p w14:paraId="1705CA9B">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2水环境影响分析</w:t>
      </w:r>
    </w:p>
    <w:p w14:paraId="58C3D8CD">
      <w:pPr>
        <w:adjustRightInd w:val="0"/>
        <w:snapToGrid w:val="0"/>
        <w:spacing w:line="360" w:lineRule="auto"/>
        <w:ind w:left="479" w:leftChars="228" w:firstLine="9" w:firstLineChars="4"/>
        <w:jc w:val="left"/>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本项目依托现有本溪大楼</w:t>
      </w:r>
      <w:r>
        <w:rPr>
          <w:rFonts w:hint="eastAsia" w:cs="Times New Roman"/>
          <w:color w:val="auto"/>
          <w:sz w:val="24"/>
          <w:szCs w:val="24"/>
          <w:highlight w:val="none"/>
          <w:lang w:val="en-US" w:eastAsia="zh-CN"/>
        </w:rPr>
        <w:t>3-5层建设，无需动土建设，</w:t>
      </w:r>
      <w:r>
        <w:rPr>
          <w:rFonts w:hint="default" w:ascii="Times New Roman" w:hAnsi="Times New Roman" w:cs="Times New Roman"/>
          <w:color w:val="auto"/>
          <w:sz w:val="24"/>
          <w:szCs w:val="24"/>
          <w:highlight w:val="none"/>
        </w:rPr>
        <w:t>施工废水主要来自于施工人</w:t>
      </w:r>
    </w:p>
    <w:p w14:paraId="4AB20521">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ascii="Times New Roman" w:hAnsi="宋体" w:cs="Times New Roman"/>
          <w:color w:val="auto"/>
          <w:sz w:val="24"/>
          <w:highlight w:val="none"/>
          <w:lang w:val="en-US" w:eastAsia="zh-CN"/>
        </w:rPr>
      </w:pPr>
      <w:r>
        <w:rPr>
          <w:rFonts w:hint="default" w:ascii="Times New Roman" w:hAnsi="Times New Roman" w:cs="Times New Roman"/>
          <w:color w:val="auto"/>
          <w:sz w:val="24"/>
          <w:szCs w:val="24"/>
          <w:highlight w:val="none"/>
        </w:rPr>
        <w:t>员产生的生活污水，排放的污染物主要为COD、NH</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-N、SS。</w:t>
      </w:r>
      <w:r>
        <w:rPr>
          <w:rFonts w:hint="eastAsia" w:ascii="Times New Roman" w:hAnsi="宋体" w:cs="Times New Roman"/>
          <w:color w:val="auto"/>
          <w:sz w:val="24"/>
          <w:highlight w:val="none"/>
          <w:lang w:val="en-US" w:eastAsia="zh-CN"/>
        </w:rPr>
        <w:t>施工期生活污水产生量为</w:t>
      </w:r>
      <w:r>
        <w:rPr>
          <w:rFonts w:hint="eastAsia" w:hAnsi="宋体" w:cs="Times New Roman"/>
          <w:color w:val="auto"/>
          <w:sz w:val="24"/>
          <w:highlight w:val="none"/>
          <w:lang w:val="en-US" w:eastAsia="zh-CN"/>
        </w:rPr>
        <w:t>34.2</w:t>
      </w:r>
      <w:r>
        <w:rPr>
          <w:rFonts w:hint="eastAsia" w:ascii="Times New Roman" w:hAnsi="宋体" w:cs="Times New Roman"/>
          <w:color w:val="auto"/>
          <w:sz w:val="24"/>
          <w:highlight w:val="none"/>
          <w:lang w:val="en-US" w:eastAsia="zh-CN"/>
        </w:rPr>
        <w:t>m</w:t>
      </w:r>
      <w:r>
        <w:rPr>
          <w:rFonts w:hint="eastAsia" w:ascii="Times New Roman" w:hAnsi="宋体" w:cs="Times New Roman"/>
          <w:color w:val="auto"/>
          <w:sz w:val="24"/>
          <w:highlight w:val="none"/>
          <w:vertAlign w:val="superscript"/>
          <w:lang w:val="en-US" w:eastAsia="zh-CN"/>
        </w:rPr>
        <w:t>3</w:t>
      </w:r>
      <w:r>
        <w:rPr>
          <w:rFonts w:hint="eastAsia" w:ascii="Times New Roman" w:hAnsi="宋体" w:cs="Times New Roman"/>
          <w:color w:val="auto"/>
          <w:sz w:val="24"/>
          <w:highlight w:val="none"/>
          <w:lang w:val="en-US" w:eastAsia="zh-CN"/>
        </w:rPr>
        <w:t>，</w:t>
      </w:r>
      <w:r>
        <w:rPr>
          <w:rFonts w:hint="eastAsia"/>
          <w:color w:val="auto"/>
          <w:sz w:val="24"/>
          <w:szCs w:val="24"/>
          <w:highlight w:val="none"/>
          <w:lang w:val="en-US" w:eastAsia="zh-CN"/>
        </w:rPr>
        <w:t>生活污水依托现有大楼排水设施，经化粪池预处理后排入市政管网。</w:t>
      </w:r>
      <w:r>
        <w:rPr>
          <w:rFonts w:hint="eastAsia" w:hAnsi="宋体" w:cs="Times New Roman"/>
          <w:color w:val="auto"/>
          <w:sz w:val="24"/>
          <w:highlight w:val="none"/>
          <w:lang w:val="en-US" w:eastAsia="zh-CN"/>
        </w:rPr>
        <w:t>生活污水排放浓度为</w:t>
      </w:r>
      <w:r>
        <w:rPr>
          <w:rFonts w:hint="eastAsia" w:ascii="Times New Roman" w:hAnsi="宋体" w:cs="Times New Roman"/>
          <w:color w:val="auto"/>
          <w:sz w:val="24"/>
          <w:highlight w:val="none"/>
          <w:lang w:val="en-US" w:eastAsia="zh-CN"/>
        </w:rPr>
        <w:t xml:space="preserve">COD </w:t>
      </w:r>
      <w:r>
        <w:rPr>
          <w:rFonts w:hint="eastAsia" w:hAnsi="宋体" w:cs="Times New Roman"/>
          <w:color w:val="auto"/>
          <w:sz w:val="24"/>
          <w:highlight w:val="none"/>
          <w:lang w:val="en-US" w:eastAsia="zh-CN"/>
        </w:rPr>
        <w:t>255</w:t>
      </w:r>
      <w:r>
        <w:rPr>
          <w:rFonts w:hint="eastAsia" w:ascii="Times New Roman" w:hAnsi="宋体" w:cs="Times New Roman"/>
          <w:color w:val="auto"/>
          <w:sz w:val="24"/>
          <w:highlight w:val="none"/>
          <w:lang w:val="en-US" w:eastAsia="zh-CN"/>
        </w:rPr>
        <w:t>mg</w:t>
      </w:r>
      <w:r>
        <w:rPr>
          <w:rFonts w:hint="default" w:ascii="Times New Roman" w:hAnsi="宋体" w:cs="Times New Roman"/>
          <w:color w:val="auto"/>
          <w:sz w:val="24"/>
          <w:highlight w:val="none"/>
          <w:lang w:val="en-US" w:eastAsia="zh-CN"/>
        </w:rPr>
        <w:t>/L</w:t>
      </w:r>
      <w:r>
        <w:rPr>
          <w:rFonts w:hint="eastAsia" w:hAnsi="宋体" w:cs="Times New Roman"/>
          <w:color w:val="auto"/>
          <w:sz w:val="24"/>
          <w:highlight w:val="none"/>
          <w:lang w:val="en-US" w:eastAsia="zh-CN"/>
        </w:rPr>
        <w:t>、</w:t>
      </w:r>
      <w:r>
        <w:rPr>
          <w:rFonts w:hint="eastAsia" w:ascii="Times New Roman" w:hAnsi="宋体" w:cs="Times New Roman"/>
          <w:color w:val="auto"/>
          <w:sz w:val="24"/>
          <w:highlight w:val="none"/>
          <w:lang w:val="en-US" w:eastAsia="zh-CN"/>
        </w:rPr>
        <w:t>NH</w:t>
      </w:r>
      <w:r>
        <w:rPr>
          <w:rFonts w:hint="eastAsia" w:ascii="Times New Roman" w:hAnsi="宋体" w:cs="Times New Roman"/>
          <w:color w:val="auto"/>
          <w:sz w:val="24"/>
          <w:highlight w:val="none"/>
          <w:vertAlign w:val="subscript"/>
          <w:lang w:val="en-US" w:eastAsia="zh-CN"/>
        </w:rPr>
        <w:t>3</w:t>
      </w:r>
      <w:r>
        <w:rPr>
          <w:rFonts w:hint="eastAsia" w:ascii="Times New Roman" w:hAnsi="宋体" w:cs="Times New Roman"/>
          <w:color w:val="auto"/>
          <w:sz w:val="24"/>
          <w:highlight w:val="none"/>
          <w:lang w:val="en-US" w:eastAsia="zh-CN"/>
        </w:rPr>
        <w:t>-N</w:t>
      </w:r>
      <w:r>
        <w:rPr>
          <w:rFonts w:hint="eastAsia" w:hAnsi="宋体" w:cs="Times New Roman"/>
          <w:color w:val="auto"/>
          <w:sz w:val="24"/>
          <w:highlight w:val="none"/>
          <w:lang w:val="en-US" w:eastAsia="zh-CN"/>
        </w:rPr>
        <w:t xml:space="preserve"> 29.1</w:t>
      </w:r>
      <w:r>
        <w:rPr>
          <w:rFonts w:hint="eastAsia" w:ascii="Times New Roman" w:hAnsi="宋体" w:cs="Times New Roman"/>
          <w:color w:val="auto"/>
          <w:sz w:val="24"/>
          <w:highlight w:val="none"/>
          <w:lang w:val="en-US" w:eastAsia="zh-CN"/>
        </w:rPr>
        <w:t>mg</w:t>
      </w:r>
      <w:r>
        <w:rPr>
          <w:rFonts w:hint="default" w:ascii="Times New Roman" w:hAnsi="宋体" w:cs="Times New Roman"/>
          <w:color w:val="auto"/>
          <w:sz w:val="24"/>
          <w:highlight w:val="none"/>
          <w:lang w:val="en-US" w:eastAsia="zh-CN"/>
        </w:rPr>
        <w:t>/L</w:t>
      </w:r>
      <w:r>
        <w:rPr>
          <w:rFonts w:hint="eastAsia" w:hAnsi="宋体" w:cs="Times New Roman"/>
          <w:color w:val="auto"/>
          <w:sz w:val="24"/>
          <w:highlight w:val="none"/>
          <w:lang w:val="en-US" w:eastAsia="zh-CN"/>
        </w:rPr>
        <w:t>、</w:t>
      </w:r>
      <w:r>
        <w:rPr>
          <w:rFonts w:hint="eastAsia" w:ascii="Times New Roman" w:hAnsi="宋体" w:cs="Times New Roman"/>
          <w:color w:val="auto"/>
          <w:sz w:val="24"/>
          <w:highlight w:val="none"/>
          <w:lang w:val="en-US" w:eastAsia="zh-CN"/>
        </w:rPr>
        <w:t>SS</w:t>
      </w:r>
      <w:r>
        <w:rPr>
          <w:rFonts w:hint="eastAsia" w:hAnsi="宋体" w:cs="Times New Roman"/>
          <w:color w:val="auto"/>
          <w:sz w:val="24"/>
          <w:highlight w:val="none"/>
          <w:lang w:val="en-US" w:eastAsia="zh-CN"/>
        </w:rPr>
        <w:t xml:space="preserve"> 50</w:t>
      </w:r>
      <w:r>
        <w:rPr>
          <w:rFonts w:hint="eastAsia" w:ascii="Times New Roman" w:hAnsi="宋体" w:cs="Times New Roman"/>
          <w:color w:val="auto"/>
          <w:sz w:val="24"/>
          <w:highlight w:val="none"/>
          <w:lang w:val="en-US" w:eastAsia="zh-CN"/>
        </w:rPr>
        <w:t>mg</w:t>
      </w:r>
      <w:r>
        <w:rPr>
          <w:rFonts w:hint="default" w:ascii="Times New Roman" w:hAnsi="宋体" w:cs="Times New Roman"/>
          <w:color w:val="auto"/>
          <w:sz w:val="24"/>
          <w:highlight w:val="none"/>
          <w:lang w:val="en-US" w:eastAsia="zh-CN"/>
        </w:rPr>
        <w:t>/L</w:t>
      </w:r>
      <w:r>
        <w:rPr>
          <w:rFonts w:hint="eastAsia" w:hAnsi="宋体" w:cs="Times New Roman"/>
          <w:color w:val="auto"/>
          <w:sz w:val="24"/>
          <w:highlight w:val="none"/>
          <w:lang w:val="en-US" w:eastAsia="zh-CN"/>
        </w:rPr>
        <w:t>，排放量分别为COD 0.009t、</w:t>
      </w:r>
      <w:r>
        <w:rPr>
          <w:rFonts w:hint="eastAsia" w:ascii="Times New Roman" w:hAnsi="宋体" w:cs="Times New Roman"/>
          <w:color w:val="auto"/>
          <w:sz w:val="24"/>
          <w:highlight w:val="none"/>
          <w:lang w:val="en-US" w:eastAsia="zh-CN"/>
        </w:rPr>
        <w:t>NH</w:t>
      </w:r>
      <w:r>
        <w:rPr>
          <w:rFonts w:hint="eastAsia" w:ascii="Times New Roman" w:hAnsi="宋体" w:cs="Times New Roman"/>
          <w:color w:val="auto"/>
          <w:sz w:val="24"/>
          <w:highlight w:val="none"/>
          <w:vertAlign w:val="subscript"/>
          <w:lang w:val="en-US" w:eastAsia="zh-CN"/>
        </w:rPr>
        <w:t>3</w:t>
      </w:r>
      <w:r>
        <w:rPr>
          <w:rFonts w:hint="eastAsia" w:ascii="Times New Roman" w:hAnsi="宋体" w:cs="Times New Roman"/>
          <w:color w:val="auto"/>
          <w:sz w:val="24"/>
          <w:highlight w:val="none"/>
          <w:lang w:val="en-US" w:eastAsia="zh-CN"/>
        </w:rPr>
        <w:t>-N</w:t>
      </w:r>
      <w:r>
        <w:rPr>
          <w:rFonts w:hint="eastAsia" w:hAnsi="宋体" w:cs="Times New Roman"/>
          <w:color w:val="auto"/>
          <w:sz w:val="24"/>
          <w:highlight w:val="none"/>
          <w:lang w:val="en-US" w:eastAsia="zh-CN"/>
        </w:rPr>
        <w:t xml:space="preserve"> 0.000995t、</w:t>
      </w:r>
      <w:r>
        <w:rPr>
          <w:rFonts w:hint="eastAsia" w:ascii="Times New Roman" w:hAnsi="宋体" w:cs="Times New Roman"/>
          <w:color w:val="auto"/>
          <w:sz w:val="24"/>
          <w:highlight w:val="none"/>
          <w:lang w:val="en-US" w:eastAsia="zh-CN"/>
        </w:rPr>
        <w:t>SS</w:t>
      </w:r>
      <w:r>
        <w:rPr>
          <w:rFonts w:hint="eastAsia" w:hAnsi="宋体" w:cs="Times New Roman"/>
          <w:color w:val="auto"/>
          <w:sz w:val="24"/>
          <w:highlight w:val="none"/>
          <w:lang w:val="en-US" w:eastAsia="zh-CN"/>
        </w:rPr>
        <w:t xml:space="preserve"> 0.0017t，污染物排放浓度满足</w:t>
      </w:r>
      <w:r>
        <w:rPr>
          <w:rFonts w:hint="default" w:ascii="Times New Roman" w:hAnsi="Times New Roman" w:cs="Times New Roman"/>
          <w:smallCaps/>
          <w:color w:val="auto"/>
          <w:sz w:val="24"/>
          <w:szCs w:val="24"/>
          <w:highlight w:val="none"/>
        </w:rPr>
        <w:t>《辽宁省污水综合排放标准》(DB21/1627-2008)表</w:t>
      </w:r>
      <w:r>
        <w:rPr>
          <w:rFonts w:hint="eastAsia" w:cs="Times New Roman"/>
          <w:smallCaps/>
          <w:color w:val="auto"/>
          <w:sz w:val="24"/>
          <w:szCs w:val="24"/>
          <w:highlight w:val="none"/>
          <w:lang w:val="en-US" w:eastAsia="zh-CN"/>
        </w:rPr>
        <w:t>2</w:t>
      </w:r>
      <w:r>
        <w:rPr>
          <w:rFonts w:hint="default" w:ascii="Times New Roman" w:hAnsi="Times New Roman" w:cs="Times New Roman"/>
          <w:smallCaps/>
          <w:color w:val="auto"/>
          <w:sz w:val="24"/>
          <w:szCs w:val="24"/>
          <w:highlight w:val="none"/>
        </w:rPr>
        <w:t>标准</w:t>
      </w:r>
      <w:r>
        <w:rPr>
          <w:rFonts w:hint="eastAsia" w:cs="Times New Roman"/>
          <w:smallCaps/>
          <w:color w:val="auto"/>
          <w:sz w:val="24"/>
          <w:szCs w:val="24"/>
          <w:highlight w:val="none"/>
          <w:lang w:eastAsia="zh-CN"/>
        </w:rPr>
        <w:t>要求，不会对地表水环境造成较大影响。</w:t>
      </w:r>
    </w:p>
    <w:p w14:paraId="1175A7C8">
      <w:pPr>
        <w:adjustRightInd w:val="0"/>
        <w:snapToGrid w:val="0"/>
        <w:spacing w:line="360" w:lineRule="auto"/>
        <w:ind w:left="138" w:hanging="138" w:hangingChars="49"/>
        <w:jc w:val="left"/>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3声环境影响分析</w:t>
      </w:r>
    </w:p>
    <w:p w14:paraId="2AD70A9D">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left"/>
        <w:textAlignment w:val="auto"/>
        <w:outlineLvl w:val="9"/>
        <w:rPr>
          <w:rFonts w:hint="eastAsia"/>
          <w:color w:val="auto"/>
          <w:sz w:val="24"/>
          <w:highlight w:val="none"/>
        </w:rPr>
      </w:pPr>
      <w:r>
        <w:rPr>
          <w:rFonts w:hint="eastAsia"/>
          <w:color w:val="auto"/>
          <w:sz w:val="24"/>
          <w:highlight w:val="none"/>
          <w:lang w:eastAsia="zh-CN"/>
        </w:rPr>
        <w:t>本项目</w:t>
      </w:r>
      <w:r>
        <w:rPr>
          <w:rFonts w:hint="eastAsia"/>
          <w:color w:val="auto"/>
          <w:sz w:val="24"/>
          <w:highlight w:val="none"/>
        </w:rPr>
        <w:t>施工</w:t>
      </w:r>
      <w:r>
        <w:rPr>
          <w:rFonts w:hint="eastAsia"/>
          <w:color w:val="auto"/>
          <w:sz w:val="24"/>
          <w:highlight w:val="none"/>
          <w:lang w:eastAsia="zh-CN"/>
        </w:rPr>
        <w:t>过程中</w:t>
      </w:r>
      <w:r>
        <w:rPr>
          <w:rFonts w:hint="eastAsia" w:cs="Times New Roman"/>
          <w:color w:val="auto"/>
          <w:sz w:val="24"/>
          <w:szCs w:val="24"/>
          <w:highlight w:val="none"/>
          <w:lang w:eastAsia="zh-CN"/>
        </w:rPr>
        <w:t>结构改造、装修及设备安装阶段</w:t>
      </w:r>
      <w:r>
        <w:rPr>
          <w:rFonts w:hint="eastAsia"/>
          <w:color w:val="auto"/>
          <w:sz w:val="24"/>
          <w:highlight w:val="none"/>
          <w:lang w:eastAsia="zh-CN"/>
        </w:rPr>
        <w:t>会有施工机械噪声产生</w:t>
      </w:r>
      <w:r>
        <w:rPr>
          <w:rFonts w:hint="eastAsia"/>
          <w:color w:val="auto"/>
          <w:sz w:val="24"/>
          <w:highlight w:val="none"/>
        </w:rPr>
        <w:t>，噪声较大的设备主要有</w:t>
      </w:r>
      <w:r>
        <w:rPr>
          <w:rFonts w:hint="eastAsia"/>
          <w:color w:val="auto"/>
          <w:sz w:val="24"/>
          <w:highlight w:val="none"/>
          <w:lang w:eastAsia="zh-CN"/>
        </w:rPr>
        <w:t>切割机、电钻、</w:t>
      </w:r>
      <w:r>
        <w:rPr>
          <w:rFonts w:hint="eastAsia" w:hAnsi="宋体"/>
          <w:bCs/>
          <w:color w:val="auto"/>
          <w:sz w:val="24"/>
          <w:highlight w:val="none"/>
          <w:lang w:eastAsia="zh-CN"/>
        </w:rPr>
        <w:t>建筑材料运输车辆</w:t>
      </w:r>
      <w:r>
        <w:rPr>
          <w:rFonts w:hint="eastAsia" w:hAnsi="宋体"/>
          <w:bCs/>
          <w:color w:val="auto"/>
          <w:sz w:val="24"/>
          <w:highlight w:val="none"/>
        </w:rPr>
        <w:t>等，其具体噪声见</w:t>
      </w:r>
      <w:r>
        <w:rPr>
          <w:rFonts w:hint="eastAsia" w:hAnsi="宋体"/>
          <w:bCs/>
          <w:color w:val="auto"/>
          <w:sz w:val="24"/>
          <w:highlight w:val="none"/>
          <w:lang w:eastAsia="zh-CN"/>
        </w:rPr>
        <w:t>下表</w:t>
      </w:r>
      <w:r>
        <w:rPr>
          <w:rFonts w:hint="eastAsia" w:hAnsi="宋体"/>
          <w:bCs/>
          <w:color w:val="auto"/>
          <w:sz w:val="24"/>
          <w:highlight w:val="none"/>
        </w:rPr>
        <w:t>，由噪声源分析可知，施工场地噪声主要为各类高噪声施工</w:t>
      </w:r>
      <w:r>
        <w:rPr>
          <w:rFonts w:hint="eastAsia" w:hAnsi="宋体"/>
          <w:bCs/>
          <w:color w:val="auto"/>
          <w:sz w:val="24"/>
          <w:highlight w:val="none"/>
          <w:lang w:eastAsia="zh-CN"/>
        </w:rPr>
        <w:t>设备</w:t>
      </w:r>
      <w:r>
        <w:rPr>
          <w:rFonts w:hint="eastAsia" w:hAnsi="宋体"/>
          <w:bCs/>
          <w:color w:val="auto"/>
          <w:sz w:val="24"/>
          <w:highlight w:val="none"/>
        </w:rPr>
        <w:t>，且各施工阶段均有机械设备于现场运行，单体设备噪声级在</w:t>
      </w:r>
      <w:r>
        <w:rPr>
          <w:rFonts w:hint="eastAsia" w:hAnsi="宋体"/>
          <w:bCs/>
          <w:color w:val="auto"/>
          <w:sz w:val="24"/>
          <w:highlight w:val="none"/>
          <w:lang w:val="en-US" w:eastAsia="zh-CN"/>
        </w:rPr>
        <w:t>75</w:t>
      </w:r>
      <w:r>
        <w:rPr>
          <w:rFonts w:hint="eastAsia" w:hAnsi="宋体"/>
          <w:bCs/>
          <w:color w:val="auto"/>
          <w:sz w:val="24"/>
          <w:highlight w:val="none"/>
        </w:rPr>
        <w:t>~</w:t>
      </w:r>
      <w:r>
        <w:rPr>
          <w:rFonts w:hint="eastAsia" w:hAnsi="宋体"/>
          <w:bCs/>
          <w:color w:val="auto"/>
          <w:sz w:val="24"/>
          <w:highlight w:val="none"/>
          <w:lang w:val="en-US" w:eastAsia="zh-CN"/>
        </w:rPr>
        <w:t>8</w:t>
      </w:r>
      <w:r>
        <w:rPr>
          <w:rFonts w:hint="eastAsia" w:hAnsi="宋体"/>
          <w:bCs/>
          <w:color w:val="auto"/>
          <w:sz w:val="24"/>
          <w:highlight w:val="none"/>
        </w:rPr>
        <w:t>0dB（A）之间。</w:t>
      </w:r>
    </w:p>
    <w:p w14:paraId="4BD5C25A">
      <w:pPr>
        <w:keepNext w:val="0"/>
        <w:keepLines w:val="0"/>
        <w:pageBreakBefore w:val="0"/>
        <w:widowControl w:val="0"/>
        <w:kinsoku/>
        <w:wordWrap/>
        <w:overflowPunct/>
        <w:topLinePunct w:val="0"/>
        <w:autoSpaceDE/>
        <w:autoSpaceDN/>
        <w:bidi w:val="0"/>
        <w:adjustRightInd w:val="0"/>
        <w:snapToGrid w:val="0"/>
        <w:spacing w:line="360" w:lineRule="auto"/>
        <w:ind w:left="0"/>
        <w:jc w:val="both"/>
        <w:textAlignment w:val="auto"/>
        <w:outlineLvl w:val="9"/>
        <w:rPr>
          <w:rFonts w:hint="eastAsia"/>
          <w:color w:val="auto"/>
          <w:sz w:val="24"/>
          <w:highlight w:val="none"/>
        </w:rPr>
      </w:pPr>
      <w:r>
        <w:rPr>
          <w:rFonts w:hint="eastAsia" w:hAnsi="宋体"/>
          <w:b/>
          <w:bCs/>
          <w:color w:val="auto"/>
          <w:szCs w:val="21"/>
          <w:highlight w:val="none"/>
        </w:rPr>
        <w:t>表</w:t>
      </w:r>
      <w:r>
        <w:rPr>
          <w:rFonts w:hint="eastAsia" w:hAnsi="宋体"/>
          <w:b/>
          <w:bCs/>
          <w:color w:val="auto"/>
          <w:szCs w:val="21"/>
          <w:highlight w:val="none"/>
          <w:lang w:val="en-US" w:eastAsia="zh-CN"/>
        </w:rPr>
        <w:t>26</w:t>
      </w:r>
      <w:r>
        <w:rPr>
          <w:rFonts w:hint="eastAsia" w:hAnsi="宋体"/>
          <w:b/>
          <w:bCs/>
          <w:color w:val="auto"/>
          <w:szCs w:val="21"/>
          <w:highlight w:val="none"/>
        </w:rPr>
        <w:t xml:space="preserve"> </w:t>
      </w:r>
      <w:r>
        <w:rPr>
          <w:rFonts w:hint="eastAsia" w:hAnsi="宋体"/>
          <w:b/>
          <w:bCs/>
          <w:color w:val="auto"/>
          <w:szCs w:val="21"/>
          <w:highlight w:val="none"/>
          <w:lang w:val="en-US" w:eastAsia="zh-CN"/>
        </w:rPr>
        <w:t xml:space="preserve">                      </w:t>
      </w:r>
      <w:r>
        <w:rPr>
          <w:rFonts w:hAnsi="宋体"/>
          <w:b/>
          <w:bCs/>
          <w:color w:val="auto"/>
          <w:szCs w:val="21"/>
          <w:highlight w:val="none"/>
        </w:rPr>
        <w:t>工程</w:t>
      </w:r>
      <w:r>
        <w:rPr>
          <w:rFonts w:hint="eastAsia" w:hAnsi="宋体"/>
          <w:b/>
          <w:bCs/>
          <w:color w:val="auto"/>
          <w:szCs w:val="21"/>
          <w:highlight w:val="none"/>
        </w:rPr>
        <w:t>主要</w:t>
      </w:r>
      <w:r>
        <w:rPr>
          <w:rFonts w:hAnsi="宋体"/>
          <w:b/>
          <w:bCs/>
          <w:color w:val="auto"/>
          <w:szCs w:val="21"/>
          <w:highlight w:val="none"/>
        </w:rPr>
        <w:t>施工机械噪声</w:t>
      </w:r>
      <w:r>
        <w:rPr>
          <w:rFonts w:hint="eastAsia" w:hAnsi="宋体"/>
          <w:b/>
          <w:bCs/>
          <w:color w:val="auto"/>
          <w:szCs w:val="21"/>
          <w:highlight w:val="none"/>
        </w:rPr>
        <w:t>源强</w:t>
      </w:r>
    </w:p>
    <w:tbl>
      <w:tblPr>
        <w:tblStyle w:val="24"/>
        <w:tblW w:w="9286"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27"/>
        <w:gridCol w:w="4279"/>
        <w:gridCol w:w="3680"/>
      </w:tblGrid>
      <w:tr w14:paraId="333279A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27" w:type="dxa"/>
            <w:vMerge w:val="restart"/>
            <w:noWrap w:val="0"/>
            <w:vAlign w:val="center"/>
          </w:tcPr>
          <w:p w14:paraId="06AC620A">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序号</w:t>
            </w:r>
          </w:p>
        </w:tc>
        <w:tc>
          <w:tcPr>
            <w:tcW w:w="4279" w:type="dxa"/>
            <w:vMerge w:val="restart"/>
            <w:noWrap w:val="0"/>
            <w:vAlign w:val="center"/>
          </w:tcPr>
          <w:p w14:paraId="039590B1">
            <w:pPr>
              <w:keepNext w:val="0"/>
              <w:keepLines w:val="0"/>
              <w:pageBreakBefore w:val="0"/>
              <w:widowControl/>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机械名称</w:t>
            </w:r>
          </w:p>
        </w:tc>
        <w:tc>
          <w:tcPr>
            <w:tcW w:w="3680" w:type="dxa"/>
            <w:vMerge w:val="restart"/>
            <w:noWrap w:val="0"/>
            <w:vAlign w:val="center"/>
          </w:tcPr>
          <w:p w14:paraId="0DC1800A">
            <w:pPr>
              <w:keepNext w:val="0"/>
              <w:keepLines w:val="0"/>
              <w:pageBreakBefore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最大声级值[dB(A)]</w:t>
            </w:r>
          </w:p>
        </w:tc>
      </w:tr>
      <w:tr w14:paraId="37D3DE0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27" w:type="dxa"/>
            <w:vMerge w:val="continue"/>
            <w:noWrap w:val="0"/>
            <w:vAlign w:val="center"/>
          </w:tcPr>
          <w:p w14:paraId="0F89E3C8">
            <w:pPr>
              <w:keepNext w:val="0"/>
              <w:keepLines w:val="0"/>
              <w:pageBreakBefore w:val="0"/>
              <w:widowControl/>
              <w:kinsoku/>
              <w:wordWrap/>
              <w:overflowPunct/>
              <w:topLinePunct w:val="0"/>
              <w:autoSpaceDE/>
              <w:autoSpaceDN/>
              <w:bidi w:val="0"/>
              <w:adjustRightInd w:val="0"/>
              <w:snapToGrid w:val="0"/>
              <w:textAlignment w:val="auto"/>
              <w:outlineLvl w:val="9"/>
              <w:rPr>
                <w:color w:val="auto"/>
                <w:kern w:val="0"/>
                <w:szCs w:val="21"/>
                <w:highlight w:val="none"/>
              </w:rPr>
            </w:pPr>
          </w:p>
        </w:tc>
        <w:tc>
          <w:tcPr>
            <w:tcW w:w="4279" w:type="dxa"/>
            <w:vMerge w:val="continue"/>
            <w:noWrap w:val="0"/>
            <w:vAlign w:val="center"/>
          </w:tcPr>
          <w:p w14:paraId="257B3544">
            <w:pPr>
              <w:keepNext w:val="0"/>
              <w:keepLines w:val="0"/>
              <w:pageBreakBefore w:val="0"/>
              <w:widowControl/>
              <w:kinsoku/>
              <w:wordWrap/>
              <w:overflowPunct/>
              <w:topLinePunct w:val="0"/>
              <w:autoSpaceDE/>
              <w:autoSpaceDN/>
              <w:bidi w:val="0"/>
              <w:adjustRightInd w:val="0"/>
              <w:snapToGrid w:val="0"/>
              <w:textAlignment w:val="auto"/>
              <w:outlineLvl w:val="9"/>
              <w:rPr>
                <w:color w:val="auto"/>
                <w:kern w:val="0"/>
                <w:szCs w:val="21"/>
                <w:highlight w:val="none"/>
              </w:rPr>
            </w:pPr>
          </w:p>
        </w:tc>
        <w:tc>
          <w:tcPr>
            <w:tcW w:w="3680" w:type="dxa"/>
            <w:vMerge w:val="continue"/>
            <w:noWrap w:val="0"/>
            <w:vAlign w:val="center"/>
          </w:tcPr>
          <w:p w14:paraId="2639D50C">
            <w:pPr>
              <w:keepNext w:val="0"/>
              <w:keepLines w:val="0"/>
              <w:pageBreakBefore w:val="0"/>
              <w:widowControl/>
              <w:kinsoku/>
              <w:wordWrap/>
              <w:overflowPunct/>
              <w:topLinePunct w:val="0"/>
              <w:autoSpaceDE/>
              <w:autoSpaceDN/>
              <w:bidi w:val="0"/>
              <w:adjustRightInd w:val="0"/>
              <w:snapToGrid w:val="0"/>
              <w:textAlignment w:val="auto"/>
              <w:outlineLvl w:val="9"/>
              <w:rPr>
                <w:color w:val="auto"/>
                <w:kern w:val="0"/>
                <w:szCs w:val="21"/>
                <w:highlight w:val="none"/>
              </w:rPr>
            </w:pPr>
          </w:p>
        </w:tc>
      </w:tr>
      <w:tr w14:paraId="4C5587B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27" w:type="dxa"/>
            <w:noWrap w:val="0"/>
            <w:vAlign w:val="center"/>
          </w:tcPr>
          <w:p w14:paraId="348FF93F">
            <w:pPr>
              <w:keepNext w:val="0"/>
              <w:keepLines w:val="0"/>
              <w:pageBreakBefore w:val="0"/>
              <w:kinsoku/>
              <w:wordWrap/>
              <w:overflowPunct/>
              <w:topLinePunct w:val="0"/>
              <w:autoSpaceDE/>
              <w:autoSpaceDN/>
              <w:bidi w:val="0"/>
              <w:adjustRightInd w:val="0"/>
              <w:snapToGrid w:val="0"/>
              <w:jc w:val="center"/>
              <w:textAlignment w:val="auto"/>
              <w:outlineLvl w:val="9"/>
              <w:rPr>
                <w:color w:val="auto"/>
                <w:szCs w:val="21"/>
                <w:highlight w:val="none"/>
              </w:rPr>
            </w:pPr>
            <w:r>
              <w:rPr>
                <w:color w:val="auto"/>
                <w:szCs w:val="21"/>
                <w:highlight w:val="none"/>
              </w:rPr>
              <w:t>1</w:t>
            </w:r>
          </w:p>
        </w:tc>
        <w:tc>
          <w:tcPr>
            <w:tcW w:w="4279" w:type="dxa"/>
            <w:noWrap w:val="0"/>
            <w:vAlign w:val="center"/>
          </w:tcPr>
          <w:p w14:paraId="6A4D2338">
            <w:pPr>
              <w:keepNext w:val="0"/>
              <w:keepLines w:val="0"/>
              <w:pageBreakBefore w:val="0"/>
              <w:kinsoku/>
              <w:wordWrap/>
              <w:overflowPunct/>
              <w:topLinePunct w:val="0"/>
              <w:autoSpaceDE/>
              <w:autoSpaceDN/>
              <w:bidi w:val="0"/>
              <w:adjustRightInd w:val="0"/>
              <w:snapToGrid w:val="0"/>
              <w:jc w:val="center"/>
              <w:textAlignment w:val="auto"/>
              <w:outlineLvl w:val="9"/>
              <w:rPr>
                <w:color w:val="auto"/>
                <w:szCs w:val="21"/>
                <w:highlight w:val="none"/>
              </w:rPr>
            </w:pPr>
            <w:r>
              <w:rPr>
                <w:rFonts w:hint="eastAsia" w:hAnsi="宋体"/>
                <w:color w:val="auto"/>
                <w:szCs w:val="21"/>
                <w:highlight w:val="none"/>
                <w:lang w:eastAsia="zh-CN"/>
              </w:rPr>
              <w:t>切割机</w:t>
            </w:r>
          </w:p>
        </w:tc>
        <w:tc>
          <w:tcPr>
            <w:tcW w:w="3680" w:type="dxa"/>
            <w:noWrap w:val="0"/>
            <w:vAlign w:val="center"/>
          </w:tcPr>
          <w:p w14:paraId="6B0CD8E1">
            <w:pPr>
              <w:keepNext w:val="0"/>
              <w:keepLines w:val="0"/>
              <w:pageBreakBefore w:val="0"/>
              <w:kinsoku/>
              <w:wordWrap/>
              <w:overflowPunct/>
              <w:topLinePunct w:val="0"/>
              <w:autoSpaceDE/>
              <w:autoSpaceDN/>
              <w:bidi w:val="0"/>
              <w:adjustRightInd w:val="0"/>
              <w:snapToGrid w:val="0"/>
              <w:jc w:val="center"/>
              <w:textAlignment w:val="auto"/>
              <w:outlineLvl w:val="9"/>
              <w:rPr>
                <w:rFonts w:eastAsia="仿宋_GB2312"/>
                <w:bCs/>
                <w:color w:val="auto"/>
                <w:szCs w:val="21"/>
                <w:highlight w:val="none"/>
              </w:rPr>
            </w:pPr>
            <w:r>
              <w:rPr>
                <w:rFonts w:hint="eastAsia" w:eastAsia="仿宋_GB2312"/>
                <w:bCs/>
                <w:color w:val="auto"/>
                <w:szCs w:val="21"/>
                <w:highlight w:val="none"/>
                <w:lang w:val="en-US" w:eastAsia="zh-CN"/>
              </w:rPr>
              <w:t>80</w:t>
            </w:r>
          </w:p>
        </w:tc>
      </w:tr>
      <w:tr w14:paraId="412A466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27" w:type="dxa"/>
            <w:noWrap w:val="0"/>
            <w:vAlign w:val="center"/>
          </w:tcPr>
          <w:p w14:paraId="49A7FDCA">
            <w:pPr>
              <w:keepNext w:val="0"/>
              <w:keepLines w:val="0"/>
              <w:pageBreakBefore w:val="0"/>
              <w:kinsoku/>
              <w:wordWrap/>
              <w:overflowPunct/>
              <w:topLinePunct w:val="0"/>
              <w:autoSpaceDE/>
              <w:autoSpaceDN/>
              <w:bidi w:val="0"/>
              <w:adjustRightInd w:val="0"/>
              <w:snapToGrid w:val="0"/>
              <w:jc w:val="center"/>
              <w:textAlignment w:val="auto"/>
              <w:outlineLvl w:val="9"/>
              <w:rPr>
                <w:color w:val="auto"/>
                <w:szCs w:val="21"/>
                <w:highlight w:val="none"/>
              </w:rPr>
            </w:pPr>
            <w:r>
              <w:rPr>
                <w:color w:val="auto"/>
                <w:szCs w:val="21"/>
                <w:highlight w:val="none"/>
              </w:rPr>
              <w:t>2</w:t>
            </w:r>
          </w:p>
        </w:tc>
        <w:tc>
          <w:tcPr>
            <w:tcW w:w="4279" w:type="dxa"/>
            <w:noWrap w:val="0"/>
            <w:vAlign w:val="center"/>
          </w:tcPr>
          <w:p w14:paraId="34E024D1">
            <w:pPr>
              <w:keepNext w:val="0"/>
              <w:keepLines w:val="0"/>
              <w:pageBreakBefore w:val="0"/>
              <w:kinsoku/>
              <w:wordWrap/>
              <w:overflowPunct/>
              <w:topLinePunct w:val="0"/>
              <w:autoSpaceDE/>
              <w:autoSpaceDN/>
              <w:bidi w:val="0"/>
              <w:adjustRightInd w:val="0"/>
              <w:snapToGrid w:val="0"/>
              <w:jc w:val="center"/>
              <w:textAlignment w:val="auto"/>
              <w:outlineLvl w:val="9"/>
              <w:rPr>
                <w:color w:val="auto"/>
                <w:szCs w:val="21"/>
                <w:highlight w:val="none"/>
              </w:rPr>
            </w:pPr>
            <w:r>
              <w:rPr>
                <w:rFonts w:hint="eastAsia" w:hAnsi="宋体"/>
                <w:color w:val="auto"/>
                <w:szCs w:val="21"/>
                <w:highlight w:val="none"/>
                <w:lang w:eastAsia="zh-CN"/>
              </w:rPr>
              <w:t>电钻</w:t>
            </w:r>
          </w:p>
        </w:tc>
        <w:tc>
          <w:tcPr>
            <w:tcW w:w="3680" w:type="dxa"/>
            <w:noWrap w:val="0"/>
            <w:vAlign w:val="center"/>
          </w:tcPr>
          <w:p w14:paraId="185D158A">
            <w:pPr>
              <w:keepNext w:val="0"/>
              <w:keepLines w:val="0"/>
              <w:pageBreakBefore w:val="0"/>
              <w:kinsoku/>
              <w:wordWrap/>
              <w:overflowPunct/>
              <w:topLinePunct w:val="0"/>
              <w:autoSpaceDE/>
              <w:autoSpaceDN/>
              <w:bidi w:val="0"/>
              <w:adjustRightInd w:val="0"/>
              <w:snapToGrid w:val="0"/>
              <w:jc w:val="center"/>
              <w:textAlignment w:val="auto"/>
              <w:outlineLvl w:val="9"/>
              <w:rPr>
                <w:rFonts w:eastAsia="仿宋_GB2312"/>
                <w:bCs/>
                <w:color w:val="auto"/>
                <w:szCs w:val="21"/>
                <w:highlight w:val="none"/>
              </w:rPr>
            </w:pPr>
            <w:r>
              <w:rPr>
                <w:rFonts w:hint="eastAsia" w:eastAsia="仿宋_GB2312"/>
                <w:bCs/>
                <w:color w:val="auto"/>
                <w:szCs w:val="21"/>
                <w:highlight w:val="none"/>
                <w:lang w:val="en-US" w:eastAsia="zh-CN"/>
              </w:rPr>
              <w:t>75</w:t>
            </w:r>
          </w:p>
        </w:tc>
      </w:tr>
      <w:tr w14:paraId="1E22F45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27" w:type="dxa"/>
            <w:noWrap w:val="0"/>
            <w:vAlign w:val="center"/>
          </w:tcPr>
          <w:p w14:paraId="6BB497D0">
            <w:pPr>
              <w:keepNext w:val="0"/>
              <w:keepLines w:val="0"/>
              <w:pageBreakBefore w:val="0"/>
              <w:kinsoku/>
              <w:wordWrap/>
              <w:overflowPunct/>
              <w:topLinePunct w:val="0"/>
              <w:autoSpaceDE/>
              <w:autoSpaceDN/>
              <w:bidi w:val="0"/>
              <w:adjustRightInd w:val="0"/>
              <w:snapToGrid w:val="0"/>
              <w:jc w:val="center"/>
              <w:textAlignment w:val="auto"/>
              <w:outlineLvl w:val="9"/>
              <w:rPr>
                <w:color w:val="auto"/>
                <w:szCs w:val="21"/>
                <w:highlight w:val="none"/>
              </w:rPr>
            </w:pPr>
            <w:r>
              <w:rPr>
                <w:color w:val="auto"/>
                <w:szCs w:val="21"/>
                <w:highlight w:val="none"/>
              </w:rPr>
              <w:t>3</w:t>
            </w:r>
          </w:p>
        </w:tc>
        <w:tc>
          <w:tcPr>
            <w:tcW w:w="4279" w:type="dxa"/>
            <w:noWrap w:val="0"/>
            <w:vAlign w:val="center"/>
          </w:tcPr>
          <w:p w14:paraId="751303AB">
            <w:pPr>
              <w:keepNext w:val="0"/>
              <w:keepLines w:val="0"/>
              <w:pageBreakBefore w:val="0"/>
              <w:kinsoku/>
              <w:wordWrap/>
              <w:overflowPunct/>
              <w:topLinePunct w:val="0"/>
              <w:autoSpaceDE/>
              <w:autoSpaceDN/>
              <w:bidi w:val="0"/>
              <w:adjustRightInd w:val="0"/>
              <w:snapToGrid w:val="0"/>
              <w:jc w:val="center"/>
              <w:textAlignment w:val="auto"/>
              <w:outlineLvl w:val="9"/>
              <w:rPr>
                <w:color w:val="auto"/>
                <w:szCs w:val="21"/>
                <w:highlight w:val="none"/>
              </w:rPr>
            </w:pPr>
            <w:r>
              <w:rPr>
                <w:rFonts w:hint="eastAsia" w:hAnsi="宋体"/>
                <w:bCs/>
                <w:color w:val="auto"/>
                <w:szCs w:val="21"/>
                <w:highlight w:val="none"/>
                <w:lang w:eastAsia="zh-CN"/>
              </w:rPr>
              <w:t>建筑材料</w:t>
            </w:r>
            <w:r>
              <w:rPr>
                <w:rFonts w:hint="eastAsia" w:hAnsi="宋体"/>
                <w:bCs/>
                <w:color w:val="auto"/>
                <w:szCs w:val="21"/>
                <w:highlight w:val="none"/>
              </w:rPr>
              <w:t>运输</w:t>
            </w:r>
            <w:r>
              <w:rPr>
                <w:rFonts w:hint="eastAsia" w:hAnsi="宋体"/>
                <w:bCs/>
                <w:color w:val="auto"/>
                <w:szCs w:val="21"/>
                <w:highlight w:val="none"/>
                <w:lang w:eastAsia="zh-CN"/>
              </w:rPr>
              <w:t>车辆</w:t>
            </w:r>
          </w:p>
        </w:tc>
        <w:tc>
          <w:tcPr>
            <w:tcW w:w="3680" w:type="dxa"/>
            <w:noWrap w:val="0"/>
            <w:vAlign w:val="center"/>
          </w:tcPr>
          <w:p w14:paraId="2DDBBCB3">
            <w:pPr>
              <w:keepNext w:val="0"/>
              <w:keepLines w:val="0"/>
              <w:pageBreakBefore w:val="0"/>
              <w:kinsoku/>
              <w:wordWrap/>
              <w:overflowPunct/>
              <w:topLinePunct w:val="0"/>
              <w:autoSpaceDE/>
              <w:autoSpaceDN/>
              <w:bidi w:val="0"/>
              <w:adjustRightInd w:val="0"/>
              <w:snapToGrid w:val="0"/>
              <w:jc w:val="center"/>
              <w:textAlignment w:val="auto"/>
              <w:outlineLvl w:val="9"/>
              <w:rPr>
                <w:rFonts w:eastAsia="仿宋_GB2312"/>
                <w:bCs/>
                <w:color w:val="auto"/>
                <w:szCs w:val="21"/>
                <w:highlight w:val="none"/>
              </w:rPr>
            </w:pPr>
            <w:r>
              <w:rPr>
                <w:rFonts w:eastAsia="仿宋_GB2312"/>
                <w:bCs/>
                <w:color w:val="auto"/>
                <w:szCs w:val="21"/>
                <w:highlight w:val="none"/>
              </w:rPr>
              <w:t>8</w:t>
            </w:r>
            <w:r>
              <w:rPr>
                <w:rFonts w:hint="eastAsia" w:eastAsia="仿宋_GB2312"/>
                <w:bCs/>
                <w:color w:val="auto"/>
                <w:szCs w:val="21"/>
                <w:highlight w:val="none"/>
              </w:rPr>
              <w:t>0</w:t>
            </w:r>
          </w:p>
        </w:tc>
      </w:tr>
    </w:tbl>
    <w:p w14:paraId="525C52F8">
      <w:pPr>
        <w:adjustRightInd w:val="0"/>
        <w:snapToGrid w:val="0"/>
        <w:spacing w:line="360" w:lineRule="auto"/>
        <w:ind w:firstLine="480"/>
        <w:rPr>
          <w:rFonts w:hint="eastAsia"/>
          <w:color w:val="auto"/>
          <w:sz w:val="24"/>
          <w:highlight w:val="none"/>
        </w:rPr>
      </w:pPr>
      <w:r>
        <w:rPr>
          <w:rFonts w:hint="eastAsia"/>
          <w:color w:val="auto"/>
          <w:sz w:val="24"/>
          <w:highlight w:val="none"/>
        </w:rPr>
        <w:t>项目施工期的噪声将对项目场地周围环境噪声产生影响，因此，本评价将根据施工噪声的厂界值标准要求，类比预测施工过程中施工活动的噪声对周围环境的影响范围。</w:t>
      </w:r>
    </w:p>
    <w:p w14:paraId="0CB3D7C2">
      <w:pPr>
        <w:adjustRightInd w:val="0"/>
        <w:snapToGrid w:val="0"/>
        <w:spacing w:line="360" w:lineRule="auto"/>
        <w:ind w:firstLine="480"/>
        <w:rPr>
          <w:color w:val="auto"/>
          <w:sz w:val="24"/>
          <w:highlight w:val="none"/>
        </w:rPr>
      </w:pPr>
      <w:r>
        <w:rPr>
          <w:rFonts w:hint="eastAsia"/>
          <w:color w:val="auto"/>
          <w:sz w:val="24"/>
          <w:highlight w:val="none"/>
        </w:rPr>
        <w:t>（</w:t>
      </w:r>
      <w:r>
        <w:rPr>
          <w:color w:val="auto"/>
          <w:sz w:val="24"/>
          <w:highlight w:val="none"/>
        </w:rPr>
        <w:t>1）预测公式：固定噪声源影响预测采用《环境影响评价技术导则——声环境》（HJ/T2.4-1995）推荐的“无指向性点声源几何发散衰减公式”：</w:t>
      </w:r>
    </w:p>
    <w:p w14:paraId="2F88D737">
      <w:pPr>
        <w:adjustRightInd w:val="0"/>
        <w:snapToGrid w:val="0"/>
        <w:spacing w:line="360" w:lineRule="auto"/>
        <w:ind w:firstLine="480"/>
        <w:jc w:val="center"/>
        <w:rPr>
          <w:color w:val="auto"/>
          <w:sz w:val="24"/>
          <w:highlight w:val="none"/>
        </w:rPr>
      </w:pPr>
      <w:r>
        <w:rPr>
          <w:color w:val="auto"/>
          <w:sz w:val="24"/>
          <w:highlight w:val="none"/>
        </w:rPr>
        <w:drawing>
          <wp:inline distT="0" distB="0" distL="114300" distR="114300">
            <wp:extent cx="1423670" cy="250190"/>
            <wp:effectExtent l="0" t="0" r="5080" b="17145"/>
            <wp:docPr id="11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24"/>
                    <pic:cNvPicPr>
                      <a:picLocks noChangeAspect="1"/>
                    </pic:cNvPicPr>
                  </pic:nvPicPr>
                  <pic:blipFill>
                    <a:blip r:embed="rId17"/>
                    <a:stretch>
                      <a:fillRect/>
                    </a:stretch>
                  </pic:blipFill>
                  <pic:spPr>
                    <a:xfrm>
                      <a:off x="0" y="0"/>
                      <a:ext cx="1423670" cy="250190"/>
                    </a:xfrm>
                    <a:prstGeom prst="rect">
                      <a:avLst/>
                    </a:prstGeom>
                    <a:noFill/>
                    <a:ln w="9525">
                      <a:noFill/>
                    </a:ln>
                  </pic:spPr>
                </pic:pic>
              </a:graphicData>
            </a:graphic>
          </wp:inline>
        </w:drawing>
      </w:r>
    </w:p>
    <w:p w14:paraId="5F0B0B84">
      <w:pPr>
        <w:adjustRightInd w:val="0"/>
        <w:snapToGrid w:val="0"/>
        <w:spacing w:line="360" w:lineRule="auto"/>
        <w:ind w:firstLine="480" w:firstLineChars="200"/>
        <w:rPr>
          <w:color w:val="auto"/>
          <w:sz w:val="24"/>
          <w:highlight w:val="none"/>
        </w:rPr>
      </w:pPr>
      <w:r>
        <w:rPr>
          <w:color w:val="auto"/>
          <w:sz w:val="24"/>
          <w:highlight w:val="none"/>
        </w:rPr>
        <w:t>式中：r、r</w:t>
      </w:r>
      <w:r>
        <w:rPr>
          <w:color w:val="auto"/>
          <w:sz w:val="24"/>
          <w:highlight w:val="none"/>
          <w:vertAlign w:val="subscript"/>
        </w:rPr>
        <w:t>0</w:t>
      </w:r>
      <w:r>
        <w:rPr>
          <w:rFonts w:hint="eastAsia"/>
          <w:color w:val="auto"/>
          <w:sz w:val="24"/>
          <w:highlight w:val="none"/>
          <w:vertAlign w:val="subscript"/>
        </w:rPr>
        <w:t xml:space="preserve"> </w:t>
      </w:r>
      <w:r>
        <w:rPr>
          <w:color w:val="auto"/>
          <w:sz w:val="24"/>
          <w:highlight w:val="none"/>
        </w:rPr>
        <w:t>——</w:t>
      </w:r>
      <w:r>
        <w:rPr>
          <w:rFonts w:hint="eastAsia"/>
          <w:color w:val="auto"/>
          <w:sz w:val="24"/>
          <w:highlight w:val="none"/>
        </w:rPr>
        <w:t xml:space="preserve"> </w:t>
      </w:r>
      <w:r>
        <w:rPr>
          <w:color w:val="auto"/>
          <w:sz w:val="24"/>
          <w:highlight w:val="none"/>
        </w:rPr>
        <w:t>距声源的距离，m；</w:t>
      </w:r>
    </w:p>
    <w:p w14:paraId="5E4FCE21">
      <w:pPr>
        <w:adjustRightInd w:val="0"/>
        <w:snapToGrid w:val="0"/>
        <w:spacing w:line="360" w:lineRule="auto"/>
        <w:ind w:firstLine="1200" w:firstLineChars="500"/>
        <w:rPr>
          <w:color w:val="auto"/>
          <w:sz w:val="24"/>
          <w:highlight w:val="none"/>
        </w:rPr>
      </w:pPr>
      <w:r>
        <w:rPr>
          <w:color w:val="auto"/>
          <w:sz w:val="24"/>
          <w:highlight w:val="none"/>
        </w:rPr>
        <w:t>L</w:t>
      </w:r>
      <w:r>
        <w:rPr>
          <w:color w:val="auto"/>
          <w:sz w:val="24"/>
          <w:highlight w:val="none"/>
          <w:vertAlign w:val="subscript"/>
        </w:rPr>
        <w:t>(r)</w:t>
      </w:r>
      <w:r>
        <w:rPr>
          <w:color w:val="auto"/>
          <w:sz w:val="24"/>
          <w:highlight w:val="none"/>
        </w:rPr>
        <w:t>、L</w:t>
      </w:r>
      <w:r>
        <w:rPr>
          <w:color w:val="auto"/>
          <w:sz w:val="24"/>
          <w:highlight w:val="none"/>
          <w:vertAlign w:val="subscript"/>
        </w:rPr>
        <w:t>(r0)</w:t>
      </w:r>
      <w:r>
        <w:rPr>
          <w:rFonts w:hint="eastAsia"/>
          <w:color w:val="auto"/>
          <w:sz w:val="24"/>
          <w:highlight w:val="none"/>
          <w:vertAlign w:val="subscript"/>
        </w:rPr>
        <w:t xml:space="preserve"> </w:t>
      </w:r>
      <w:r>
        <w:rPr>
          <w:color w:val="auto"/>
          <w:sz w:val="24"/>
          <w:highlight w:val="none"/>
        </w:rPr>
        <w:t>——</w:t>
      </w:r>
      <w:r>
        <w:rPr>
          <w:rFonts w:hint="eastAsia"/>
          <w:color w:val="auto"/>
          <w:sz w:val="24"/>
          <w:highlight w:val="none"/>
        </w:rPr>
        <w:t xml:space="preserve"> </w:t>
      </w:r>
      <w:r>
        <w:rPr>
          <w:color w:val="auto"/>
          <w:sz w:val="24"/>
          <w:highlight w:val="none"/>
        </w:rPr>
        <w:t>r、r</w:t>
      </w:r>
      <w:r>
        <w:rPr>
          <w:color w:val="auto"/>
          <w:sz w:val="24"/>
          <w:highlight w:val="none"/>
          <w:vertAlign w:val="subscript"/>
        </w:rPr>
        <w:t>0</w:t>
      </w:r>
      <w:r>
        <w:rPr>
          <w:color w:val="auto"/>
          <w:sz w:val="24"/>
          <w:highlight w:val="none"/>
        </w:rPr>
        <w:t>处的声强级，dB(A)</w:t>
      </w:r>
    </w:p>
    <w:p w14:paraId="6C368074">
      <w:pPr>
        <w:adjustRightInd w:val="0"/>
        <w:snapToGrid w:val="0"/>
        <w:spacing w:line="360" w:lineRule="auto"/>
        <w:ind w:firstLine="480"/>
        <w:rPr>
          <w:color w:val="auto"/>
          <w:sz w:val="24"/>
          <w:highlight w:val="none"/>
        </w:rPr>
      </w:pPr>
      <w:r>
        <w:rPr>
          <w:rFonts w:hint="eastAsia"/>
          <w:color w:val="auto"/>
          <w:sz w:val="24"/>
          <w:highlight w:val="none"/>
        </w:rPr>
        <w:t>（</w:t>
      </w:r>
      <w:r>
        <w:rPr>
          <w:color w:val="auto"/>
          <w:sz w:val="24"/>
          <w:highlight w:val="none"/>
        </w:rPr>
        <w:t>2）评价标准</w:t>
      </w:r>
    </w:p>
    <w:p w14:paraId="3A4F1C22">
      <w:pPr>
        <w:adjustRightInd w:val="0"/>
        <w:snapToGrid w:val="0"/>
        <w:spacing w:line="360" w:lineRule="auto"/>
        <w:ind w:firstLine="480"/>
        <w:rPr>
          <w:color w:val="auto"/>
          <w:sz w:val="24"/>
          <w:highlight w:val="none"/>
        </w:rPr>
      </w:pPr>
      <w:r>
        <w:rPr>
          <w:color w:val="auto"/>
          <w:sz w:val="24"/>
          <w:highlight w:val="none"/>
        </w:rPr>
        <w:t>评价标准采用《建筑施工场界噪声标准》（GB12523-2011），标准限值见</w:t>
      </w:r>
      <w:r>
        <w:rPr>
          <w:rFonts w:hint="eastAsia"/>
          <w:color w:val="auto"/>
          <w:sz w:val="24"/>
          <w:highlight w:val="none"/>
          <w:lang w:eastAsia="zh-CN"/>
        </w:rPr>
        <w:t>下表：</w:t>
      </w:r>
    </w:p>
    <w:p w14:paraId="6583FFCA">
      <w:pPr>
        <w:adjustRightInd w:val="0"/>
        <w:snapToGrid w:val="0"/>
        <w:jc w:val="both"/>
        <w:rPr>
          <w:b/>
          <w:color w:val="auto"/>
          <w:szCs w:val="21"/>
          <w:highlight w:val="none"/>
        </w:rPr>
      </w:pPr>
      <w:r>
        <w:rPr>
          <w:b/>
          <w:color w:val="auto"/>
          <w:szCs w:val="21"/>
          <w:highlight w:val="none"/>
        </w:rPr>
        <w:t>表</w:t>
      </w:r>
      <w:r>
        <w:rPr>
          <w:rFonts w:hint="eastAsia"/>
          <w:b/>
          <w:color w:val="auto"/>
          <w:szCs w:val="21"/>
          <w:highlight w:val="none"/>
          <w:lang w:val="en-US" w:eastAsia="zh-CN"/>
        </w:rPr>
        <w:t>27</w:t>
      </w:r>
      <w:r>
        <w:rPr>
          <w:b/>
          <w:color w:val="auto"/>
          <w:szCs w:val="21"/>
          <w:highlight w:val="none"/>
        </w:rPr>
        <w:t xml:space="preserve">  </w:t>
      </w:r>
      <w:r>
        <w:rPr>
          <w:rFonts w:hint="eastAsia"/>
          <w:b/>
          <w:color w:val="auto"/>
          <w:szCs w:val="21"/>
          <w:highlight w:val="none"/>
          <w:lang w:val="en-US" w:eastAsia="zh-CN"/>
        </w:rPr>
        <w:t xml:space="preserve">                      </w:t>
      </w:r>
      <w:r>
        <w:rPr>
          <w:b/>
          <w:color w:val="auto"/>
          <w:szCs w:val="21"/>
          <w:highlight w:val="none"/>
        </w:rPr>
        <w:t>建筑施工场界噪声标准</w:t>
      </w:r>
    </w:p>
    <w:tbl>
      <w:tblPr>
        <w:tblStyle w:val="24"/>
        <w:tblW w:w="9286"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4338"/>
        <w:gridCol w:w="4948"/>
      </w:tblGrid>
      <w:tr w14:paraId="510DAC3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338" w:type="dxa"/>
            <w:noWrap w:val="0"/>
            <w:vAlign w:val="center"/>
          </w:tcPr>
          <w:p w14:paraId="70A7CC68">
            <w:pPr>
              <w:adjustRightInd w:val="0"/>
              <w:snapToGrid w:val="0"/>
              <w:jc w:val="center"/>
              <w:rPr>
                <w:color w:val="auto"/>
                <w:szCs w:val="21"/>
                <w:highlight w:val="none"/>
              </w:rPr>
            </w:pPr>
            <w:r>
              <w:rPr>
                <w:color w:val="auto"/>
                <w:szCs w:val="21"/>
                <w:highlight w:val="none"/>
              </w:rPr>
              <w:t>昼间噪声限值</w:t>
            </w:r>
          </w:p>
        </w:tc>
        <w:tc>
          <w:tcPr>
            <w:tcW w:w="4948" w:type="dxa"/>
            <w:noWrap w:val="0"/>
            <w:vAlign w:val="center"/>
          </w:tcPr>
          <w:p w14:paraId="0B3D134C">
            <w:pPr>
              <w:adjustRightInd w:val="0"/>
              <w:snapToGrid w:val="0"/>
              <w:jc w:val="center"/>
              <w:rPr>
                <w:color w:val="auto"/>
                <w:szCs w:val="21"/>
                <w:highlight w:val="none"/>
              </w:rPr>
            </w:pPr>
            <w:r>
              <w:rPr>
                <w:color w:val="auto"/>
                <w:szCs w:val="21"/>
                <w:highlight w:val="none"/>
              </w:rPr>
              <w:t>夜间噪声限值</w:t>
            </w:r>
          </w:p>
        </w:tc>
      </w:tr>
      <w:tr w14:paraId="0767D0D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338" w:type="dxa"/>
            <w:noWrap w:val="0"/>
            <w:vAlign w:val="center"/>
          </w:tcPr>
          <w:p w14:paraId="52312220">
            <w:pPr>
              <w:adjustRightInd w:val="0"/>
              <w:snapToGrid w:val="0"/>
              <w:jc w:val="center"/>
              <w:rPr>
                <w:color w:val="auto"/>
                <w:szCs w:val="21"/>
                <w:highlight w:val="none"/>
              </w:rPr>
            </w:pPr>
            <w:r>
              <w:rPr>
                <w:color w:val="auto"/>
                <w:szCs w:val="21"/>
                <w:highlight w:val="none"/>
              </w:rPr>
              <w:t>70</w:t>
            </w:r>
          </w:p>
        </w:tc>
        <w:tc>
          <w:tcPr>
            <w:tcW w:w="4948" w:type="dxa"/>
            <w:noWrap w:val="0"/>
            <w:vAlign w:val="center"/>
          </w:tcPr>
          <w:p w14:paraId="020223E2">
            <w:pPr>
              <w:adjustRightInd w:val="0"/>
              <w:snapToGrid w:val="0"/>
              <w:jc w:val="center"/>
              <w:rPr>
                <w:color w:val="auto"/>
                <w:szCs w:val="21"/>
                <w:highlight w:val="none"/>
              </w:rPr>
            </w:pPr>
            <w:r>
              <w:rPr>
                <w:color w:val="auto"/>
                <w:szCs w:val="21"/>
                <w:highlight w:val="none"/>
              </w:rPr>
              <w:t>55</w:t>
            </w:r>
          </w:p>
        </w:tc>
      </w:tr>
    </w:tbl>
    <w:p w14:paraId="352CA80C">
      <w:pPr>
        <w:adjustRightInd w:val="0"/>
        <w:snapToGrid w:val="0"/>
        <w:spacing w:line="360" w:lineRule="auto"/>
        <w:ind w:firstLine="480"/>
        <w:rPr>
          <w:color w:val="auto"/>
          <w:sz w:val="24"/>
          <w:highlight w:val="none"/>
        </w:rPr>
      </w:pPr>
      <w:r>
        <w:rPr>
          <w:rFonts w:hint="eastAsia"/>
          <w:color w:val="auto"/>
          <w:sz w:val="24"/>
          <w:highlight w:val="none"/>
          <w:lang w:eastAsia="zh-CN"/>
        </w:rPr>
        <w:t>（</w:t>
      </w:r>
      <w:r>
        <w:rPr>
          <w:color w:val="auto"/>
          <w:sz w:val="24"/>
          <w:highlight w:val="none"/>
        </w:rPr>
        <w:t>3）预测结果与评价</w:t>
      </w:r>
    </w:p>
    <w:p w14:paraId="667B4429">
      <w:pPr>
        <w:adjustRightInd w:val="0"/>
        <w:snapToGrid w:val="0"/>
        <w:spacing w:line="360" w:lineRule="auto"/>
        <w:ind w:firstLine="480"/>
        <w:rPr>
          <w:color w:val="auto"/>
          <w:sz w:val="24"/>
          <w:highlight w:val="none"/>
        </w:rPr>
      </w:pPr>
      <w:r>
        <w:rPr>
          <w:color w:val="auto"/>
          <w:sz w:val="24"/>
          <w:highlight w:val="none"/>
        </w:rPr>
        <w:t>施工期噪声影响预测结果见表</w:t>
      </w:r>
      <w:r>
        <w:rPr>
          <w:rFonts w:hint="eastAsia"/>
          <w:color w:val="auto"/>
          <w:sz w:val="24"/>
          <w:highlight w:val="none"/>
          <w:lang w:val="en-US" w:eastAsia="zh-CN"/>
        </w:rPr>
        <w:t>28</w:t>
      </w:r>
      <w:r>
        <w:rPr>
          <w:color w:val="auto"/>
          <w:sz w:val="24"/>
          <w:highlight w:val="none"/>
        </w:rPr>
        <w:t>。</w:t>
      </w:r>
    </w:p>
    <w:p w14:paraId="08B3E9DB">
      <w:pPr>
        <w:adjustRightInd w:val="0"/>
        <w:snapToGrid w:val="0"/>
        <w:jc w:val="both"/>
        <w:rPr>
          <w:b/>
          <w:color w:val="auto"/>
          <w:szCs w:val="21"/>
          <w:highlight w:val="none"/>
        </w:rPr>
      </w:pPr>
      <w:r>
        <w:rPr>
          <w:b/>
          <w:color w:val="auto"/>
          <w:szCs w:val="21"/>
          <w:highlight w:val="none"/>
        </w:rPr>
        <w:t>表</w:t>
      </w:r>
      <w:r>
        <w:rPr>
          <w:rFonts w:hint="eastAsia"/>
          <w:b/>
          <w:color w:val="auto"/>
          <w:szCs w:val="21"/>
          <w:highlight w:val="none"/>
          <w:lang w:val="en-US" w:eastAsia="zh-CN"/>
        </w:rPr>
        <w:t>28</w:t>
      </w:r>
      <w:r>
        <w:rPr>
          <w:b/>
          <w:color w:val="auto"/>
          <w:szCs w:val="21"/>
          <w:highlight w:val="none"/>
        </w:rPr>
        <w:t xml:space="preserve"> </w:t>
      </w:r>
      <w:r>
        <w:rPr>
          <w:rFonts w:hint="eastAsia"/>
          <w:b/>
          <w:color w:val="auto"/>
          <w:szCs w:val="21"/>
          <w:highlight w:val="none"/>
          <w:lang w:val="en-US" w:eastAsia="zh-CN"/>
        </w:rPr>
        <w:t xml:space="preserve">                     </w:t>
      </w:r>
      <w:r>
        <w:rPr>
          <w:b/>
          <w:color w:val="auto"/>
          <w:szCs w:val="21"/>
          <w:highlight w:val="none"/>
        </w:rPr>
        <w:t>环境噪声影响预测结果表（单位：dB(A)）</w:t>
      </w:r>
    </w:p>
    <w:tbl>
      <w:tblPr>
        <w:tblStyle w:val="24"/>
        <w:tblW w:w="9286" w:type="dxa"/>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1513"/>
        <w:gridCol w:w="780"/>
        <w:gridCol w:w="840"/>
        <w:gridCol w:w="930"/>
        <w:gridCol w:w="840"/>
        <w:gridCol w:w="885"/>
        <w:gridCol w:w="810"/>
        <w:gridCol w:w="809"/>
        <w:gridCol w:w="856"/>
        <w:gridCol w:w="1023"/>
      </w:tblGrid>
      <w:tr w14:paraId="570F9B8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513" w:type="dxa"/>
            <w:vMerge w:val="restart"/>
            <w:noWrap w:val="0"/>
            <w:vAlign w:val="center"/>
          </w:tcPr>
          <w:p w14:paraId="4E455542">
            <w:pPr>
              <w:adjustRightInd w:val="0"/>
              <w:snapToGrid w:val="0"/>
              <w:jc w:val="center"/>
              <w:rPr>
                <w:color w:val="auto"/>
                <w:szCs w:val="21"/>
                <w:highlight w:val="none"/>
              </w:rPr>
            </w:pPr>
            <w:r>
              <w:rPr>
                <w:color w:val="auto"/>
                <w:szCs w:val="21"/>
                <w:highlight w:val="none"/>
              </w:rPr>
              <w:t>声源</w:t>
            </w:r>
          </w:p>
        </w:tc>
        <w:tc>
          <w:tcPr>
            <w:tcW w:w="780" w:type="dxa"/>
            <w:vMerge w:val="restart"/>
            <w:noWrap w:val="0"/>
            <w:vAlign w:val="center"/>
          </w:tcPr>
          <w:p w14:paraId="10C46A01">
            <w:pPr>
              <w:adjustRightInd w:val="0"/>
              <w:snapToGrid w:val="0"/>
              <w:jc w:val="center"/>
              <w:rPr>
                <w:color w:val="auto"/>
                <w:szCs w:val="21"/>
                <w:highlight w:val="none"/>
              </w:rPr>
            </w:pPr>
            <w:r>
              <w:rPr>
                <w:color w:val="auto"/>
                <w:szCs w:val="21"/>
                <w:highlight w:val="none"/>
              </w:rPr>
              <w:t>噪声</w:t>
            </w:r>
          </w:p>
          <w:p w14:paraId="2464EC30">
            <w:pPr>
              <w:adjustRightInd w:val="0"/>
              <w:snapToGrid w:val="0"/>
              <w:jc w:val="center"/>
              <w:rPr>
                <w:color w:val="auto"/>
                <w:szCs w:val="21"/>
                <w:highlight w:val="none"/>
              </w:rPr>
            </w:pPr>
            <w:r>
              <w:rPr>
                <w:color w:val="auto"/>
                <w:szCs w:val="21"/>
                <w:highlight w:val="none"/>
              </w:rPr>
              <w:t>强度</w:t>
            </w:r>
          </w:p>
        </w:tc>
        <w:tc>
          <w:tcPr>
            <w:tcW w:w="5970" w:type="dxa"/>
            <w:gridSpan w:val="7"/>
            <w:noWrap w:val="0"/>
            <w:vAlign w:val="center"/>
          </w:tcPr>
          <w:p w14:paraId="3AC2BCB2">
            <w:pPr>
              <w:adjustRightInd w:val="0"/>
              <w:snapToGrid w:val="0"/>
              <w:jc w:val="center"/>
              <w:rPr>
                <w:color w:val="auto"/>
                <w:szCs w:val="21"/>
                <w:highlight w:val="none"/>
              </w:rPr>
            </w:pPr>
            <w:r>
              <w:rPr>
                <w:color w:val="auto"/>
                <w:szCs w:val="21"/>
                <w:highlight w:val="none"/>
              </w:rPr>
              <w:t>距声源距离（m）</w:t>
            </w:r>
          </w:p>
        </w:tc>
        <w:tc>
          <w:tcPr>
            <w:tcW w:w="1023" w:type="dxa"/>
            <w:noWrap w:val="0"/>
            <w:vAlign w:val="center"/>
          </w:tcPr>
          <w:p w14:paraId="753A145A">
            <w:pPr>
              <w:adjustRightInd w:val="0"/>
              <w:snapToGrid w:val="0"/>
              <w:jc w:val="center"/>
              <w:rPr>
                <w:b/>
                <w:color w:val="auto"/>
                <w:szCs w:val="21"/>
                <w:highlight w:val="none"/>
              </w:rPr>
            </w:pPr>
            <w:r>
              <w:rPr>
                <w:color w:val="auto"/>
                <w:szCs w:val="21"/>
                <w:highlight w:val="none"/>
              </w:rPr>
              <w:t>达标距离（m）</w:t>
            </w:r>
          </w:p>
        </w:tc>
      </w:tr>
      <w:tr w14:paraId="1218459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513" w:type="dxa"/>
            <w:vMerge w:val="continue"/>
            <w:noWrap w:val="0"/>
            <w:vAlign w:val="center"/>
          </w:tcPr>
          <w:p w14:paraId="2BB88FFA">
            <w:pPr>
              <w:adjustRightInd w:val="0"/>
              <w:snapToGrid w:val="0"/>
              <w:jc w:val="center"/>
              <w:rPr>
                <w:color w:val="auto"/>
                <w:szCs w:val="21"/>
                <w:highlight w:val="none"/>
              </w:rPr>
            </w:pPr>
          </w:p>
        </w:tc>
        <w:tc>
          <w:tcPr>
            <w:tcW w:w="780" w:type="dxa"/>
            <w:vMerge w:val="continue"/>
            <w:noWrap w:val="0"/>
            <w:vAlign w:val="center"/>
          </w:tcPr>
          <w:p w14:paraId="472DA1EE">
            <w:pPr>
              <w:adjustRightInd w:val="0"/>
              <w:snapToGrid w:val="0"/>
              <w:jc w:val="center"/>
              <w:rPr>
                <w:color w:val="auto"/>
                <w:szCs w:val="21"/>
                <w:highlight w:val="none"/>
              </w:rPr>
            </w:pPr>
          </w:p>
        </w:tc>
        <w:tc>
          <w:tcPr>
            <w:tcW w:w="840" w:type="dxa"/>
            <w:noWrap w:val="0"/>
            <w:vAlign w:val="center"/>
          </w:tcPr>
          <w:p w14:paraId="31AAD369">
            <w:pPr>
              <w:adjustRightInd w:val="0"/>
              <w:snapToGrid w:val="0"/>
              <w:jc w:val="center"/>
              <w:rPr>
                <w:rFonts w:hint="eastAsia" w:eastAsia="宋体"/>
                <w:color w:val="auto"/>
                <w:szCs w:val="21"/>
                <w:highlight w:val="none"/>
                <w:lang w:eastAsia="zh-CN"/>
              </w:rPr>
            </w:pPr>
            <w:r>
              <w:rPr>
                <w:rFonts w:hint="eastAsia"/>
                <w:color w:val="auto"/>
                <w:szCs w:val="21"/>
                <w:highlight w:val="none"/>
                <w:lang w:val="en-US" w:eastAsia="zh-CN"/>
              </w:rPr>
              <w:t>5</w:t>
            </w:r>
          </w:p>
        </w:tc>
        <w:tc>
          <w:tcPr>
            <w:tcW w:w="930" w:type="dxa"/>
            <w:noWrap w:val="0"/>
            <w:vAlign w:val="center"/>
          </w:tcPr>
          <w:p w14:paraId="42B92846">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10</w:t>
            </w:r>
          </w:p>
        </w:tc>
        <w:tc>
          <w:tcPr>
            <w:tcW w:w="840" w:type="dxa"/>
            <w:noWrap w:val="0"/>
            <w:vAlign w:val="center"/>
          </w:tcPr>
          <w:p w14:paraId="1A53C4CC">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20</w:t>
            </w:r>
          </w:p>
        </w:tc>
        <w:tc>
          <w:tcPr>
            <w:tcW w:w="885" w:type="dxa"/>
            <w:noWrap w:val="0"/>
            <w:vAlign w:val="center"/>
          </w:tcPr>
          <w:p w14:paraId="32A5BE7A">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40</w:t>
            </w:r>
          </w:p>
        </w:tc>
        <w:tc>
          <w:tcPr>
            <w:tcW w:w="810" w:type="dxa"/>
            <w:noWrap w:val="0"/>
            <w:vAlign w:val="center"/>
          </w:tcPr>
          <w:p w14:paraId="166CBB9E">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60</w:t>
            </w:r>
          </w:p>
        </w:tc>
        <w:tc>
          <w:tcPr>
            <w:tcW w:w="809" w:type="dxa"/>
            <w:noWrap w:val="0"/>
            <w:vAlign w:val="center"/>
          </w:tcPr>
          <w:p w14:paraId="40ABF158">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80</w:t>
            </w:r>
          </w:p>
        </w:tc>
        <w:tc>
          <w:tcPr>
            <w:tcW w:w="856" w:type="dxa"/>
            <w:noWrap w:val="0"/>
            <w:vAlign w:val="center"/>
          </w:tcPr>
          <w:p w14:paraId="5F33E684">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100</w:t>
            </w:r>
          </w:p>
        </w:tc>
        <w:tc>
          <w:tcPr>
            <w:tcW w:w="1023" w:type="dxa"/>
            <w:noWrap w:val="0"/>
            <w:vAlign w:val="center"/>
          </w:tcPr>
          <w:p w14:paraId="6E2FC523">
            <w:pPr>
              <w:adjustRightInd w:val="0"/>
              <w:snapToGrid w:val="0"/>
              <w:jc w:val="center"/>
              <w:rPr>
                <w:color w:val="auto"/>
                <w:szCs w:val="21"/>
                <w:highlight w:val="none"/>
              </w:rPr>
            </w:pPr>
            <w:r>
              <w:rPr>
                <w:color w:val="auto"/>
                <w:szCs w:val="21"/>
                <w:highlight w:val="none"/>
              </w:rPr>
              <w:t>昼间</w:t>
            </w:r>
          </w:p>
        </w:tc>
      </w:tr>
      <w:tr w14:paraId="2C44A9D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513" w:type="dxa"/>
            <w:noWrap w:val="0"/>
            <w:vAlign w:val="center"/>
          </w:tcPr>
          <w:p w14:paraId="4C0307C4">
            <w:pPr>
              <w:keepNext w:val="0"/>
              <w:keepLines w:val="0"/>
              <w:pageBreakBefore w:val="0"/>
              <w:kinsoku/>
              <w:wordWrap/>
              <w:overflowPunct/>
              <w:topLinePunct w:val="0"/>
              <w:autoSpaceDE/>
              <w:autoSpaceDN/>
              <w:bidi w:val="0"/>
              <w:adjustRightInd w:val="0"/>
              <w:snapToGrid w:val="0"/>
              <w:jc w:val="center"/>
              <w:textAlignment w:val="auto"/>
              <w:outlineLvl w:val="9"/>
              <w:rPr>
                <w:color w:val="auto"/>
                <w:szCs w:val="21"/>
                <w:highlight w:val="none"/>
              </w:rPr>
            </w:pPr>
            <w:r>
              <w:rPr>
                <w:rFonts w:hint="eastAsia" w:hAnsi="宋体"/>
                <w:color w:val="auto"/>
                <w:szCs w:val="21"/>
                <w:highlight w:val="none"/>
                <w:lang w:eastAsia="zh-CN"/>
              </w:rPr>
              <w:t>切割机</w:t>
            </w:r>
          </w:p>
        </w:tc>
        <w:tc>
          <w:tcPr>
            <w:tcW w:w="780" w:type="dxa"/>
            <w:noWrap w:val="0"/>
            <w:vAlign w:val="center"/>
          </w:tcPr>
          <w:p w14:paraId="3598FC13">
            <w:pPr>
              <w:keepNext w:val="0"/>
              <w:keepLines w:val="0"/>
              <w:pageBreakBefore w:val="0"/>
              <w:kinsoku/>
              <w:wordWrap/>
              <w:overflowPunct/>
              <w:topLinePunct w:val="0"/>
              <w:autoSpaceDE/>
              <w:autoSpaceDN/>
              <w:bidi w:val="0"/>
              <w:adjustRightInd w:val="0"/>
              <w:snapToGrid w:val="0"/>
              <w:jc w:val="center"/>
              <w:textAlignment w:val="auto"/>
              <w:outlineLvl w:val="9"/>
              <w:rPr>
                <w:color w:val="auto"/>
                <w:szCs w:val="21"/>
                <w:highlight w:val="none"/>
              </w:rPr>
            </w:pPr>
            <w:r>
              <w:rPr>
                <w:rFonts w:hint="eastAsia" w:eastAsia="仿宋_GB2312"/>
                <w:bCs/>
                <w:color w:val="auto"/>
                <w:szCs w:val="21"/>
                <w:highlight w:val="none"/>
                <w:lang w:val="en-US" w:eastAsia="zh-CN"/>
              </w:rPr>
              <w:t>80</w:t>
            </w:r>
          </w:p>
        </w:tc>
        <w:tc>
          <w:tcPr>
            <w:tcW w:w="840" w:type="dxa"/>
            <w:noWrap w:val="0"/>
            <w:vAlign w:val="center"/>
          </w:tcPr>
          <w:p w14:paraId="4FDA23CA">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66</w:t>
            </w:r>
          </w:p>
        </w:tc>
        <w:tc>
          <w:tcPr>
            <w:tcW w:w="930" w:type="dxa"/>
            <w:noWrap w:val="0"/>
            <w:vAlign w:val="center"/>
          </w:tcPr>
          <w:p w14:paraId="63BCC221">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60</w:t>
            </w:r>
          </w:p>
        </w:tc>
        <w:tc>
          <w:tcPr>
            <w:tcW w:w="840" w:type="dxa"/>
            <w:noWrap w:val="0"/>
            <w:vAlign w:val="center"/>
          </w:tcPr>
          <w:p w14:paraId="0ED01767">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54</w:t>
            </w:r>
          </w:p>
        </w:tc>
        <w:tc>
          <w:tcPr>
            <w:tcW w:w="885" w:type="dxa"/>
            <w:noWrap w:val="0"/>
            <w:vAlign w:val="center"/>
          </w:tcPr>
          <w:p w14:paraId="75330B36">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48</w:t>
            </w:r>
          </w:p>
        </w:tc>
        <w:tc>
          <w:tcPr>
            <w:tcW w:w="810" w:type="dxa"/>
            <w:noWrap w:val="0"/>
            <w:vAlign w:val="center"/>
          </w:tcPr>
          <w:p w14:paraId="110B01F7">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44.4</w:t>
            </w:r>
          </w:p>
        </w:tc>
        <w:tc>
          <w:tcPr>
            <w:tcW w:w="809" w:type="dxa"/>
            <w:noWrap w:val="0"/>
            <w:vAlign w:val="center"/>
          </w:tcPr>
          <w:p w14:paraId="38D05B50">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41.9</w:t>
            </w:r>
          </w:p>
        </w:tc>
        <w:tc>
          <w:tcPr>
            <w:tcW w:w="856" w:type="dxa"/>
            <w:noWrap w:val="0"/>
            <w:vAlign w:val="center"/>
          </w:tcPr>
          <w:p w14:paraId="6E43C860">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40</w:t>
            </w:r>
          </w:p>
        </w:tc>
        <w:tc>
          <w:tcPr>
            <w:tcW w:w="1023" w:type="dxa"/>
            <w:noWrap w:val="0"/>
            <w:vAlign w:val="center"/>
          </w:tcPr>
          <w:p w14:paraId="4FF2BD1B">
            <w:pPr>
              <w:adjustRightInd w:val="0"/>
              <w:snapToGrid w:val="0"/>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3.2</w:t>
            </w:r>
          </w:p>
        </w:tc>
      </w:tr>
      <w:tr w14:paraId="7C59D3C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513" w:type="dxa"/>
            <w:noWrap w:val="0"/>
            <w:vAlign w:val="center"/>
          </w:tcPr>
          <w:p w14:paraId="41E5DBE5">
            <w:pPr>
              <w:keepNext w:val="0"/>
              <w:keepLines w:val="0"/>
              <w:pageBreakBefore w:val="0"/>
              <w:kinsoku/>
              <w:wordWrap/>
              <w:overflowPunct/>
              <w:topLinePunct w:val="0"/>
              <w:autoSpaceDE/>
              <w:autoSpaceDN/>
              <w:bidi w:val="0"/>
              <w:adjustRightInd w:val="0"/>
              <w:snapToGrid w:val="0"/>
              <w:jc w:val="center"/>
              <w:textAlignment w:val="auto"/>
              <w:outlineLvl w:val="9"/>
              <w:rPr>
                <w:color w:val="auto"/>
                <w:szCs w:val="21"/>
                <w:highlight w:val="none"/>
              </w:rPr>
            </w:pPr>
            <w:r>
              <w:rPr>
                <w:rFonts w:hint="eastAsia" w:hAnsi="宋体"/>
                <w:color w:val="auto"/>
                <w:szCs w:val="21"/>
                <w:highlight w:val="none"/>
                <w:lang w:eastAsia="zh-CN"/>
              </w:rPr>
              <w:t>电钻</w:t>
            </w:r>
          </w:p>
        </w:tc>
        <w:tc>
          <w:tcPr>
            <w:tcW w:w="780" w:type="dxa"/>
            <w:noWrap w:val="0"/>
            <w:vAlign w:val="center"/>
          </w:tcPr>
          <w:p w14:paraId="3BB4DAE9">
            <w:pPr>
              <w:keepNext w:val="0"/>
              <w:keepLines w:val="0"/>
              <w:pageBreakBefore w:val="0"/>
              <w:kinsoku/>
              <w:wordWrap/>
              <w:overflowPunct/>
              <w:topLinePunct w:val="0"/>
              <w:autoSpaceDE/>
              <w:autoSpaceDN/>
              <w:bidi w:val="0"/>
              <w:adjustRightInd w:val="0"/>
              <w:snapToGrid w:val="0"/>
              <w:jc w:val="center"/>
              <w:textAlignment w:val="auto"/>
              <w:outlineLvl w:val="9"/>
              <w:rPr>
                <w:rFonts w:hint="eastAsia"/>
                <w:color w:val="auto"/>
                <w:szCs w:val="21"/>
                <w:highlight w:val="none"/>
              </w:rPr>
            </w:pPr>
            <w:r>
              <w:rPr>
                <w:rFonts w:hint="eastAsia" w:eastAsia="仿宋_GB2312"/>
                <w:bCs/>
                <w:color w:val="auto"/>
                <w:szCs w:val="21"/>
                <w:highlight w:val="none"/>
                <w:lang w:val="en-US" w:eastAsia="zh-CN"/>
              </w:rPr>
              <w:t>75</w:t>
            </w:r>
          </w:p>
        </w:tc>
        <w:tc>
          <w:tcPr>
            <w:tcW w:w="840" w:type="dxa"/>
            <w:noWrap w:val="0"/>
            <w:vAlign w:val="center"/>
          </w:tcPr>
          <w:p w14:paraId="5CB5F84F">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61</w:t>
            </w:r>
          </w:p>
        </w:tc>
        <w:tc>
          <w:tcPr>
            <w:tcW w:w="930" w:type="dxa"/>
            <w:noWrap w:val="0"/>
            <w:vAlign w:val="center"/>
          </w:tcPr>
          <w:p w14:paraId="448CE233">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55</w:t>
            </w:r>
          </w:p>
        </w:tc>
        <w:tc>
          <w:tcPr>
            <w:tcW w:w="840" w:type="dxa"/>
            <w:noWrap w:val="0"/>
            <w:vAlign w:val="center"/>
          </w:tcPr>
          <w:p w14:paraId="64E2EF54">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49</w:t>
            </w:r>
          </w:p>
        </w:tc>
        <w:tc>
          <w:tcPr>
            <w:tcW w:w="885" w:type="dxa"/>
            <w:noWrap w:val="0"/>
            <w:vAlign w:val="center"/>
          </w:tcPr>
          <w:p w14:paraId="3D08947C">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43</w:t>
            </w:r>
          </w:p>
        </w:tc>
        <w:tc>
          <w:tcPr>
            <w:tcW w:w="810" w:type="dxa"/>
            <w:noWrap w:val="0"/>
            <w:vAlign w:val="center"/>
          </w:tcPr>
          <w:p w14:paraId="2A159BA6">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39.4</w:t>
            </w:r>
          </w:p>
        </w:tc>
        <w:tc>
          <w:tcPr>
            <w:tcW w:w="809" w:type="dxa"/>
            <w:noWrap w:val="0"/>
            <w:vAlign w:val="center"/>
          </w:tcPr>
          <w:p w14:paraId="7482C8DE">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36.9</w:t>
            </w:r>
          </w:p>
        </w:tc>
        <w:tc>
          <w:tcPr>
            <w:tcW w:w="856" w:type="dxa"/>
            <w:noWrap w:val="0"/>
            <w:vAlign w:val="center"/>
          </w:tcPr>
          <w:p w14:paraId="37498FC6">
            <w:pPr>
              <w:adjustRightInd w:val="0"/>
              <w:snapToGrid w:val="0"/>
              <w:jc w:val="center"/>
              <w:rPr>
                <w:rFonts w:hint="eastAsia" w:eastAsia="宋体"/>
                <w:color w:val="auto"/>
                <w:szCs w:val="21"/>
                <w:highlight w:val="none"/>
                <w:lang w:val="en-US" w:eastAsia="zh-CN"/>
              </w:rPr>
            </w:pPr>
            <w:r>
              <w:rPr>
                <w:rFonts w:hint="eastAsia"/>
                <w:color w:val="auto"/>
                <w:szCs w:val="21"/>
                <w:highlight w:val="none"/>
                <w:lang w:val="en-US" w:eastAsia="zh-CN"/>
              </w:rPr>
              <w:t>35</w:t>
            </w:r>
          </w:p>
        </w:tc>
        <w:tc>
          <w:tcPr>
            <w:tcW w:w="1023" w:type="dxa"/>
            <w:noWrap w:val="0"/>
            <w:vAlign w:val="center"/>
          </w:tcPr>
          <w:p w14:paraId="0954284C">
            <w:pPr>
              <w:adjustRightInd w:val="0"/>
              <w:snapToGrid w:val="0"/>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1.8</w:t>
            </w:r>
          </w:p>
        </w:tc>
      </w:tr>
      <w:tr w14:paraId="06E752F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513" w:type="dxa"/>
            <w:noWrap w:val="0"/>
            <w:vAlign w:val="center"/>
          </w:tcPr>
          <w:p w14:paraId="1A0CDEE0">
            <w:pPr>
              <w:keepNext w:val="0"/>
              <w:keepLines w:val="0"/>
              <w:pageBreakBefore w:val="0"/>
              <w:kinsoku/>
              <w:wordWrap/>
              <w:overflowPunct/>
              <w:topLinePunct w:val="0"/>
              <w:autoSpaceDE/>
              <w:autoSpaceDN/>
              <w:bidi w:val="0"/>
              <w:adjustRightInd w:val="0"/>
              <w:snapToGrid w:val="0"/>
              <w:jc w:val="center"/>
              <w:textAlignment w:val="auto"/>
              <w:outlineLvl w:val="9"/>
              <w:rPr>
                <w:color w:val="auto"/>
                <w:szCs w:val="21"/>
                <w:highlight w:val="none"/>
              </w:rPr>
            </w:pPr>
            <w:r>
              <w:rPr>
                <w:rFonts w:hint="eastAsia" w:hAnsi="宋体"/>
                <w:bCs/>
                <w:color w:val="auto"/>
                <w:szCs w:val="21"/>
                <w:highlight w:val="none"/>
                <w:lang w:eastAsia="zh-CN"/>
              </w:rPr>
              <w:t>建筑材料</w:t>
            </w:r>
            <w:r>
              <w:rPr>
                <w:rFonts w:hint="eastAsia" w:hAnsi="宋体"/>
                <w:bCs/>
                <w:color w:val="auto"/>
                <w:szCs w:val="21"/>
                <w:highlight w:val="none"/>
              </w:rPr>
              <w:t>运输</w:t>
            </w:r>
            <w:r>
              <w:rPr>
                <w:rFonts w:hint="eastAsia" w:hAnsi="宋体"/>
                <w:bCs/>
                <w:color w:val="auto"/>
                <w:szCs w:val="21"/>
                <w:highlight w:val="none"/>
                <w:lang w:eastAsia="zh-CN"/>
              </w:rPr>
              <w:t>车辆</w:t>
            </w:r>
          </w:p>
        </w:tc>
        <w:tc>
          <w:tcPr>
            <w:tcW w:w="780" w:type="dxa"/>
            <w:noWrap w:val="0"/>
            <w:vAlign w:val="center"/>
          </w:tcPr>
          <w:p w14:paraId="19B803CB">
            <w:pPr>
              <w:keepNext w:val="0"/>
              <w:keepLines w:val="0"/>
              <w:pageBreakBefore w:val="0"/>
              <w:kinsoku/>
              <w:wordWrap/>
              <w:overflowPunct/>
              <w:topLinePunct w:val="0"/>
              <w:autoSpaceDE/>
              <w:autoSpaceDN/>
              <w:bidi w:val="0"/>
              <w:adjustRightInd w:val="0"/>
              <w:snapToGrid w:val="0"/>
              <w:jc w:val="center"/>
              <w:textAlignment w:val="auto"/>
              <w:outlineLvl w:val="9"/>
              <w:rPr>
                <w:color w:val="auto"/>
                <w:szCs w:val="21"/>
                <w:highlight w:val="none"/>
              </w:rPr>
            </w:pPr>
            <w:r>
              <w:rPr>
                <w:rFonts w:eastAsia="仿宋_GB2312"/>
                <w:bCs/>
                <w:color w:val="auto"/>
                <w:szCs w:val="21"/>
                <w:highlight w:val="none"/>
              </w:rPr>
              <w:t>8</w:t>
            </w:r>
            <w:r>
              <w:rPr>
                <w:rFonts w:hint="eastAsia" w:eastAsia="仿宋_GB2312"/>
                <w:bCs/>
                <w:color w:val="auto"/>
                <w:szCs w:val="21"/>
                <w:highlight w:val="none"/>
              </w:rPr>
              <w:t>0</w:t>
            </w:r>
          </w:p>
        </w:tc>
        <w:tc>
          <w:tcPr>
            <w:tcW w:w="840" w:type="dxa"/>
            <w:noWrap w:val="0"/>
            <w:vAlign w:val="center"/>
          </w:tcPr>
          <w:p w14:paraId="63DC92AD">
            <w:pPr>
              <w:adjustRightInd w:val="0"/>
              <w:snapToGrid w:val="0"/>
              <w:jc w:val="center"/>
              <w:rPr>
                <w:color w:val="auto"/>
                <w:szCs w:val="21"/>
                <w:highlight w:val="none"/>
              </w:rPr>
            </w:pPr>
            <w:r>
              <w:rPr>
                <w:rFonts w:hint="eastAsia"/>
                <w:color w:val="auto"/>
                <w:szCs w:val="21"/>
                <w:highlight w:val="none"/>
                <w:lang w:val="en-US" w:eastAsia="zh-CN"/>
              </w:rPr>
              <w:t>66</w:t>
            </w:r>
          </w:p>
        </w:tc>
        <w:tc>
          <w:tcPr>
            <w:tcW w:w="930" w:type="dxa"/>
            <w:noWrap w:val="0"/>
            <w:vAlign w:val="center"/>
          </w:tcPr>
          <w:p w14:paraId="2CF5E0A8">
            <w:pPr>
              <w:adjustRightInd w:val="0"/>
              <w:snapToGrid w:val="0"/>
              <w:jc w:val="center"/>
              <w:rPr>
                <w:rFonts w:hint="eastAsia"/>
                <w:color w:val="auto"/>
                <w:szCs w:val="21"/>
                <w:highlight w:val="none"/>
              </w:rPr>
            </w:pPr>
            <w:r>
              <w:rPr>
                <w:rFonts w:hint="eastAsia"/>
                <w:color w:val="auto"/>
                <w:szCs w:val="21"/>
                <w:highlight w:val="none"/>
                <w:lang w:val="en-US" w:eastAsia="zh-CN"/>
              </w:rPr>
              <w:t>60</w:t>
            </w:r>
          </w:p>
        </w:tc>
        <w:tc>
          <w:tcPr>
            <w:tcW w:w="840" w:type="dxa"/>
            <w:noWrap w:val="0"/>
            <w:vAlign w:val="center"/>
          </w:tcPr>
          <w:p w14:paraId="1B1BAD52">
            <w:pPr>
              <w:adjustRightInd w:val="0"/>
              <w:snapToGrid w:val="0"/>
              <w:jc w:val="center"/>
              <w:rPr>
                <w:rFonts w:hint="eastAsia"/>
                <w:color w:val="auto"/>
                <w:szCs w:val="21"/>
                <w:highlight w:val="none"/>
              </w:rPr>
            </w:pPr>
            <w:r>
              <w:rPr>
                <w:rFonts w:hint="eastAsia"/>
                <w:color w:val="auto"/>
                <w:szCs w:val="21"/>
                <w:highlight w:val="none"/>
                <w:lang w:val="en-US" w:eastAsia="zh-CN"/>
              </w:rPr>
              <w:t>54</w:t>
            </w:r>
          </w:p>
        </w:tc>
        <w:tc>
          <w:tcPr>
            <w:tcW w:w="885" w:type="dxa"/>
            <w:noWrap w:val="0"/>
            <w:vAlign w:val="center"/>
          </w:tcPr>
          <w:p w14:paraId="684141AB">
            <w:pPr>
              <w:adjustRightInd w:val="0"/>
              <w:snapToGrid w:val="0"/>
              <w:jc w:val="center"/>
              <w:rPr>
                <w:rFonts w:hint="eastAsia"/>
                <w:color w:val="auto"/>
                <w:szCs w:val="21"/>
                <w:highlight w:val="none"/>
              </w:rPr>
            </w:pPr>
            <w:r>
              <w:rPr>
                <w:rFonts w:hint="eastAsia"/>
                <w:color w:val="auto"/>
                <w:szCs w:val="21"/>
                <w:highlight w:val="none"/>
                <w:lang w:val="en-US" w:eastAsia="zh-CN"/>
              </w:rPr>
              <w:t>48</w:t>
            </w:r>
          </w:p>
        </w:tc>
        <w:tc>
          <w:tcPr>
            <w:tcW w:w="810" w:type="dxa"/>
            <w:noWrap w:val="0"/>
            <w:vAlign w:val="center"/>
          </w:tcPr>
          <w:p w14:paraId="583777FD">
            <w:pPr>
              <w:adjustRightInd w:val="0"/>
              <w:snapToGrid w:val="0"/>
              <w:jc w:val="center"/>
              <w:rPr>
                <w:rFonts w:hint="eastAsia"/>
                <w:color w:val="auto"/>
                <w:szCs w:val="21"/>
                <w:highlight w:val="none"/>
              </w:rPr>
            </w:pPr>
            <w:r>
              <w:rPr>
                <w:rFonts w:hint="eastAsia"/>
                <w:color w:val="auto"/>
                <w:szCs w:val="21"/>
                <w:highlight w:val="none"/>
                <w:lang w:val="en-US" w:eastAsia="zh-CN"/>
              </w:rPr>
              <w:t>44.4</w:t>
            </w:r>
          </w:p>
        </w:tc>
        <w:tc>
          <w:tcPr>
            <w:tcW w:w="809" w:type="dxa"/>
            <w:noWrap w:val="0"/>
            <w:vAlign w:val="center"/>
          </w:tcPr>
          <w:p w14:paraId="4C865D42">
            <w:pPr>
              <w:adjustRightInd w:val="0"/>
              <w:snapToGrid w:val="0"/>
              <w:jc w:val="center"/>
              <w:rPr>
                <w:rFonts w:hint="eastAsia"/>
                <w:color w:val="auto"/>
                <w:szCs w:val="21"/>
                <w:highlight w:val="none"/>
              </w:rPr>
            </w:pPr>
            <w:r>
              <w:rPr>
                <w:rFonts w:hint="eastAsia"/>
                <w:color w:val="auto"/>
                <w:szCs w:val="21"/>
                <w:highlight w:val="none"/>
                <w:lang w:val="en-US" w:eastAsia="zh-CN"/>
              </w:rPr>
              <w:t>41.9</w:t>
            </w:r>
          </w:p>
        </w:tc>
        <w:tc>
          <w:tcPr>
            <w:tcW w:w="856" w:type="dxa"/>
            <w:noWrap w:val="0"/>
            <w:vAlign w:val="center"/>
          </w:tcPr>
          <w:p w14:paraId="78883FDA">
            <w:pPr>
              <w:adjustRightInd w:val="0"/>
              <w:snapToGrid w:val="0"/>
              <w:jc w:val="center"/>
              <w:rPr>
                <w:rFonts w:hint="eastAsia"/>
                <w:color w:val="auto"/>
                <w:szCs w:val="21"/>
                <w:highlight w:val="none"/>
              </w:rPr>
            </w:pPr>
            <w:r>
              <w:rPr>
                <w:rFonts w:hint="eastAsia"/>
                <w:color w:val="auto"/>
                <w:szCs w:val="21"/>
                <w:highlight w:val="none"/>
                <w:lang w:val="en-US" w:eastAsia="zh-CN"/>
              </w:rPr>
              <w:t>40</w:t>
            </w:r>
          </w:p>
        </w:tc>
        <w:tc>
          <w:tcPr>
            <w:tcW w:w="1023" w:type="dxa"/>
            <w:noWrap w:val="0"/>
            <w:vAlign w:val="center"/>
          </w:tcPr>
          <w:p w14:paraId="064274E1">
            <w:pPr>
              <w:adjustRightInd w:val="0"/>
              <w:snapToGrid w:val="0"/>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3.2</w:t>
            </w:r>
          </w:p>
        </w:tc>
      </w:tr>
    </w:tbl>
    <w:p w14:paraId="6CF31504">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本项目夜间不施工，不会对夜间声环境产生影响。由上表可知：昼间在离施工作业点</w:t>
      </w:r>
      <w:r>
        <w:rPr>
          <w:rFonts w:hint="eastAsia" w:cs="Times New Roman"/>
          <w:color w:val="auto"/>
          <w:sz w:val="24"/>
          <w:highlight w:val="none"/>
          <w:lang w:val="en-US" w:eastAsia="zh-CN"/>
        </w:rPr>
        <w:t>3.2</w:t>
      </w:r>
      <w:r>
        <w:rPr>
          <w:rFonts w:hint="default" w:ascii="Times New Roman" w:hAnsi="Times New Roman" w:cs="Times New Roman"/>
          <w:color w:val="auto"/>
          <w:sz w:val="24"/>
          <w:highlight w:val="none"/>
        </w:rPr>
        <w:t>m以外可达到标准限值，环评要求项目在施工进度组织方面，通过合理组织以尽量缩短施工时间以减少施工噪声造成的影响。同时环评要求采取如下措施，以减轻项目施工期声环境影响。</w:t>
      </w:r>
    </w:p>
    <w:p w14:paraId="24B6AA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auto"/>
          <w:sz w:val="24"/>
          <w:highlight w:val="none"/>
        </w:rPr>
      </w:pPr>
      <w:r>
        <w:rPr>
          <w:rFonts w:hint="default" w:ascii="Times New Roman" w:hAnsi="Times New Roman" w:eastAsia="微软雅黑" w:cs="Times New Roman"/>
          <w:color w:val="auto"/>
          <w:sz w:val="24"/>
          <w:highlight w:val="none"/>
        </w:rPr>
        <w:t>①</w:t>
      </w:r>
      <w:r>
        <w:rPr>
          <w:rFonts w:hint="default" w:ascii="Times New Roman" w:hAnsi="Times New Roman" w:cs="Times New Roman"/>
          <w:color w:val="auto"/>
          <w:sz w:val="24"/>
          <w:highlight w:val="none"/>
        </w:rPr>
        <w:t>施工中注意选用效率高、噪声低的机械设备，并注意维修养护和正确使用，使之保持最佳工作状态和最低声级水平，使场地边界处的噪声低于建筑施工场界噪声限值。闲置的设备应予以关闭或减速。</w:t>
      </w:r>
    </w:p>
    <w:p w14:paraId="1862BD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auto"/>
          <w:sz w:val="24"/>
          <w:highlight w:val="none"/>
        </w:rPr>
      </w:pPr>
      <w:r>
        <w:rPr>
          <w:rFonts w:hint="default" w:ascii="Times New Roman" w:hAnsi="Times New Roman" w:eastAsia="微软雅黑" w:cs="Times New Roman"/>
          <w:color w:val="auto"/>
          <w:sz w:val="24"/>
          <w:highlight w:val="none"/>
        </w:rPr>
        <w:t>②</w:t>
      </w:r>
      <w:r>
        <w:rPr>
          <w:rFonts w:hint="default" w:ascii="Times New Roman" w:hAnsi="Times New Roman" w:cs="Times New Roman"/>
          <w:color w:val="auto"/>
          <w:sz w:val="24"/>
          <w:highlight w:val="none"/>
        </w:rPr>
        <w:t>选择主要运输道路应尽可能远离居民等敏感点，不可避免的应设置禁鸣标志。运输车辆尽可能安排在白天工作，避免产生不必要的环境影响。</w:t>
      </w:r>
    </w:p>
    <w:p w14:paraId="31D45537">
      <w:pPr>
        <w:pStyle w:val="2"/>
        <w:keepNext w:val="0"/>
        <w:keepLines w:val="0"/>
        <w:pageBreakBefore w:val="0"/>
        <w:widowControl w:val="0"/>
        <w:kinsoku/>
        <w:wordWrap/>
        <w:overflowPunct/>
        <w:topLinePunct w:val="0"/>
        <w:autoSpaceDE/>
        <w:autoSpaceDN/>
        <w:bidi w:val="0"/>
        <w:adjustRightInd w:val="0"/>
        <w:snapToGrid w:val="0"/>
        <w:spacing w:after="0" w:line="360" w:lineRule="auto"/>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③合理安排施工作业时间，夜间22时-次日6时之间禁止施工。对于不可避免必须</w:t>
      </w:r>
    </w:p>
    <w:p w14:paraId="3A5F6069">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连续施工的作业，必须向人民政府或主管部门提出申请，在领取允许夜间施工的证明并告知医院相关部门，由医院提前通告院内病人和相关工作人员及附近居民后，方可在核定时间内的夜间进行施工。</w:t>
      </w:r>
    </w:p>
    <w:p w14:paraId="58339B9B">
      <w:pPr>
        <w:pStyle w:val="2"/>
        <w:keepNext w:val="0"/>
        <w:keepLines w:val="0"/>
        <w:pageBreakBefore w:val="0"/>
        <w:widowControl w:val="0"/>
        <w:kinsoku/>
        <w:wordWrap/>
        <w:overflowPunct/>
        <w:topLinePunct w:val="0"/>
        <w:autoSpaceDE/>
        <w:autoSpaceDN/>
        <w:bidi w:val="0"/>
        <w:adjustRightInd w:val="0"/>
        <w:snapToGrid w:val="0"/>
        <w:spacing w:after="0" w:line="360" w:lineRule="auto"/>
        <w:textAlignment w:val="auto"/>
        <w:outlineLvl w:val="9"/>
        <w:rPr>
          <w:rFonts w:hint="eastAsia" w:eastAsia="宋体"/>
          <w:color w:val="auto"/>
          <w:highlight w:val="none"/>
          <w:lang w:eastAsia="zh-CN"/>
        </w:rPr>
      </w:pPr>
      <w:r>
        <w:rPr>
          <w:rFonts w:hint="default" w:ascii="Times New Roman" w:hAnsi="Times New Roman" w:eastAsia="宋体" w:cs="Times New Roman"/>
          <w:color w:val="auto"/>
          <w:sz w:val="24"/>
          <w:szCs w:val="24"/>
          <w:highlight w:val="none"/>
        </w:rPr>
        <w:t>④</w:t>
      </w:r>
      <w:r>
        <w:rPr>
          <w:rFonts w:hint="eastAsia" w:cs="Times New Roman"/>
          <w:color w:val="auto"/>
          <w:sz w:val="24"/>
          <w:szCs w:val="24"/>
          <w:highlight w:val="none"/>
          <w:lang w:eastAsia="zh-CN"/>
        </w:rPr>
        <w:t>切割及钻孔工序在大楼内部进行，经墙体隔声减小对周边居民的影响。</w:t>
      </w:r>
    </w:p>
    <w:p w14:paraId="5C32DC20">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outlineLvl w:val="9"/>
        <w:rPr>
          <w:color w:val="auto"/>
          <w:sz w:val="24"/>
          <w:highlight w:val="none"/>
        </w:rPr>
      </w:pPr>
      <w:r>
        <w:rPr>
          <w:rFonts w:hint="default" w:ascii="Times New Roman" w:hAnsi="Times New Roman" w:cs="Times New Roman"/>
          <w:color w:val="auto"/>
          <w:sz w:val="24"/>
          <w:highlight w:val="none"/>
        </w:rPr>
        <w:t>在采取上述措施后，本项目建设期对周边环境影响较小。尽管施工噪声对环境产生一定的不利影响，但是施工期噪声影响是短暂的，一旦施工活动结束，施工噪声也就随之结束。</w:t>
      </w:r>
    </w:p>
    <w:p w14:paraId="7925CA8B">
      <w:pPr>
        <w:adjustRightInd w:val="0"/>
        <w:snapToGrid w:val="0"/>
        <w:spacing w:line="360" w:lineRule="auto"/>
        <w:jc w:val="left"/>
        <w:rPr>
          <w:rFonts w:hint="eastAsia" w:ascii="Times New Roman" w:hAnsi="Times New Roman" w:eastAsia="宋体" w:cs="Times New Roman"/>
          <w:b/>
          <w:bCs/>
          <w:color w:val="auto"/>
          <w:sz w:val="28"/>
          <w:szCs w:val="28"/>
          <w:highlight w:val="none"/>
          <w:lang w:val="en-US" w:eastAsia="zh-CN"/>
        </w:rPr>
      </w:pPr>
      <w:r>
        <w:rPr>
          <w:rFonts w:hint="default" w:ascii="Times New Roman" w:hAnsi="Times New Roman" w:cs="Times New Roman"/>
          <w:b/>
          <w:bCs/>
          <w:color w:val="auto"/>
          <w:sz w:val="28"/>
          <w:szCs w:val="28"/>
          <w:highlight w:val="none"/>
        </w:rPr>
        <w:t>4固体废物对环境的影响</w:t>
      </w:r>
      <w:r>
        <w:rPr>
          <w:rFonts w:hint="eastAsia" w:cs="Times New Roman"/>
          <w:b/>
          <w:bCs/>
          <w:color w:val="auto"/>
          <w:sz w:val="28"/>
          <w:szCs w:val="28"/>
          <w:highlight w:val="none"/>
          <w:lang w:val="en-US" w:eastAsia="zh-CN"/>
        </w:rPr>
        <w:t xml:space="preserve"> </w:t>
      </w:r>
    </w:p>
    <w:p w14:paraId="42AD918F">
      <w:pPr>
        <w:adjustRightInd w:val="0"/>
        <w:snapToGrid w:val="0"/>
        <w:spacing w:line="360" w:lineRule="auto"/>
        <w:ind w:firstLine="480" w:firstLineChars="200"/>
        <w:rPr>
          <w:rFonts w:hint="eastAsia" w:eastAsia="宋体"/>
          <w:color w:val="auto"/>
          <w:highlight w:val="none"/>
          <w:lang w:eastAsia="zh-CN"/>
        </w:rPr>
      </w:pPr>
      <w:r>
        <w:rPr>
          <w:rFonts w:hint="eastAsia" w:ascii="Times New Roman" w:hAnsi="Times New Roman" w:cs="Times New Roman"/>
          <w:color w:val="auto"/>
          <w:sz w:val="24"/>
          <w:szCs w:val="24"/>
          <w:highlight w:val="none"/>
          <w:lang w:eastAsia="zh-CN"/>
        </w:rPr>
        <w:t>施工期固体废物包括施工人员生活垃圾和施工过程产生的</w:t>
      </w:r>
      <w:r>
        <w:rPr>
          <w:rFonts w:hint="eastAsia" w:cs="Times New Roman"/>
          <w:color w:val="auto"/>
          <w:sz w:val="24"/>
          <w:szCs w:val="24"/>
          <w:highlight w:val="none"/>
          <w:lang w:eastAsia="zh-CN"/>
        </w:rPr>
        <w:t>建筑</w:t>
      </w:r>
      <w:r>
        <w:rPr>
          <w:rFonts w:hint="eastAsia" w:ascii="Times New Roman" w:hAnsi="Times New Roman" w:cs="Times New Roman"/>
          <w:color w:val="auto"/>
          <w:sz w:val="24"/>
          <w:szCs w:val="24"/>
          <w:highlight w:val="none"/>
          <w:lang w:eastAsia="zh-CN"/>
        </w:rPr>
        <w:t>垃圾。</w:t>
      </w:r>
    </w:p>
    <w:p w14:paraId="46E6CCA9">
      <w:pPr>
        <w:adjustRightInd w:val="0"/>
        <w:snapToGrid w:val="0"/>
        <w:spacing w:line="360" w:lineRule="auto"/>
        <w:ind w:firstLine="480" w:firstLineChars="200"/>
        <w:rPr>
          <w:rFonts w:hint="eastAsia"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eastAsia="zh-CN"/>
        </w:rPr>
        <w:t>建筑垃圾主要包括建筑废料，主要来自</w:t>
      </w:r>
      <w:r>
        <w:rPr>
          <w:rFonts w:hint="eastAsia" w:cs="Times New Roman"/>
          <w:color w:val="auto"/>
          <w:sz w:val="24"/>
          <w:szCs w:val="24"/>
          <w:highlight w:val="none"/>
          <w:lang w:val="en-US" w:eastAsia="zh-CN"/>
        </w:rPr>
        <w:t>墙</w:t>
      </w:r>
      <w:r>
        <w:rPr>
          <w:rFonts w:hint="eastAsia"/>
          <w:color w:val="auto"/>
          <w:sz w:val="24"/>
          <w:szCs w:val="24"/>
          <w:highlight w:val="none"/>
          <w:lang w:val="en-US" w:eastAsia="zh-CN"/>
        </w:rPr>
        <w:t>壁拆除与修整、功能设施搭建或砌筑、隔断及装修阶段</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施工期间预计产生建筑材料</w:t>
      </w:r>
      <w:r>
        <w:rPr>
          <w:rFonts w:hint="eastAsia" w:cs="Times New Roman"/>
          <w:color w:val="auto"/>
          <w:sz w:val="24"/>
          <w:szCs w:val="24"/>
          <w:highlight w:val="none"/>
          <w:lang w:val="en-US" w:eastAsia="zh-CN"/>
        </w:rPr>
        <w:t>400</w:t>
      </w:r>
      <w:r>
        <w:rPr>
          <w:rFonts w:hint="default" w:ascii="Times New Roman" w:hAnsi="Times New Roman" w:cs="Times New Roman"/>
          <w:color w:val="auto"/>
          <w:sz w:val="24"/>
          <w:szCs w:val="24"/>
          <w:highlight w:val="none"/>
        </w:rPr>
        <w:t>t，施工人员的生活垃圾</w:t>
      </w:r>
      <w:r>
        <w:rPr>
          <w:rFonts w:hint="eastAsia" w:cs="Times New Roman"/>
          <w:color w:val="auto"/>
          <w:sz w:val="24"/>
          <w:szCs w:val="24"/>
          <w:highlight w:val="none"/>
          <w:lang w:eastAsia="zh-CN"/>
        </w:rPr>
        <w:t>产生量为</w:t>
      </w:r>
      <w:r>
        <w:rPr>
          <w:rFonts w:hint="eastAsia" w:cs="Times New Roman"/>
          <w:color w:val="auto"/>
          <w:sz w:val="24"/>
          <w:szCs w:val="24"/>
          <w:highlight w:val="none"/>
          <w:lang w:val="en-US" w:eastAsia="zh-CN"/>
        </w:rPr>
        <w:t>0.675</w:t>
      </w:r>
      <w:r>
        <w:rPr>
          <w:rFonts w:hint="default" w:ascii="Times New Roman" w:hAnsi="Times New Roman" w:cs="Times New Roman"/>
          <w:color w:val="auto"/>
          <w:sz w:val="24"/>
          <w:szCs w:val="24"/>
          <w:highlight w:val="none"/>
        </w:rPr>
        <w:t>t。</w:t>
      </w:r>
      <w:r>
        <w:rPr>
          <w:rFonts w:hint="eastAsia" w:ascii="Times New Roman" w:hAnsi="Times New Roman" w:cs="Times New Roman"/>
          <w:color w:val="auto"/>
          <w:sz w:val="24"/>
          <w:szCs w:val="24"/>
          <w:highlight w:val="none"/>
          <w:lang w:eastAsia="zh-CN"/>
        </w:rPr>
        <w:t>建筑垃圾</w:t>
      </w:r>
      <w:r>
        <w:rPr>
          <w:rFonts w:hint="default" w:ascii="Times New Roman" w:hAnsi="Times New Roman" w:cs="Times New Roman"/>
          <w:color w:val="auto"/>
          <w:sz w:val="24"/>
          <w:szCs w:val="24"/>
          <w:highlight w:val="none"/>
        </w:rPr>
        <w:t>由施工单位收集后送至城建指定地点处理</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严禁随意倾倒建筑垃圾、制造新的“垃圾堆场”。其次，施工人员的生活垃圾也要收集到指定的垃圾箱内，由环卫部门统一处理。</w:t>
      </w:r>
    </w:p>
    <w:p w14:paraId="36736318">
      <w:pPr>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sz w:val="24"/>
          <w:szCs w:val="24"/>
          <w:highlight w:val="none"/>
        </w:rPr>
        <w:t>项目施工期间产生的固体废弃物全部得到妥善处理，严禁随意排放。</w:t>
      </w:r>
      <w:r>
        <w:rPr>
          <w:rFonts w:hint="default" w:ascii="Times New Roman" w:hAnsi="Times New Roman" w:cs="Times New Roman"/>
          <w:color w:val="auto"/>
          <w:kern w:val="0"/>
          <w:sz w:val="24"/>
          <w:szCs w:val="24"/>
          <w:highlight w:val="none"/>
        </w:rPr>
        <w:t>只要合理规划，科学管理，采取有效的防护措施，施工活动不会明显影响场地周围的环境质量，而且随着施工活动的结束，这些污染也将消失。</w:t>
      </w:r>
    </w:p>
    <w:p w14:paraId="5D300BE4">
      <w:pPr>
        <w:spacing w:line="360" w:lineRule="auto"/>
        <w:rPr>
          <w:rFonts w:hint="default" w:ascii="Times New Roman" w:hAnsi="Times New Roman" w:cs="Times New Roman"/>
          <w:color w:val="auto"/>
          <w:kern w:val="0"/>
          <w:sz w:val="24"/>
          <w:szCs w:val="24"/>
          <w:highlight w:val="none"/>
        </w:rPr>
      </w:pPr>
    </w:p>
    <w:p w14:paraId="719672DC">
      <w:pPr>
        <w:spacing w:line="360" w:lineRule="auto"/>
        <w:rPr>
          <w:rFonts w:hint="default" w:ascii="Times New Roman" w:hAnsi="Times New Roman" w:cs="Times New Roman"/>
          <w:color w:val="auto"/>
          <w:kern w:val="0"/>
          <w:sz w:val="24"/>
          <w:szCs w:val="24"/>
          <w:highlight w:val="none"/>
        </w:rPr>
      </w:pPr>
    </w:p>
    <w:p w14:paraId="0162507B">
      <w:pPr>
        <w:spacing w:line="360" w:lineRule="auto"/>
        <w:rPr>
          <w:rFonts w:hint="default" w:ascii="Times New Roman" w:hAnsi="Times New Roman" w:cs="Times New Roman"/>
          <w:color w:val="auto"/>
          <w:kern w:val="0"/>
          <w:sz w:val="24"/>
          <w:szCs w:val="24"/>
          <w:highlight w:val="none"/>
        </w:rPr>
      </w:pPr>
    </w:p>
    <w:p w14:paraId="7E075F8F">
      <w:pPr>
        <w:pStyle w:val="2"/>
        <w:rPr>
          <w:rFonts w:hint="default" w:ascii="Times New Roman" w:hAnsi="Times New Roman" w:cs="Times New Roman"/>
          <w:color w:val="auto"/>
          <w:kern w:val="0"/>
          <w:sz w:val="24"/>
          <w:szCs w:val="24"/>
          <w:highlight w:val="none"/>
        </w:rPr>
      </w:pPr>
    </w:p>
    <w:p w14:paraId="43E3D0C7">
      <w:pPr>
        <w:pStyle w:val="23"/>
        <w:rPr>
          <w:rFonts w:hint="default" w:ascii="Times New Roman" w:hAnsi="Times New Roman" w:cs="Times New Roman"/>
          <w:color w:val="auto"/>
          <w:kern w:val="0"/>
          <w:sz w:val="24"/>
          <w:szCs w:val="24"/>
          <w:highlight w:val="none"/>
        </w:rPr>
      </w:pPr>
    </w:p>
    <w:p w14:paraId="47773F5C">
      <w:pPr>
        <w:pStyle w:val="23"/>
        <w:rPr>
          <w:rFonts w:hint="default" w:ascii="Times New Roman" w:hAnsi="Times New Roman" w:cs="Times New Roman"/>
          <w:color w:val="auto"/>
          <w:kern w:val="0"/>
          <w:sz w:val="24"/>
          <w:szCs w:val="24"/>
          <w:highlight w:val="none"/>
        </w:rPr>
      </w:pPr>
    </w:p>
    <w:p w14:paraId="446FF846">
      <w:pPr>
        <w:pStyle w:val="23"/>
        <w:rPr>
          <w:rFonts w:hint="default" w:ascii="Times New Roman" w:hAnsi="Times New Roman" w:cs="Times New Roman"/>
          <w:color w:val="auto"/>
          <w:kern w:val="0"/>
          <w:sz w:val="24"/>
          <w:szCs w:val="24"/>
          <w:highlight w:val="none"/>
        </w:rPr>
      </w:pPr>
    </w:p>
    <w:p w14:paraId="05491E61">
      <w:pPr>
        <w:pStyle w:val="23"/>
        <w:rPr>
          <w:rFonts w:hint="default" w:ascii="Times New Roman" w:hAnsi="Times New Roman" w:cs="Times New Roman"/>
          <w:color w:val="auto"/>
          <w:kern w:val="0"/>
          <w:sz w:val="24"/>
          <w:szCs w:val="24"/>
          <w:highlight w:val="none"/>
        </w:rPr>
      </w:pPr>
    </w:p>
    <w:p w14:paraId="3A26FB11">
      <w:pPr>
        <w:pStyle w:val="23"/>
        <w:rPr>
          <w:rFonts w:hint="default" w:ascii="Times New Roman" w:hAnsi="Times New Roman" w:cs="Times New Roman"/>
          <w:color w:val="auto"/>
          <w:kern w:val="0"/>
          <w:sz w:val="24"/>
          <w:szCs w:val="24"/>
          <w:highlight w:val="none"/>
        </w:rPr>
      </w:pPr>
    </w:p>
    <w:p w14:paraId="0AE19E37">
      <w:pPr>
        <w:pStyle w:val="23"/>
        <w:rPr>
          <w:rFonts w:hint="default" w:ascii="Times New Roman" w:hAnsi="Times New Roman" w:cs="Times New Roman"/>
          <w:color w:val="auto"/>
          <w:kern w:val="0"/>
          <w:sz w:val="24"/>
          <w:szCs w:val="24"/>
          <w:highlight w:val="none"/>
        </w:rPr>
      </w:pPr>
    </w:p>
    <w:p w14:paraId="20717FC0">
      <w:pPr>
        <w:pStyle w:val="23"/>
        <w:rPr>
          <w:rFonts w:hint="default" w:ascii="Times New Roman" w:hAnsi="Times New Roman" w:cs="Times New Roman"/>
          <w:color w:val="auto"/>
          <w:kern w:val="0"/>
          <w:sz w:val="24"/>
          <w:szCs w:val="24"/>
          <w:highlight w:val="none"/>
        </w:rPr>
      </w:pPr>
    </w:p>
    <w:p w14:paraId="7858F46A">
      <w:pPr>
        <w:pStyle w:val="23"/>
        <w:rPr>
          <w:rFonts w:hint="default" w:ascii="Times New Roman" w:hAnsi="Times New Roman" w:cs="Times New Roman"/>
          <w:color w:val="auto"/>
          <w:kern w:val="0"/>
          <w:sz w:val="24"/>
          <w:szCs w:val="24"/>
          <w:highlight w:val="none"/>
        </w:rPr>
      </w:pPr>
    </w:p>
    <w:p w14:paraId="63B81FFA">
      <w:pPr>
        <w:pStyle w:val="23"/>
        <w:rPr>
          <w:rFonts w:hint="default" w:ascii="Times New Roman" w:hAnsi="Times New Roman" w:cs="Times New Roman"/>
          <w:color w:val="auto"/>
          <w:kern w:val="0"/>
          <w:sz w:val="24"/>
          <w:szCs w:val="24"/>
          <w:highlight w:val="none"/>
        </w:rPr>
      </w:pPr>
    </w:p>
    <w:p w14:paraId="47646534">
      <w:pPr>
        <w:spacing w:line="360" w:lineRule="auto"/>
        <w:rPr>
          <w:rFonts w:hint="default" w:ascii="Times New Roman" w:hAnsi="Times New Roman" w:cs="Times New Roman"/>
          <w:color w:val="auto"/>
          <w:kern w:val="0"/>
          <w:sz w:val="24"/>
          <w:szCs w:val="24"/>
          <w:highlight w:val="none"/>
        </w:rPr>
      </w:pPr>
    </w:p>
    <w:p w14:paraId="65D901EE">
      <w:pPr>
        <w:pStyle w:val="2"/>
        <w:rPr>
          <w:rFonts w:hint="default"/>
          <w:highlight w:val="none"/>
        </w:rPr>
      </w:pPr>
    </w:p>
    <w:p w14:paraId="17CBEFD0">
      <w:pPr>
        <w:spacing w:line="360" w:lineRule="auto"/>
        <w:rPr>
          <w:rFonts w:hint="default" w:ascii="Times New Roman" w:hAnsi="Times New Roman" w:cs="Times New Roman"/>
          <w:color w:val="auto"/>
          <w:kern w:val="0"/>
          <w:sz w:val="24"/>
          <w:szCs w:val="24"/>
          <w:highlight w:val="none"/>
        </w:rPr>
      </w:pPr>
    </w:p>
    <w:p w14:paraId="07E12D6E">
      <w:pPr>
        <w:spacing w:line="360" w:lineRule="auto"/>
        <w:rPr>
          <w:rFonts w:hint="default" w:ascii="Times New Roman" w:hAnsi="Times New Roman" w:cs="Times New Roman"/>
          <w:color w:val="auto"/>
          <w:kern w:val="0"/>
          <w:sz w:val="24"/>
          <w:szCs w:val="24"/>
          <w:highlight w:val="none"/>
        </w:rPr>
      </w:pPr>
    </w:p>
    <w:p w14:paraId="77179EDC">
      <w:pPr>
        <w:spacing w:line="360" w:lineRule="auto"/>
        <w:rPr>
          <w:rFonts w:hint="default" w:ascii="Times New Roman" w:hAnsi="Times New Roman" w:cs="Times New Roman"/>
          <w:color w:val="auto"/>
          <w:kern w:val="0"/>
          <w:sz w:val="24"/>
          <w:szCs w:val="24"/>
          <w:highlight w:val="none"/>
        </w:rPr>
      </w:pPr>
    </w:p>
    <w:p w14:paraId="743BE61C">
      <w:pPr>
        <w:adjustRightInd w:val="0"/>
        <w:snapToGrid w:val="0"/>
        <w:spacing w:line="360" w:lineRule="auto"/>
        <w:rPr>
          <w:rFonts w:hint="eastAsia" w:ascii="Times New Roman" w:hAnsi="Times New Roman" w:eastAsia="宋体" w:cs="Times New Roman"/>
          <w:b/>
          <w:bCs/>
          <w:color w:val="auto"/>
          <w:sz w:val="28"/>
          <w:szCs w:val="28"/>
          <w:highlight w:val="none"/>
          <w:lang w:eastAsia="zh-CN"/>
        </w:rPr>
      </w:pPr>
      <w:r>
        <w:rPr>
          <w:rFonts w:hint="default" w:ascii="Times New Roman" w:hAnsi="Times New Roman" w:cs="Times New Roman"/>
          <w:b/>
          <w:bCs/>
          <w:color w:val="auto"/>
          <w:sz w:val="28"/>
          <w:szCs w:val="28"/>
          <w:highlight w:val="none"/>
        </w:rPr>
        <w:t>营运期环境影响分析</w:t>
      </w:r>
    </w:p>
    <w:p w14:paraId="18A25B40">
      <w:pPr>
        <w:adjustRightInd w:val="0"/>
        <w:snapToGrid w:val="0"/>
        <w:spacing w:line="360" w:lineRule="auto"/>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 xml:space="preserve">1空气环境影响分析                                                        </w:t>
      </w:r>
    </w:p>
    <w:p w14:paraId="36B093DD">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hAnsi="宋体"/>
          <w:b/>
          <w:bCs/>
          <w:color w:val="auto"/>
          <w:sz w:val="24"/>
          <w:highlight w:val="none"/>
          <w:lang w:val="en-US" w:eastAsia="zh-CN"/>
        </w:rPr>
      </w:pPr>
      <w:r>
        <w:rPr>
          <w:rFonts w:hint="eastAsia" w:hAnsi="宋体"/>
          <w:b/>
          <w:bCs/>
          <w:color w:val="auto"/>
          <w:sz w:val="24"/>
          <w:highlight w:val="none"/>
          <w:lang w:val="en-US" w:eastAsia="zh-CN"/>
        </w:rPr>
        <w:t>1.1评价等级</w:t>
      </w:r>
    </w:p>
    <w:p w14:paraId="00D3F0BF">
      <w:pPr>
        <w:adjustRightInd w:val="0"/>
        <w:snapToGrid w:val="0"/>
        <w:spacing w:line="36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lang w:eastAsia="zh-CN"/>
        </w:rPr>
        <w:t>根据《环境影响评价技术导则 大气环境》（HJ 2.2-20</w:t>
      </w:r>
      <w:r>
        <w:rPr>
          <w:rFonts w:hint="eastAsia" w:ascii="Times New Roman" w:hAnsi="Times New Roman" w:cs="Times New Roman"/>
          <w:color w:val="auto"/>
          <w:sz w:val="24"/>
          <w:szCs w:val="24"/>
          <w:highlight w:val="none"/>
          <w:lang w:eastAsia="zh-CN"/>
        </w:rPr>
        <w:t>1</w:t>
      </w:r>
      <w:r>
        <w:rPr>
          <w:rFonts w:ascii="Times New Roman" w:hAnsi="Times New Roman" w:cs="Times New Roman"/>
          <w:color w:val="auto"/>
          <w:sz w:val="24"/>
          <w:szCs w:val="24"/>
          <w:highlight w:val="none"/>
          <w:lang w:eastAsia="zh-CN"/>
        </w:rPr>
        <w:t>8），</w:t>
      </w:r>
      <w:r>
        <w:rPr>
          <w:rFonts w:hint="eastAsia" w:ascii="Times New Roman" w:hAnsi="Times New Roman" w:cs="Times New Roman"/>
          <w:color w:val="auto"/>
          <w:sz w:val="24"/>
          <w:szCs w:val="24"/>
          <w:highlight w:val="none"/>
          <w:lang w:eastAsia="zh-CN"/>
        </w:rPr>
        <w:t>选择附录A推荐</w:t>
      </w:r>
      <w:r>
        <w:rPr>
          <w:rFonts w:ascii="Times New Roman" w:hAnsi="Times New Roman" w:cs="Times New Roman"/>
          <w:color w:val="auto"/>
          <w:sz w:val="24"/>
          <w:szCs w:val="24"/>
          <w:highlight w:val="none"/>
          <w:lang w:eastAsia="zh-CN"/>
        </w:rPr>
        <w:t>的估算模式对项目的大气环境评价工作进行分级，计算</w:t>
      </w:r>
      <w:r>
        <w:rPr>
          <w:rFonts w:hint="eastAsia" w:ascii="Times New Roman" w:hAnsi="Times New Roman" w:cs="Times New Roman"/>
          <w:color w:val="auto"/>
          <w:sz w:val="24"/>
          <w:szCs w:val="24"/>
          <w:highlight w:val="none"/>
          <w:lang w:eastAsia="zh-CN"/>
        </w:rPr>
        <w:t>项目排放主要污染物的</w:t>
      </w:r>
      <w:r>
        <w:rPr>
          <w:rFonts w:ascii="Times New Roman" w:hAnsi="Times New Roman" w:cs="Times New Roman"/>
          <w:color w:val="auto"/>
          <w:sz w:val="24"/>
          <w:szCs w:val="24"/>
          <w:highlight w:val="none"/>
          <w:lang w:eastAsia="zh-CN"/>
        </w:rPr>
        <w:t>最大地面浓度占标率 P</w:t>
      </w:r>
      <w:r>
        <w:rPr>
          <w:rFonts w:ascii="Times New Roman" w:hAnsi="Times New Roman" w:cs="Times New Roman"/>
          <w:color w:val="auto"/>
          <w:sz w:val="24"/>
          <w:szCs w:val="24"/>
          <w:highlight w:val="none"/>
          <w:vertAlign w:val="subscript"/>
          <w:lang w:eastAsia="zh-CN"/>
        </w:rPr>
        <w:t>i</w:t>
      </w:r>
      <w:r>
        <w:rPr>
          <w:rFonts w:ascii="Times New Roman" w:hAnsi="Times New Roman" w:cs="Times New Roman"/>
          <w:color w:val="auto"/>
          <w:sz w:val="24"/>
          <w:szCs w:val="24"/>
          <w:highlight w:val="none"/>
          <w:lang w:eastAsia="zh-CN"/>
        </w:rPr>
        <w:t xml:space="preserve"> 和其地面浓度达标准限值10%时所对应的最远距离 D</w:t>
      </w:r>
      <w:r>
        <w:rPr>
          <w:rFonts w:ascii="Times New Roman" w:hAnsi="Times New Roman" w:cs="Times New Roman"/>
          <w:color w:val="auto"/>
          <w:sz w:val="24"/>
          <w:szCs w:val="24"/>
          <w:highlight w:val="none"/>
          <w:vertAlign w:val="subscript"/>
          <w:lang w:eastAsia="zh-CN"/>
        </w:rPr>
        <w:t>10%</w:t>
      </w:r>
      <w:r>
        <w:rPr>
          <w:rFonts w:ascii="Times New Roman" w:hAnsi="Times New Roman" w:cs="Times New Roman"/>
          <w:color w:val="auto"/>
          <w:sz w:val="24"/>
          <w:szCs w:val="24"/>
          <w:highlight w:val="none"/>
          <w:lang w:eastAsia="zh-CN"/>
        </w:rPr>
        <w:t xml:space="preserve"> 。</w:t>
      </w:r>
      <w:r>
        <w:rPr>
          <w:rFonts w:ascii="Times New Roman" w:hAnsi="Times New Roman" w:cs="Times New Roman"/>
          <w:color w:val="auto"/>
          <w:sz w:val="24"/>
          <w:szCs w:val="24"/>
          <w:highlight w:val="none"/>
        </w:rPr>
        <w:t>具体如下：</w:t>
      </w:r>
    </w:p>
    <w:p w14:paraId="129B1D11">
      <w:pPr>
        <w:adjustRightInd w:val="0"/>
        <w:snapToGrid w:val="0"/>
        <w:spacing w:line="36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                   </w:t>
      </w:r>
      <w:r>
        <w:rPr>
          <w:rFonts w:ascii="Times New Roman" w:hAnsi="Times New Roman" w:cs="Times New Roman"/>
          <w:color w:val="auto"/>
          <w:sz w:val="24"/>
          <w:szCs w:val="24"/>
          <w:highlight w:val="none"/>
          <w:lang w:eastAsia="zh-CN"/>
        </w:rPr>
        <w:drawing>
          <wp:inline distT="0" distB="0" distL="114300" distR="114300">
            <wp:extent cx="1543050" cy="532765"/>
            <wp:effectExtent l="0" t="0" r="0" b="635"/>
            <wp:docPr id="230" name="图片 1" descr="QQ图片2016072914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1" descr="QQ图片20160729142246"/>
                    <pic:cNvPicPr>
                      <a:picLocks noChangeAspect="1"/>
                    </pic:cNvPicPr>
                  </pic:nvPicPr>
                  <pic:blipFill>
                    <a:blip r:embed="rId18"/>
                    <a:stretch>
                      <a:fillRect/>
                    </a:stretch>
                  </pic:blipFill>
                  <pic:spPr>
                    <a:xfrm>
                      <a:off x="0" y="0"/>
                      <a:ext cx="1543050" cy="532765"/>
                    </a:xfrm>
                    <a:prstGeom prst="rect">
                      <a:avLst/>
                    </a:prstGeom>
                    <a:noFill/>
                    <a:ln w="9525">
                      <a:noFill/>
                    </a:ln>
                  </pic:spPr>
                </pic:pic>
              </a:graphicData>
            </a:graphic>
          </wp:inline>
        </w:drawing>
      </w:r>
    </w:p>
    <w:p w14:paraId="0D6F6FEA">
      <w:pPr>
        <w:adjustRightInd w:val="0"/>
        <w:snapToGrid w:val="0"/>
        <w:spacing w:line="36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式中：P</w:t>
      </w:r>
      <w:r>
        <w:rPr>
          <w:rFonts w:ascii="Times New Roman" w:hAnsi="Times New Roman" w:cs="Times New Roman"/>
          <w:color w:val="auto"/>
          <w:sz w:val="24"/>
          <w:szCs w:val="24"/>
          <w:highlight w:val="none"/>
          <w:vertAlign w:val="subscript"/>
        </w:rPr>
        <w:t>i</w:t>
      </w:r>
      <w:r>
        <w:rPr>
          <w:rFonts w:ascii="Times New Roman" w:hAnsi="Times New Roman" w:cs="Times New Roman"/>
          <w:color w:val="auto"/>
          <w:sz w:val="24"/>
          <w:szCs w:val="24"/>
          <w:highlight w:val="none"/>
        </w:rPr>
        <w:t xml:space="preserve"> —第 i 个污染物的最大地面浓度占标率，%；</w:t>
      </w:r>
    </w:p>
    <w:p w14:paraId="71A64455">
      <w:pPr>
        <w:adjustRightInd w:val="0"/>
        <w:snapToGrid w:val="0"/>
        <w:spacing w:line="36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 C</w:t>
      </w:r>
      <w:r>
        <w:rPr>
          <w:rFonts w:ascii="Times New Roman" w:hAnsi="Times New Roman" w:cs="Times New Roman"/>
          <w:color w:val="auto"/>
          <w:sz w:val="24"/>
          <w:szCs w:val="24"/>
          <w:highlight w:val="none"/>
          <w:vertAlign w:val="subscript"/>
        </w:rPr>
        <w:t>i</w:t>
      </w:r>
      <w:r>
        <w:rPr>
          <w:rFonts w:ascii="Times New Roman" w:hAnsi="Times New Roman" w:cs="Times New Roman"/>
          <w:color w:val="auto"/>
          <w:sz w:val="24"/>
          <w:szCs w:val="24"/>
          <w:highlight w:val="none"/>
        </w:rPr>
        <w:t xml:space="preserve"> —采用估算模式计算出的第 i 个污染物的最大地面浓度，mg/m³； </w:t>
      </w:r>
    </w:p>
    <w:p w14:paraId="256079AD">
      <w:pPr>
        <w:adjustRightInd w:val="0"/>
        <w:snapToGrid w:val="0"/>
        <w:spacing w:line="360" w:lineRule="auto"/>
        <w:ind w:firstLine="600" w:firstLineChars="25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C</w:t>
      </w:r>
      <w:r>
        <w:rPr>
          <w:rFonts w:ascii="Times New Roman" w:hAnsi="Times New Roman" w:cs="Times New Roman"/>
          <w:color w:val="auto"/>
          <w:sz w:val="24"/>
          <w:szCs w:val="24"/>
          <w:highlight w:val="none"/>
          <w:vertAlign w:val="subscript"/>
        </w:rPr>
        <w:t>oi</w:t>
      </w:r>
      <w:r>
        <w:rPr>
          <w:rFonts w:ascii="Times New Roman" w:hAnsi="Times New Roman" w:cs="Times New Roman"/>
          <w:color w:val="auto"/>
          <w:sz w:val="24"/>
          <w:szCs w:val="24"/>
          <w:highlight w:val="none"/>
        </w:rPr>
        <w:t xml:space="preserve"> —第 i 个污染物的环境空气质量标准，mg/m</w:t>
      </w:r>
      <w:r>
        <w:rPr>
          <w:rFonts w:ascii="Times New Roman" w:hAnsi="Times New Roman" w:cs="Times New Roman"/>
          <w:color w:val="auto"/>
          <w:sz w:val="24"/>
          <w:szCs w:val="24"/>
          <w:highlight w:val="none"/>
          <w:vertAlign w:val="superscript"/>
        </w:rPr>
        <w:t xml:space="preserve">3 </w:t>
      </w:r>
      <w:r>
        <w:rPr>
          <w:rFonts w:ascii="Times New Roman" w:hAnsi="Times New Roman" w:cs="Times New Roman"/>
          <w:color w:val="auto"/>
          <w:sz w:val="24"/>
          <w:szCs w:val="24"/>
          <w:highlight w:val="none"/>
        </w:rPr>
        <w:t>。</w:t>
      </w:r>
    </w:p>
    <w:p w14:paraId="244FBA4D">
      <w:pPr>
        <w:adjustRightInd w:val="0"/>
        <w:snapToGrid w:val="0"/>
        <w:spacing w:line="360" w:lineRule="auto"/>
        <w:ind w:firstLine="480" w:firstLineChars="200"/>
        <w:rPr>
          <w:rFonts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rPr>
        <w:t xml:space="preserve"> </w:t>
      </w:r>
      <w:r>
        <w:rPr>
          <w:rFonts w:ascii="Times New Roman" w:hAnsi="Times New Roman" w:cs="Times New Roman"/>
          <w:color w:val="auto"/>
          <w:sz w:val="24"/>
          <w:szCs w:val="24"/>
          <w:highlight w:val="none"/>
          <w:lang w:eastAsia="zh-CN"/>
        </w:rPr>
        <w:t>C</w:t>
      </w:r>
      <w:r>
        <w:rPr>
          <w:rFonts w:ascii="Times New Roman" w:hAnsi="Times New Roman" w:cs="Times New Roman"/>
          <w:color w:val="auto"/>
          <w:sz w:val="24"/>
          <w:szCs w:val="24"/>
          <w:highlight w:val="none"/>
          <w:vertAlign w:val="subscript"/>
          <w:lang w:eastAsia="zh-CN"/>
        </w:rPr>
        <w:t>oi</w:t>
      </w:r>
      <w:r>
        <w:rPr>
          <w:rFonts w:ascii="Times New Roman" w:hAnsi="Times New Roman" w:cs="Times New Roman"/>
          <w:color w:val="auto"/>
          <w:sz w:val="24"/>
          <w:szCs w:val="24"/>
          <w:highlight w:val="none"/>
          <w:lang w:eastAsia="zh-CN"/>
        </w:rPr>
        <w:t xml:space="preserve"> 一般选用 GB3095 中 1 小时平均取样时间的二级标准的浓度限值；对于没有小时浓度限值的污染物，可取日平均浓度限值的三倍值。 </w:t>
      </w:r>
    </w:p>
    <w:p w14:paraId="748FD4C5">
      <w:pPr>
        <w:pStyle w:val="31"/>
        <w:adjustRightInd w:val="0"/>
        <w:snapToGrid w:val="0"/>
        <w:spacing w:line="360" w:lineRule="auto"/>
        <w:ind w:firstLine="480" w:firstLineChars="200"/>
        <w:rPr>
          <w:color w:val="auto"/>
          <w:highlight w:val="none"/>
        </w:rPr>
      </w:pPr>
      <w:r>
        <w:rPr>
          <w:rFonts w:hint="eastAsia" w:ascii="Times New Roman" w:hAnsi="Times New Roman" w:eastAsia="宋体"/>
          <w:color w:val="auto"/>
          <w:kern w:val="0"/>
          <w:szCs w:val="24"/>
          <w:highlight w:val="none"/>
        </w:rPr>
        <w:t>经筛选，本项目主要大气污染物为</w:t>
      </w:r>
      <w:r>
        <w:rPr>
          <w:rFonts w:hint="eastAsia" w:ascii="Times New Roman" w:hAnsi="Times New Roman" w:eastAsia="宋体"/>
          <w:color w:val="auto"/>
          <w:kern w:val="0"/>
          <w:szCs w:val="24"/>
          <w:highlight w:val="none"/>
          <w:lang w:val="en-US" w:eastAsia="zh-CN"/>
        </w:rPr>
        <w:t>NH</w:t>
      </w:r>
      <w:r>
        <w:rPr>
          <w:rFonts w:hint="eastAsia" w:ascii="Times New Roman" w:hAnsi="Times New Roman" w:eastAsia="宋体"/>
          <w:color w:val="auto"/>
          <w:kern w:val="0"/>
          <w:szCs w:val="24"/>
          <w:highlight w:val="none"/>
          <w:vertAlign w:val="subscript"/>
          <w:lang w:val="en-US" w:eastAsia="zh-CN"/>
        </w:rPr>
        <w:t>3</w:t>
      </w:r>
      <w:r>
        <w:rPr>
          <w:rFonts w:hint="eastAsia" w:ascii="Times New Roman" w:hAnsi="Times New Roman" w:eastAsia="宋体"/>
          <w:color w:val="auto"/>
          <w:kern w:val="0"/>
          <w:szCs w:val="24"/>
          <w:highlight w:val="none"/>
          <w:lang w:eastAsia="zh-CN"/>
        </w:rPr>
        <w:t>、</w:t>
      </w:r>
      <w:r>
        <w:rPr>
          <w:rFonts w:hint="eastAsia" w:ascii="Times New Roman" w:hAnsi="Times New Roman" w:eastAsia="宋体"/>
          <w:color w:val="auto"/>
          <w:kern w:val="0"/>
          <w:szCs w:val="24"/>
          <w:highlight w:val="none"/>
          <w:lang w:val="en-US" w:eastAsia="zh-CN"/>
        </w:rPr>
        <w:t>H</w:t>
      </w:r>
      <w:r>
        <w:rPr>
          <w:rFonts w:hint="eastAsia" w:ascii="Times New Roman" w:hAnsi="Times New Roman" w:eastAsia="宋体"/>
          <w:color w:val="auto"/>
          <w:kern w:val="0"/>
          <w:szCs w:val="24"/>
          <w:highlight w:val="none"/>
          <w:vertAlign w:val="subscript"/>
          <w:lang w:val="en-US" w:eastAsia="zh-CN"/>
        </w:rPr>
        <w:t>2</w:t>
      </w:r>
      <w:r>
        <w:rPr>
          <w:rFonts w:hint="eastAsia" w:ascii="Times New Roman" w:hAnsi="Times New Roman" w:eastAsia="宋体"/>
          <w:color w:val="auto"/>
          <w:kern w:val="0"/>
          <w:szCs w:val="24"/>
          <w:highlight w:val="none"/>
          <w:lang w:val="en-US" w:eastAsia="zh-CN"/>
        </w:rPr>
        <w:t>S</w:t>
      </w:r>
      <w:r>
        <w:rPr>
          <w:rFonts w:hint="eastAsia" w:ascii="Times New Roman" w:hAnsi="Times New Roman" w:eastAsia="宋体"/>
          <w:color w:val="auto"/>
          <w:kern w:val="0"/>
          <w:szCs w:val="24"/>
          <w:highlight w:val="none"/>
        </w:rPr>
        <w:t>，根据《环境影响评价技术导则 大气环境》（</w:t>
      </w:r>
      <w:r>
        <w:rPr>
          <w:rFonts w:ascii="Times New Roman" w:hAnsi="Times New Roman" w:eastAsia="宋体"/>
          <w:color w:val="auto"/>
          <w:kern w:val="0"/>
          <w:szCs w:val="24"/>
          <w:highlight w:val="none"/>
        </w:rPr>
        <w:t>HJ2.2</w:t>
      </w:r>
      <w:r>
        <w:rPr>
          <w:rFonts w:hint="eastAsia" w:ascii="Times New Roman" w:hAnsi="Times New Roman" w:eastAsia="宋体"/>
          <w:color w:val="auto"/>
          <w:kern w:val="0"/>
          <w:szCs w:val="24"/>
          <w:highlight w:val="none"/>
        </w:rPr>
        <w:t>－</w:t>
      </w:r>
      <w:r>
        <w:rPr>
          <w:rFonts w:ascii="Times New Roman" w:hAnsi="Times New Roman" w:eastAsia="宋体"/>
          <w:color w:val="auto"/>
          <w:kern w:val="0"/>
          <w:szCs w:val="24"/>
          <w:highlight w:val="none"/>
        </w:rPr>
        <w:t>20</w:t>
      </w:r>
      <w:r>
        <w:rPr>
          <w:rFonts w:hint="eastAsia" w:ascii="Times New Roman" w:hAnsi="Times New Roman" w:eastAsia="宋体"/>
          <w:color w:val="auto"/>
          <w:kern w:val="0"/>
          <w:szCs w:val="24"/>
          <w:highlight w:val="none"/>
        </w:rPr>
        <w:t>1</w:t>
      </w:r>
      <w:r>
        <w:rPr>
          <w:rFonts w:ascii="Times New Roman" w:hAnsi="Times New Roman" w:eastAsia="宋体"/>
          <w:color w:val="auto"/>
          <w:kern w:val="0"/>
          <w:szCs w:val="24"/>
          <w:highlight w:val="none"/>
        </w:rPr>
        <w:t>8</w:t>
      </w:r>
      <w:r>
        <w:rPr>
          <w:rFonts w:hint="eastAsia" w:ascii="Times New Roman" w:hAnsi="Times New Roman" w:eastAsia="宋体"/>
          <w:color w:val="auto"/>
          <w:kern w:val="0"/>
          <w:szCs w:val="24"/>
          <w:highlight w:val="none"/>
        </w:rPr>
        <w:t>）中关于大气环境影响评价等级的划分原则，按估算模型计算本项目大气环境影响评价等级，判据见</w:t>
      </w:r>
      <w:r>
        <w:rPr>
          <w:rFonts w:hint="eastAsia" w:eastAsia="宋体"/>
          <w:color w:val="auto"/>
          <w:kern w:val="0"/>
          <w:szCs w:val="24"/>
          <w:highlight w:val="none"/>
          <w:lang w:eastAsia="zh-CN"/>
        </w:rPr>
        <w:t>下表</w:t>
      </w:r>
      <w:r>
        <w:rPr>
          <w:rFonts w:hint="eastAsia" w:ascii="Times New Roman" w:hAnsi="Times New Roman" w:eastAsia="宋体"/>
          <w:color w:val="auto"/>
          <w:kern w:val="0"/>
          <w:szCs w:val="24"/>
          <w:highlight w:val="none"/>
        </w:rPr>
        <w:t>，主要大气污染物</w:t>
      </w:r>
      <w:r>
        <w:rPr>
          <w:rFonts w:ascii="Times New Roman" w:hAnsi="Times New Roman" w:eastAsia="宋体"/>
          <w:color w:val="auto"/>
          <w:kern w:val="0"/>
          <w:szCs w:val="24"/>
          <w:highlight w:val="none"/>
        </w:rPr>
        <w:t>P</w:t>
      </w:r>
      <w:r>
        <w:rPr>
          <w:rFonts w:ascii="Times New Roman" w:hAnsi="Times New Roman" w:eastAsia="宋体"/>
          <w:color w:val="auto"/>
          <w:kern w:val="0"/>
          <w:szCs w:val="24"/>
          <w:highlight w:val="none"/>
          <w:vertAlign w:val="subscript"/>
        </w:rPr>
        <w:t>max</w:t>
      </w:r>
      <w:r>
        <w:rPr>
          <w:rFonts w:ascii="Times New Roman" w:hAnsi="Times New Roman" w:eastAsia="宋体"/>
          <w:color w:val="auto"/>
          <w:kern w:val="0"/>
          <w:szCs w:val="24"/>
          <w:highlight w:val="none"/>
        </w:rPr>
        <w:t xml:space="preserve"> </w:t>
      </w:r>
      <w:r>
        <w:rPr>
          <w:rFonts w:hint="eastAsia" w:ascii="Times New Roman" w:hAnsi="Times New Roman" w:eastAsia="宋体"/>
          <w:color w:val="auto"/>
          <w:kern w:val="0"/>
          <w:szCs w:val="24"/>
          <w:highlight w:val="none"/>
        </w:rPr>
        <w:t>结果及评价等级见</w:t>
      </w:r>
      <w:r>
        <w:rPr>
          <w:rFonts w:hint="eastAsia" w:eastAsia="宋体"/>
          <w:color w:val="auto"/>
          <w:kern w:val="0"/>
          <w:szCs w:val="24"/>
          <w:highlight w:val="none"/>
          <w:lang w:eastAsia="zh-CN"/>
        </w:rPr>
        <w:t>下表</w:t>
      </w:r>
      <w:r>
        <w:rPr>
          <w:rFonts w:hint="eastAsia" w:ascii="Times New Roman" w:hAnsi="Times New Roman" w:eastAsia="宋体"/>
          <w:color w:val="auto"/>
          <w:highlight w:val="none"/>
        </w:rPr>
        <w:t>。</w:t>
      </w:r>
    </w:p>
    <w:p w14:paraId="609FB3B3">
      <w:pPr>
        <w:adjustRightInd w:val="0"/>
        <w:snapToGrid w:val="0"/>
        <w:spacing w:line="360" w:lineRule="auto"/>
        <w:rPr>
          <w:rFonts w:ascii="Times New Roman" w:hAnsi="Times New Roman" w:cs="Times New Roman"/>
          <w:color w:val="auto"/>
          <w:sz w:val="21"/>
          <w:szCs w:val="21"/>
          <w:highlight w:val="none"/>
        </w:rPr>
      </w:pPr>
      <w:r>
        <w:rPr>
          <w:rFonts w:ascii="Times New Roman" w:hAnsi="Times New Roman" w:cs="Times New Roman"/>
          <w:b/>
          <w:bCs/>
          <w:color w:val="auto"/>
          <w:sz w:val="21"/>
          <w:szCs w:val="21"/>
          <w:highlight w:val="none"/>
        </w:rPr>
        <w:t>表</w:t>
      </w:r>
      <w:r>
        <w:rPr>
          <w:rFonts w:hint="eastAsia" w:cs="Times New Roman"/>
          <w:b/>
          <w:bCs/>
          <w:color w:val="auto"/>
          <w:sz w:val="21"/>
          <w:szCs w:val="21"/>
          <w:highlight w:val="none"/>
          <w:lang w:val="en-US" w:eastAsia="zh-CN"/>
        </w:rPr>
        <w:t>29</w:t>
      </w:r>
      <w:r>
        <w:rPr>
          <w:rFonts w:ascii="Times New Roman" w:hAnsi="Times New Roman" w:cs="Times New Roman"/>
          <w:b/>
          <w:bCs/>
          <w:color w:val="auto"/>
          <w:sz w:val="21"/>
          <w:szCs w:val="21"/>
          <w:highlight w:val="none"/>
        </w:rPr>
        <w:t xml:space="preserve">                    </w:t>
      </w:r>
      <w:r>
        <w:rPr>
          <w:rFonts w:hint="eastAsia" w:ascii="Times New Roman" w:hAnsi="Times New Roman" w:cs="Times New Roman"/>
          <w:b/>
          <w:bCs/>
          <w:color w:val="auto"/>
          <w:sz w:val="21"/>
          <w:szCs w:val="21"/>
          <w:highlight w:val="none"/>
          <w:lang w:eastAsia="zh-CN"/>
        </w:rPr>
        <w:t xml:space="preserve">   </w:t>
      </w:r>
      <w:r>
        <w:rPr>
          <w:rFonts w:ascii="Times New Roman" w:hAnsi="Times New Roman" w:cs="Times New Roman"/>
          <w:b/>
          <w:bCs/>
          <w:color w:val="auto"/>
          <w:sz w:val="21"/>
          <w:szCs w:val="21"/>
          <w:highlight w:val="none"/>
        </w:rPr>
        <w:t xml:space="preserve"> </w:t>
      </w:r>
      <w:r>
        <w:rPr>
          <w:rFonts w:hint="eastAsia" w:cs="Times New Roman"/>
          <w:b/>
          <w:bCs/>
          <w:color w:val="auto"/>
          <w:sz w:val="21"/>
          <w:szCs w:val="21"/>
          <w:highlight w:val="none"/>
          <w:lang w:val="en-US" w:eastAsia="zh-CN"/>
        </w:rPr>
        <w:t xml:space="preserve">  </w:t>
      </w:r>
      <w:r>
        <w:rPr>
          <w:rFonts w:ascii="Times New Roman" w:hAnsi="Times New Roman" w:cs="Times New Roman"/>
          <w:b/>
          <w:bCs/>
          <w:color w:val="auto"/>
          <w:sz w:val="21"/>
          <w:szCs w:val="21"/>
          <w:highlight w:val="none"/>
        </w:rPr>
        <w:t>评价工作的等级</w:t>
      </w:r>
    </w:p>
    <w:tbl>
      <w:tblPr>
        <w:tblStyle w:val="25"/>
        <w:tblW w:w="9286"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43"/>
        <w:gridCol w:w="4643"/>
      </w:tblGrid>
      <w:tr w14:paraId="4BD09DE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643" w:type="dxa"/>
            <w:noWrap w:val="0"/>
            <w:vAlign w:val="center"/>
          </w:tcPr>
          <w:p w14:paraId="547EE75A">
            <w:pPr>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评价工作等级</w:t>
            </w:r>
          </w:p>
        </w:tc>
        <w:tc>
          <w:tcPr>
            <w:tcW w:w="4643" w:type="dxa"/>
            <w:noWrap w:val="0"/>
            <w:vAlign w:val="center"/>
          </w:tcPr>
          <w:p w14:paraId="179DC400">
            <w:pPr>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评价工作分级判据</w:t>
            </w:r>
          </w:p>
        </w:tc>
      </w:tr>
      <w:tr w14:paraId="3EE238D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643" w:type="dxa"/>
            <w:noWrap w:val="0"/>
            <w:vAlign w:val="center"/>
          </w:tcPr>
          <w:p w14:paraId="48A32E84">
            <w:pPr>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一级</w:t>
            </w:r>
          </w:p>
        </w:tc>
        <w:tc>
          <w:tcPr>
            <w:tcW w:w="4643" w:type="dxa"/>
            <w:noWrap w:val="0"/>
            <w:vAlign w:val="center"/>
          </w:tcPr>
          <w:p w14:paraId="265163DF">
            <w:pPr>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P</w:t>
            </w:r>
            <w:r>
              <w:rPr>
                <w:rFonts w:ascii="Times New Roman" w:hAnsi="Times New Roman" w:cs="Times New Roman"/>
                <w:color w:val="auto"/>
                <w:sz w:val="21"/>
                <w:szCs w:val="21"/>
                <w:highlight w:val="none"/>
                <w:vertAlign w:val="subscript"/>
              </w:rPr>
              <w:t>max</w:t>
            </w:r>
            <w:r>
              <w:rPr>
                <w:rFonts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lang w:eastAsia="zh-CN"/>
              </w:rPr>
              <w:t>1</w:t>
            </w:r>
            <w:r>
              <w:rPr>
                <w:rFonts w:ascii="Times New Roman" w:hAnsi="Times New Roman" w:cs="Times New Roman"/>
                <w:color w:val="auto"/>
                <w:sz w:val="21"/>
                <w:szCs w:val="21"/>
                <w:highlight w:val="none"/>
              </w:rPr>
              <w:t>0%</w:t>
            </w:r>
          </w:p>
        </w:tc>
      </w:tr>
      <w:tr w14:paraId="5847896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643" w:type="dxa"/>
            <w:noWrap w:val="0"/>
            <w:vAlign w:val="center"/>
          </w:tcPr>
          <w:p w14:paraId="4CC67628">
            <w:pPr>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二级</w:t>
            </w:r>
          </w:p>
        </w:tc>
        <w:tc>
          <w:tcPr>
            <w:tcW w:w="4643" w:type="dxa"/>
            <w:noWrap w:val="0"/>
            <w:vAlign w:val="center"/>
          </w:tcPr>
          <w:p w14:paraId="50823FB7">
            <w:pPr>
              <w:adjustRightInd w:val="0"/>
              <w:snapToGrid w:val="0"/>
              <w:jc w:val="center"/>
              <w:rPr>
                <w:rFonts w:ascii="Times New Roman" w:hAnsi="Times New Roman" w:cs="Times New Roman"/>
                <w:color w:val="auto"/>
                <w:sz w:val="21"/>
                <w:szCs w:val="21"/>
                <w:highlight w:val="none"/>
              </w:rPr>
            </w:pPr>
            <w:r>
              <w:rPr>
                <w:rFonts w:hint="eastAsia" w:ascii="Arial" w:hAnsi="Arial" w:cs="Arial"/>
                <w:color w:val="auto"/>
                <w:sz w:val="21"/>
                <w:szCs w:val="21"/>
                <w:highlight w:val="none"/>
                <w:lang w:eastAsia="zh-CN"/>
              </w:rPr>
              <w:t>1%</w:t>
            </w:r>
            <w:r>
              <w:rPr>
                <w:rFonts w:ascii="Arial" w:hAnsi="Arial" w:cs="Arial"/>
                <w:color w:val="auto"/>
                <w:sz w:val="21"/>
                <w:szCs w:val="21"/>
                <w:highlight w:val="none"/>
              </w:rPr>
              <w:t>≤</w:t>
            </w:r>
            <w:r>
              <w:rPr>
                <w:rFonts w:ascii="Times New Roman" w:hAnsi="Times New Roman" w:cs="Times New Roman"/>
                <w:color w:val="auto"/>
                <w:sz w:val="21"/>
                <w:szCs w:val="21"/>
                <w:highlight w:val="none"/>
              </w:rPr>
              <w:t>P</w:t>
            </w:r>
            <w:r>
              <w:rPr>
                <w:rFonts w:ascii="Times New Roman" w:hAnsi="Times New Roman" w:cs="Times New Roman"/>
                <w:color w:val="auto"/>
                <w:sz w:val="21"/>
                <w:szCs w:val="21"/>
                <w:highlight w:val="none"/>
                <w:vertAlign w:val="subscript"/>
              </w:rPr>
              <w:t>max</w:t>
            </w:r>
            <w:r>
              <w:rPr>
                <w:rFonts w:hint="eastAsia" w:ascii="Times New Roman" w:hAnsi="Times New Roman" w:cs="Times New Roman"/>
                <w:color w:val="auto"/>
                <w:sz w:val="21"/>
                <w:szCs w:val="21"/>
                <w:highlight w:val="none"/>
              </w:rPr>
              <w:t>＜</w:t>
            </w:r>
            <w:r>
              <w:rPr>
                <w:rFonts w:ascii="Times New Roman" w:hAnsi="Times New Roman" w:cs="Times New Roman"/>
                <w:color w:val="auto"/>
                <w:sz w:val="21"/>
                <w:szCs w:val="21"/>
                <w:highlight w:val="none"/>
              </w:rPr>
              <w:t>1</w:t>
            </w:r>
            <w:r>
              <w:rPr>
                <w:rFonts w:hint="eastAsia" w:ascii="Times New Roman" w:hAnsi="Times New Roman" w:cs="Times New Roman"/>
                <w:color w:val="auto"/>
                <w:sz w:val="21"/>
                <w:szCs w:val="21"/>
                <w:highlight w:val="none"/>
                <w:lang w:eastAsia="zh-CN"/>
              </w:rPr>
              <w:t>0</w:t>
            </w:r>
            <w:r>
              <w:rPr>
                <w:rFonts w:ascii="Times New Roman" w:hAnsi="Times New Roman" w:cs="Times New Roman"/>
                <w:color w:val="auto"/>
                <w:sz w:val="21"/>
                <w:szCs w:val="21"/>
                <w:highlight w:val="none"/>
              </w:rPr>
              <w:t>%</w:t>
            </w:r>
          </w:p>
        </w:tc>
      </w:tr>
      <w:tr w14:paraId="3126BDA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643" w:type="dxa"/>
            <w:noWrap w:val="0"/>
            <w:vAlign w:val="center"/>
          </w:tcPr>
          <w:p w14:paraId="6A318643">
            <w:pPr>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三级</w:t>
            </w:r>
          </w:p>
        </w:tc>
        <w:tc>
          <w:tcPr>
            <w:tcW w:w="4643" w:type="dxa"/>
            <w:noWrap w:val="0"/>
            <w:vAlign w:val="center"/>
          </w:tcPr>
          <w:p w14:paraId="0F4C0D56">
            <w:pPr>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P</w:t>
            </w:r>
            <w:r>
              <w:rPr>
                <w:rFonts w:ascii="Times New Roman" w:hAnsi="Times New Roman" w:cs="Times New Roman"/>
                <w:color w:val="auto"/>
                <w:sz w:val="21"/>
                <w:szCs w:val="21"/>
                <w:highlight w:val="none"/>
                <w:vertAlign w:val="subscript"/>
              </w:rPr>
              <w:t>max</w:t>
            </w:r>
            <w:r>
              <w:rPr>
                <w:rFonts w:hint="eastAsia" w:ascii="Times New Roman" w:hAnsi="Times New Roman" w:cs="Times New Roman"/>
                <w:color w:val="auto"/>
                <w:sz w:val="21"/>
                <w:szCs w:val="21"/>
                <w:highlight w:val="none"/>
              </w:rPr>
              <w:t>＜</w:t>
            </w:r>
            <w:r>
              <w:rPr>
                <w:rFonts w:ascii="Times New Roman" w:hAnsi="Times New Roman" w:cs="Times New Roman"/>
                <w:color w:val="auto"/>
                <w:sz w:val="21"/>
                <w:szCs w:val="21"/>
                <w:highlight w:val="none"/>
              </w:rPr>
              <w:t>1%</w:t>
            </w:r>
          </w:p>
        </w:tc>
      </w:tr>
    </w:tbl>
    <w:p w14:paraId="36F21BA4">
      <w:pPr>
        <w:adjustRightInd w:val="0"/>
        <w:snapToGrid w:val="0"/>
        <w:spacing w:line="360" w:lineRule="auto"/>
        <w:ind w:firstLine="480" w:firstLineChars="200"/>
        <w:rPr>
          <w:rFonts w:ascii="Times New Roman" w:hAnsi="Times New Roman" w:cs="Times New Roman"/>
          <w:b/>
          <w:bCs/>
          <w:color w:val="auto"/>
          <w:sz w:val="24"/>
          <w:szCs w:val="24"/>
          <w:highlight w:val="none"/>
          <w:lang w:eastAsia="zh-CN"/>
        </w:rPr>
      </w:pPr>
      <w:r>
        <w:rPr>
          <w:rFonts w:ascii="Times New Roman" w:hAnsi="Times New Roman" w:cs="Times New Roman"/>
          <w:color w:val="auto"/>
          <w:sz w:val="24"/>
          <w:szCs w:val="24"/>
          <w:highlight w:val="none"/>
          <w:lang w:eastAsia="zh-CN"/>
        </w:rPr>
        <w:t>估算模式预测结果见</w:t>
      </w:r>
      <w:r>
        <w:rPr>
          <w:rFonts w:hint="eastAsia" w:ascii="Times New Roman" w:hAnsi="Times New Roman" w:cs="Times New Roman"/>
          <w:color w:val="auto"/>
          <w:sz w:val="24"/>
          <w:szCs w:val="24"/>
          <w:highlight w:val="none"/>
          <w:lang w:eastAsia="zh-CN"/>
        </w:rPr>
        <w:t>下表</w:t>
      </w:r>
      <w:r>
        <w:rPr>
          <w:rFonts w:ascii="Times New Roman" w:hAnsi="Times New Roman" w:cs="Times New Roman"/>
          <w:color w:val="auto"/>
          <w:sz w:val="24"/>
          <w:szCs w:val="24"/>
          <w:highlight w:val="none"/>
          <w:lang w:eastAsia="zh-CN"/>
        </w:rPr>
        <w:t>。</w:t>
      </w:r>
    </w:p>
    <w:p w14:paraId="5ED89DCF">
      <w:pPr>
        <w:adjustRightInd w:val="0"/>
        <w:snapToGrid w:val="0"/>
        <w:spacing w:line="360" w:lineRule="auto"/>
        <w:rPr>
          <w:rFonts w:ascii="Times New Roman" w:hAnsi="Times New Roman" w:cs="Times New Roman"/>
          <w:color w:val="auto"/>
          <w:sz w:val="21"/>
          <w:szCs w:val="21"/>
          <w:highlight w:val="none"/>
        </w:rPr>
      </w:pPr>
      <w:r>
        <w:rPr>
          <w:rFonts w:ascii="Times New Roman" w:hAnsi="Times New Roman" w:cs="Times New Roman"/>
          <w:b/>
          <w:bCs/>
          <w:color w:val="auto"/>
          <w:sz w:val="21"/>
          <w:szCs w:val="21"/>
          <w:highlight w:val="none"/>
        </w:rPr>
        <w:t>表</w:t>
      </w:r>
      <w:r>
        <w:rPr>
          <w:rFonts w:hint="eastAsia" w:cs="Times New Roman"/>
          <w:b/>
          <w:bCs/>
          <w:color w:val="auto"/>
          <w:sz w:val="21"/>
          <w:szCs w:val="21"/>
          <w:highlight w:val="none"/>
          <w:lang w:val="en-US" w:eastAsia="zh-CN"/>
        </w:rPr>
        <w:t>30</w:t>
      </w:r>
      <w:r>
        <w:rPr>
          <w:rFonts w:ascii="Times New Roman" w:hAnsi="Times New Roman" w:cs="Times New Roman"/>
          <w:b/>
          <w:bCs/>
          <w:color w:val="auto"/>
          <w:sz w:val="21"/>
          <w:szCs w:val="21"/>
          <w:highlight w:val="none"/>
        </w:rPr>
        <w:t xml:space="preserve"> </w:t>
      </w:r>
      <w:r>
        <w:rPr>
          <w:rFonts w:hint="eastAsia" w:ascii="Times New Roman" w:hAnsi="Times New Roman" w:cs="Times New Roman"/>
          <w:b/>
          <w:bCs/>
          <w:color w:val="auto"/>
          <w:sz w:val="21"/>
          <w:szCs w:val="21"/>
          <w:highlight w:val="none"/>
          <w:lang w:val="en-US" w:eastAsia="zh-CN"/>
        </w:rPr>
        <w:t xml:space="preserve">   </w:t>
      </w:r>
      <w:r>
        <w:rPr>
          <w:rFonts w:ascii="Times New Roman" w:hAnsi="Times New Roman" w:cs="Times New Roman"/>
          <w:b/>
          <w:bCs/>
          <w:color w:val="auto"/>
          <w:sz w:val="21"/>
          <w:szCs w:val="21"/>
          <w:highlight w:val="none"/>
        </w:rPr>
        <w:t xml:space="preserve">                </w:t>
      </w:r>
      <w:r>
        <w:rPr>
          <w:rFonts w:hint="eastAsia" w:ascii="Times New Roman" w:hAnsi="Times New Roman" w:cs="Times New Roman"/>
          <w:b/>
          <w:bCs/>
          <w:color w:val="auto"/>
          <w:sz w:val="21"/>
          <w:szCs w:val="21"/>
          <w:highlight w:val="none"/>
          <w:lang w:eastAsia="zh-CN"/>
        </w:rPr>
        <w:t xml:space="preserve">    </w:t>
      </w:r>
      <w:r>
        <w:rPr>
          <w:rFonts w:ascii="Times New Roman" w:hAnsi="Times New Roman" w:cs="Times New Roman"/>
          <w:b/>
          <w:bCs/>
          <w:color w:val="auto"/>
          <w:sz w:val="21"/>
          <w:szCs w:val="21"/>
          <w:highlight w:val="none"/>
        </w:rPr>
        <w:t xml:space="preserve"> 估算模式预测结果</w:t>
      </w:r>
    </w:p>
    <w:tbl>
      <w:tblPr>
        <w:tblStyle w:val="25"/>
        <w:tblW w:w="9286"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08"/>
        <w:gridCol w:w="1823"/>
        <w:gridCol w:w="1881"/>
        <w:gridCol w:w="2280"/>
        <w:gridCol w:w="1294"/>
      </w:tblGrid>
      <w:tr w14:paraId="6AA7AD8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08" w:type="dxa"/>
            <w:noWrap w:val="0"/>
            <w:vAlign w:val="center"/>
          </w:tcPr>
          <w:p w14:paraId="6091C973">
            <w:pPr>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lang w:eastAsia="zh-CN"/>
              </w:rPr>
              <w:t>废气</w:t>
            </w:r>
            <w:r>
              <w:rPr>
                <w:rFonts w:ascii="Times New Roman" w:hAnsi="Times New Roman" w:cs="Times New Roman"/>
                <w:color w:val="auto"/>
                <w:sz w:val="21"/>
                <w:szCs w:val="21"/>
                <w:highlight w:val="none"/>
              </w:rPr>
              <w:t>名称</w:t>
            </w:r>
          </w:p>
        </w:tc>
        <w:tc>
          <w:tcPr>
            <w:tcW w:w="1823" w:type="dxa"/>
            <w:noWrap w:val="0"/>
            <w:vAlign w:val="center"/>
          </w:tcPr>
          <w:p w14:paraId="49E0D582">
            <w:pPr>
              <w:adjustRightInd w:val="0"/>
              <w:snapToGrid w:val="0"/>
              <w:jc w:val="center"/>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污染因子</w:t>
            </w:r>
          </w:p>
        </w:tc>
        <w:tc>
          <w:tcPr>
            <w:tcW w:w="1881" w:type="dxa"/>
            <w:noWrap w:val="0"/>
            <w:vAlign w:val="center"/>
          </w:tcPr>
          <w:p w14:paraId="1C72C310">
            <w:pPr>
              <w:adjustRightInd w:val="0"/>
              <w:snapToGrid w:val="0"/>
              <w:jc w:val="center"/>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最大地面浓度占标率（%）</w:t>
            </w:r>
          </w:p>
        </w:tc>
        <w:tc>
          <w:tcPr>
            <w:tcW w:w="2280" w:type="dxa"/>
            <w:noWrap w:val="0"/>
            <w:vAlign w:val="center"/>
          </w:tcPr>
          <w:p w14:paraId="1E64DB48">
            <w:pPr>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评价等级</w:t>
            </w:r>
          </w:p>
          <w:p w14:paraId="5B5A5824">
            <w:pPr>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区段</w:t>
            </w:r>
          </w:p>
        </w:tc>
        <w:tc>
          <w:tcPr>
            <w:tcW w:w="1294" w:type="dxa"/>
            <w:noWrap w:val="0"/>
            <w:vAlign w:val="center"/>
          </w:tcPr>
          <w:p w14:paraId="23C37A96">
            <w:pPr>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评价</w:t>
            </w:r>
          </w:p>
          <w:p w14:paraId="0D719F22">
            <w:pPr>
              <w:adjustRightInd w:val="0"/>
              <w:snapToGrid w:val="0"/>
              <w:jc w:val="center"/>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等级</w:t>
            </w:r>
          </w:p>
        </w:tc>
      </w:tr>
      <w:tr w14:paraId="6C19488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2008" w:type="dxa"/>
            <w:vMerge w:val="restart"/>
            <w:noWrap w:val="0"/>
            <w:vAlign w:val="center"/>
          </w:tcPr>
          <w:p w14:paraId="4F6A16C8">
            <w:pPr>
              <w:keepNext w:val="0"/>
              <w:keepLines w:val="0"/>
              <w:pageBreakBefore w:val="0"/>
              <w:widowControl w:val="0"/>
              <w:tabs>
                <w:tab w:val="left" w:pos="674"/>
                <w:tab w:val="left" w:pos="6300"/>
              </w:tabs>
              <w:kinsoku/>
              <w:wordWrap/>
              <w:overflowPunct/>
              <w:topLinePunct w:val="0"/>
              <w:autoSpaceDE/>
              <w:autoSpaceDN/>
              <w:bidi w:val="0"/>
              <w:adjustRightInd w:val="0"/>
              <w:snapToGrid w:val="0"/>
              <w:spacing w:line="240" w:lineRule="auto"/>
              <w:jc w:val="center"/>
              <w:textAlignment w:val="auto"/>
              <w:outlineLvl w:val="9"/>
              <w:rPr>
                <w:rFonts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污水处理设施恶臭气体</w:t>
            </w:r>
          </w:p>
        </w:tc>
        <w:tc>
          <w:tcPr>
            <w:tcW w:w="1823" w:type="dxa"/>
            <w:noWrap w:val="0"/>
            <w:vAlign w:val="center"/>
          </w:tcPr>
          <w:p w14:paraId="52CAAC95">
            <w:pPr>
              <w:adjustRightInd w:val="0"/>
              <w:snapToGrid w:val="0"/>
              <w:jc w:val="center"/>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NH</w:t>
            </w:r>
            <w:r>
              <w:rPr>
                <w:rFonts w:hint="eastAsia" w:ascii="Times New Roman" w:hAnsi="Times New Roman" w:cs="Times New Roman"/>
                <w:color w:val="auto"/>
                <w:sz w:val="21"/>
                <w:szCs w:val="21"/>
                <w:highlight w:val="none"/>
                <w:vertAlign w:val="subscript"/>
                <w:lang w:val="en-US" w:eastAsia="zh-CN"/>
              </w:rPr>
              <w:t>3</w:t>
            </w:r>
          </w:p>
        </w:tc>
        <w:tc>
          <w:tcPr>
            <w:tcW w:w="1881" w:type="dxa"/>
            <w:noWrap w:val="0"/>
            <w:vAlign w:val="center"/>
          </w:tcPr>
          <w:p w14:paraId="24016019">
            <w:pPr>
              <w:adjustRightInd w:val="0"/>
              <w:snapToGrid w:val="0"/>
              <w:jc w:val="center"/>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1.47</w:t>
            </w:r>
          </w:p>
        </w:tc>
        <w:tc>
          <w:tcPr>
            <w:tcW w:w="2280" w:type="dxa"/>
            <w:noWrap w:val="0"/>
            <w:vAlign w:val="center"/>
          </w:tcPr>
          <w:p w14:paraId="766F706D">
            <w:pPr>
              <w:adjustRightInd w:val="0"/>
              <w:snapToGrid w:val="0"/>
              <w:jc w:val="center"/>
              <w:rPr>
                <w:rFonts w:ascii="Times New Roman" w:hAnsi="Times New Roman" w:cs="Times New Roman"/>
                <w:color w:val="auto"/>
                <w:sz w:val="21"/>
                <w:szCs w:val="21"/>
                <w:highlight w:val="none"/>
              </w:rPr>
            </w:pPr>
            <w:r>
              <w:rPr>
                <w:rFonts w:hint="eastAsia" w:ascii="Arial" w:hAnsi="Arial" w:cs="Arial"/>
                <w:color w:val="auto"/>
                <w:sz w:val="21"/>
                <w:szCs w:val="21"/>
                <w:highlight w:val="none"/>
                <w:lang w:eastAsia="zh-CN"/>
              </w:rPr>
              <w:t>1%</w:t>
            </w:r>
            <w:r>
              <w:rPr>
                <w:rFonts w:ascii="Arial" w:hAnsi="Arial" w:cs="Arial"/>
                <w:color w:val="auto"/>
                <w:sz w:val="21"/>
                <w:szCs w:val="21"/>
                <w:highlight w:val="none"/>
              </w:rPr>
              <w:t>≤</w:t>
            </w:r>
            <w:r>
              <w:rPr>
                <w:rFonts w:ascii="Times New Roman" w:hAnsi="Times New Roman" w:cs="Times New Roman"/>
                <w:color w:val="auto"/>
                <w:sz w:val="21"/>
                <w:szCs w:val="21"/>
                <w:highlight w:val="none"/>
              </w:rPr>
              <w:t>P</w:t>
            </w:r>
            <w:r>
              <w:rPr>
                <w:rFonts w:ascii="Times New Roman" w:hAnsi="Times New Roman" w:cs="Times New Roman"/>
                <w:color w:val="auto"/>
                <w:sz w:val="21"/>
                <w:szCs w:val="21"/>
                <w:highlight w:val="none"/>
                <w:vertAlign w:val="subscript"/>
              </w:rPr>
              <w:t>max</w:t>
            </w:r>
            <w:r>
              <w:rPr>
                <w:rFonts w:hint="eastAsia" w:ascii="Times New Roman" w:hAnsi="Times New Roman" w:cs="Times New Roman"/>
                <w:color w:val="auto"/>
                <w:sz w:val="21"/>
                <w:szCs w:val="21"/>
                <w:highlight w:val="none"/>
              </w:rPr>
              <w:t>＜</w:t>
            </w:r>
            <w:r>
              <w:rPr>
                <w:rFonts w:ascii="Times New Roman" w:hAnsi="Times New Roman" w:cs="Times New Roman"/>
                <w:color w:val="auto"/>
                <w:sz w:val="21"/>
                <w:szCs w:val="21"/>
                <w:highlight w:val="none"/>
              </w:rPr>
              <w:t>1</w:t>
            </w:r>
            <w:r>
              <w:rPr>
                <w:rFonts w:hint="eastAsia" w:ascii="Times New Roman" w:hAnsi="Times New Roman" w:cs="Times New Roman"/>
                <w:color w:val="auto"/>
                <w:sz w:val="21"/>
                <w:szCs w:val="21"/>
                <w:highlight w:val="none"/>
                <w:lang w:eastAsia="zh-CN"/>
              </w:rPr>
              <w:t>0</w:t>
            </w:r>
            <w:r>
              <w:rPr>
                <w:rFonts w:ascii="Times New Roman" w:hAnsi="Times New Roman" w:cs="Times New Roman"/>
                <w:color w:val="auto"/>
                <w:sz w:val="21"/>
                <w:szCs w:val="21"/>
                <w:highlight w:val="none"/>
              </w:rPr>
              <w:t>%</w:t>
            </w:r>
          </w:p>
        </w:tc>
        <w:tc>
          <w:tcPr>
            <w:tcW w:w="1294" w:type="dxa"/>
            <w:noWrap w:val="0"/>
            <w:vAlign w:val="center"/>
          </w:tcPr>
          <w:p w14:paraId="7D9C2E8A">
            <w:pPr>
              <w:adjustRightInd w:val="0"/>
              <w:snapToGrid w:val="0"/>
              <w:jc w:val="center"/>
              <w:rPr>
                <w:rFonts w:ascii="Times New Roman" w:hAnsi="Times New Roman" w:cs="Times New Roman"/>
                <w:color w:val="auto"/>
                <w:sz w:val="21"/>
                <w:szCs w:val="21"/>
                <w:highlight w:val="none"/>
              </w:rPr>
            </w:pPr>
            <w:r>
              <w:rPr>
                <w:rFonts w:hint="eastAsia" w:cs="Times New Roman"/>
                <w:color w:val="auto"/>
                <w:sz w:val="21"/>
                <w:szCs w:val="21"/>
                <w:highlight w:val="none"/>
                <w:lang w:eastAsia="zh-CN"/>
              </w:rPr>
              <w:t>二</w:t>
            </w:r>
            <w:r>
              <w:rPr>
                <w:rFonts w:ascii="Times New Roman" w:hAnsi="Times New Roman" w:cs="Times New Roman"/>
                <w:color w:val="auto"/>
                <w:sz w:val="21"/>
                <w:szCs w:val="21"/>
                <w:highlight w:val="none"/>
              </w:rPr>
              <w:t>级</w:t>
            </w:r>
          </w:p>
        </w:tc>
      </w:tr>
      <w:tr w14:paraId="248E268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2008" w:type="dxa"/>
            <w:vMerge w:val="continue"/>
            <w:noWrap w:val="0"/>
            <w:vAlign w:val="center"/>
          </w:tcPr>
          <w:p w14:paraId="27DD7EE1">
            <w:pPr>
              <w:adjustRightInd w:val="0"/>
              <w:snapToGrid w:val="0"/>
              <w:jc w:val="center"/>
              <w:rPr>
                <w:rFonts w:ascii="Times New Roman" w:hAnsi="Times New Roman" w:cs="Times New Roman"/>
                <w:color w:val="auto"/>
                <w:sz w:val="21"/>
                <w:szCs w:val="21"/>
                <w:highlight w:val="none"/>
                <w:lang w:eastAsia="zh-CN"/>
              </w:rPr>
            </w:pPr>
          </w:p>
        </w:tc>
        <w:tc>
          <w:tcPr>
            <w:tcW w:w="1823" w:type="dxa"/>
            <w:noWrap w:val="0"/>
            <w:vAlign w:val="center"/>
          </w:tcPr>
          <w:p w14:paraId="7A763493">
            <w:pPr>
              <w:adjustRightInd w:val="0"/>
              <w:snapToGrid w:val="0"/>
              <w:jc w:val="center"/>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H</w:t>
            </w:r>
            <w:r>
              <w:rPr>
                <w:rFonts w:hint="eastAsia" w:ascii="Times New Roman" w:hAnsi="Times New Roman" w:cs="Times New Roman"/>
                <w:color w:val="auto"/>
                <w:sz w:val="21"/>
                <w:szCs w:val="21"/>
                <w:highlight w:val="none"/>
                <w:vertAlign w:val="subscript"/>
                <w:lang w:val="en-US" w:eastAsia="zh-CN"/>
              </w:rPr>
              <w:t>2</w:t>
            </w:r>
            <w:r>
              <w:rPr>
                <w:rFonts w:hint="eastAsia" w:ascii="Times New Roman" w:hAnsi="Times New Roman" w:cs="Times New Roman"/>
                <w:color w:val="auto"/>
                <w:sz w:val="21"/>
                <w:szCs w:val="21"/>
                <w:highlight w:val="none"/>
                <w:lang w:val="en-US" w:eastAsia="zh-CN"/>
              </w:rPr>
              <w:t>S</w:t>
            </w:r>
          </w:p>
        </w:tc>
        <w:tc>
          <w:tcPr>
            <w:tcW w:w="1881" w:type="dxa"/>
            <w:noWrap w:val="0"/>
            <w:vAlign w:val="center"/>
          </w:tcPr>
          <w:p w14:paraId="5FB91060">
            <w:pPr>
              <w:adjustRightInd w:val="0"/>
              <w:snapToGrid w:val="0"/>
              <w:jc w:val="center"/>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1.04</w:t>
            </w:r>
          </w:p>
        </w:tc>
        <w:tc>
          <w:tcPr>
            <w:tcW w:w="2280" w:type="dxa"/>
            <w:noWrap w:val="0"/>
            <w:vAlign w:val="center"/>
          </w:tcPr>
          <w:p w14:paraId="4DC445F4">
            <w:pPr>
              <w:adjustRightInd w:val="0"/>
              <w:snapToGrid w:val="0"/>
              <w:jc w:val="center"/>
              <w:rPr>
                <w:rFonts w:ascii="Times New Roman" w:hAnsi="Times New Roman" w:cs="Times New Roman"/>
                <w:color w:val="auto"/>
                <w:sz w:val="21"/>
                <w:szCs w:val="21"/>
                <w:highlight w:val="none"/>
              </w:rPr>
            </w:pPr>
            <w:r>
              <w:rPr>
                <w:rFonts w:hint="eastAsia" w:ascii="Arial" w:hAnsi="Arial" w:cs="Arial"/>
                <w:color w:val="auto"/>
                <w:sz w:val="21"/>
                <w:szCs w:val="21"/>
                <w:highlight w:val="none"/>
                <w:lang w:eastAsia="zh-CN"/>
              </w:rPr>
              <w:t>1%</w:t>
            </w:r>
            <w:r>
              <w:rPr>
                <w:rFonts w:ascii="Arial" w:hAnsi="Arial" w:cs="Arial"/>
                <w:color w:val="auto"/>
                <w:sz w:val="21"/>
                <w:szCs w:val="21"/>
                <w:highlight w:val="none"/>
              </w:rPr>
              <w:t>≤</w:t>
            </w:r>
            <w:r>
              <w:rPr>
                <w:rFonts w:ascii="Times New Roman" w:hAnsi="Times New Roman" w:cs="Times New Roman"/>
                <w:color w:val="auto"/>
                <w:sz w:val="21"/>
                <w:szCs w:val="21"/>
                <w:highlight w:val="none"/>
              </w:rPr>
              <w:t>P</w:t>
            </w:r>
            <w:r>
              <w:rPr>
                <w:rFonts w:ascii="Times New Roman" w:hAnsi="Times New Roman" w:cs="Times New Roman"/>
                <w:color w:val="auto"/>
                <w:sz w:val="21"/>
                <w:szCs w:val="21"/>
                <w:highlight w:val="none"/>
                <w:vertAlign w:val="subscript"/>
              </w:rPr>
              <w:t>max</w:t>
            </w:r>
            <w:r>
              <w:rPr>
                <w:rFonts w:hint="eastAsia" w:ascii="Times New Roman" w:hAnsi="Times New Roman" w:cs="Times New Roman"/>
                <w:color w:val="auto"/>
                <w:sz w:val="21"/>
                <w:szCs w:val="21"/>
                <w:highlight w:val="none"/>
              </w:rPr>
              <w:t>＜</w:t>
            </w:r>
            <w:r>
              <w:rPr>
                <w:rFonts w:ascii="Times New Roman" w:hAnsi="Times New Roman" w:cs="Times New Roman"/>
                <w:color w:val="auto"/>
                <w:sz w:val="21"/>
                <w:szCs w:val="21"/>
                <w:highlight w:val="none"/>
              </w:rPr>
              <w:t>1</w:t>
            </w:r>
            <w:r>
              <w:rPr>
                <w:rFonts w:hint="eastAsia" w:ascii="Times New Roman" w:hAnsi="Times New Roman" w:cs="Times New Roman"/>
                <w:color w:val="auto"/>
                <w:sz w:val="21"/>
                <w:szCs w:val="21"/>
                <w:highlight w:val="none"/>
                <w:lang w:eastAsia="zh-CN"/>
              </w:rPr>
              <w:t>0</w:t>
            </w:r>
            <w:r>
              <w:rPr>
                <w:rFonts w:ascii="Times New Roman" w:hAnsi="Times New Roman" w:cs="Times New Roman"/>
                <w:color w:val="auto"/>
                <w:sz w:val="21"/>
                <w:szCs w:val="21"/>
                <w:highlight w:val="none"/>
              </w:rPr>
              <w:t>%</w:t>
            </w:r>
          </w:p>
        </w:tc>
        <w:tc>
          <w:tcPr>
            <w:tcW w:w="1294" w:type="dxa"/>
            <w:noWrap w:val="0"/>
            <w:vAlign w:val="center"/>
          </w:tcPr>
          <w:p w14:paraId="6FBCF678">
            <w:pPr>
              <w:adjustRightInd w:val="0"/>
              <w:snapToGrid w:val="0"/>
              <w:jc w:val="center"/>
              <w:rPr>
                <w:rFonts w:ascii="Times New Roman" w:hAnsi="Times New Roman" w:cs="Times New Roman"/>
                <w:color w:val="auto"/>
                <w:sz w:val="21"/>
                <w:szCs w:val="21"/>
                <w:highlight w:val="none"/>
              </w:rPr>
            </w:pPr>
            <w:r>
              <w:rPr>
                <w:rFonts w:hint="eastAsia" w:cs="Times New Roman"/>
                <w:color w:val="auto"/>
                <w:sz w:val="21"/>
                <w:szCs w:val="21"/>
                <w:highlight w:val="none"/>
                <w:lang w:eastAsia="zh-CN"/>
              </w:rPr>
              <w:t>二</w:t>
            </w:r>
            <w:r>
              <w:rPr>
                <w:rFonts w:ascii="Times New Roman" w:hAnsi="Times New Roman" w:cs="Times New Roman"/>
                <w:color w:val="auto"/>
                <w:sz w:val="21"/>
                <w:szCs w:val="21"/>
                <w:highlight w:val="none"/>
              </w:rPr>
              <w:t>级</w:t>
            </w:r>
          </w:p>
        </w:tc>
      </w:tr>
    </w:tbl>
    <w:p w14:paraId="779C9796">
      <w:pPr>
        <w:adjustRightInd w:val="0"/>
        <w:snapToGrid w:val="0"/>
        <w:spacing w:line="360" w:lineRule="auto"/>
        <w:ind w:firstLine="480" w:firstLineChars="200"/>
        <w:rPr>
          <w:rFonts w:ascii="Times New Roman" w:hAnsi="Times New Roman" w:cs="Times New Roman"/>
          <w:color w:val="auto"/>
          <w:szCs w:val="24"/>
          <w:highlight w:val="none"/>
          <w:lang w:eastAsia="zh-CN"/>
        </w:rPr>
      </w:pPr>
      <w:r>
        <w:rPr>
          <w:rFonts w:ascii="Times New Roman" w:hAnsi="Times New Roman" w:cs="Times New Roman"/>
          <w:color w:val="auto"/>
          <w:sz w:val="24"/>
          <w:szCs w:val="24"/>
          <w:highlight w:val="none"/>
          <w:lang w:eastAsia="zh-CN"/>
        </w:rPr>
        <w:t>经预测，主要污染源排放的污染物最大地面落地浓度占标率</w:t>
      </w:r>
      <w:r>
        <w:rPr>
          <w:rFonts w:hint="eastAsia" w:ascii="Times New Roman" w:hAnsi="Times New Roman" w:cs="Times New Roman"/>
          <w:color w:val="auto"/>
          <w:sz w:val="24"/>
          <w:szCs w:val="24"/>
          <w:highlight w:val="none"/>
          <w:lang w:eastAsia="zh-CN"/>
        </w:rPr>
        <w:t>1%</w:t>
      </w:r>
      <w:r>
        <w:rPr>
          <w:rFonts w:ascii="Times New Roman" w:hAnsi="Times New Roman" w:cs="Times New Roman"/>
          <w:color w:val="auto"/>
          <w:sz w:val="24"/>
          <w:szCs w:val="24"/>
          <w:highlight w:val="none"/>
          <w:lang w:eastAsia="zh-CN"/>
        </w:rPr>
        <w:t>≤P</w:t>
      </w:r>
      <w:r>
        <w:rPr>
          <w:rFonts w:ascii="Times New Roman" w:hAnsi="Times New Roman" w:cs="Times New Roman"/>
          <w:color w:val="auto"/>
          <w:sz w:val="24"/>
          <w:szCs w:val="24"/>
          <w:highlight w:val="none"/>
          <w:vertAlign w:val="subscript"/>
          <w:lang w:eastAsia="zh-CN"/>
        </w:rPr>
        <w:t>max</w:t>
      </w:r>
      <w:r>
        <w:rPr>
          <w:rFonts w:ascii="Times New Roman" w:hAnsi="Times New Roman" w:cs="Times New Roman"/>
          <w:color w:val="auto"/>
          <w:sz w:val="24"/>
          <w:szCs w:val="24"/>
          <w:highlight w:val="none"/>
          <w:lang w:eastAsia="zh-CN"/>
        </w:rPr>
        <w:t>＜10%。因此确定本项目的大气环境评价等级为</w:t>
      </w:r>
      <w:r>
        <w:rPr>
          <w:rFonts w:hint="eastAsia" w:ascii="Times New Roman" w:hAnsi="Times New Roman" w:cs="Times New Roman"/>
          <w:color w:val="auto"/>
          <w:sz w:val="24"/>
          <w:szCs w:val="24"/>
          <w:highlight w:val="none"/>
          <w:lang w:eastAsia="zh-CN"/>
        </w:rPr>
        <w:t>二</w:t>
      </w:r>
      <w:r>
        <w:rPr>
          <w:rFonts w:ascii="Times New Roman" w:hAnsi="Times New Roman" w:cs="Times New Roman"/>
          <w:color w:val="auto"/>
          <w:sz w:val="24"/>
          <w:szCs w:val="24"/>
          <w:highlight w:val="none"/>
          <w:lang w:eastAsia="zh-CN"/>
        </w:rPr>
        <w:t>级。</w:t>
      </w:r>
    </w:p>
    <w:p w14:paraId="206E72A8">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hAnsi="宋体"/>
          <w:b/>
          <w:bCs/>
          <w:color w:val="auto"/>
          <w:sz w:val="24"/>
          <w:highlight w:val="none"/>
          <w:lang w:val="en-US" w:eastAsia="zh-CN"/>
        </w:rPr>
      </w:pPr>
      <w:r>
        <w:rPr>
          <w:rFonts w:hint="eastAsia" w:hAnsi="宋体"/>
          <w:b/>
          <w:bCs/>
          <w:color w:val="auto"/>
          <w:sz w:val="24"/>
          <w:highlight w:val="none"/>
          <w:lang w:val="en-US" w:eastAsia="zh-CN"/>
        </w:rPr>
        <w:t>1.2评价范围</w:t>
      </w:r>
    </w:p>
    <w:p w14:paraId="4883E68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outlineLvl w:val="9"/>
        <w:rPr>
          <w:rFonts w:hint="eastAsia" w:hAnsi="宋体"/>
          <w:bCs/>
          <w:color w:val="auto"/>
          <w:sz w:val="24"/>
          <w:highlight w:val="none"/>
          <w:lang w:eastAsia="zh-CN"/>
        </w:rPr>
      </w:pPr>
      <w:r>
        <w:rPr>
          <w:rFonts w:hint="eastAsia" w:hAnsi="宋体"/>
          <w:bCs/>
          <w:color w:val="auto"/>
          <w:sz w:val="24"/>
          <w:highlight w:val="none"/>
          <w:lang w:eastAsia="zh-CN"/>
        </w:rPr>
        <w:t>根据《环境影响评价技术导则—大气环境》（HJ2.2－2018）的有关要求，本项目大气环境影响评价等级为二级，环境空气评价范围为以本项目厂址为中心区域，边长5km的矩形区域。</w:t>
      </w:r>
    </w:p>
    <w:p w14:paraId="04360A8A">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ascii="Times New Roman" w:hAnsi="宋体" w:cs="Times New Roman"/>
          <w:b/>
          <w:bCs/>
          <w:color w:val="auto"/>
          <w:sz w:val="24"/>
          <w:highlight w:val="none"/>
          <w:lang w:val="en-US" w:eastAsia="zh-CN"/>
        </w:rPr>
      </w:pPr>
      <w:r>
        <w:rPr>
          <w:rFonts w:hint="eastAsia" w:ascii="Times New Roman" w:hAnsi="宋体" w:cs="Times New Roman"/>
          <w:b/>
          <w:bCs/>
          <w:color w:val="auto"/>
          <w:sz w:val="24"/>
          <w:highlight w:val="none"/>
          <w:lang w:val="en-US" w:eastAsia="zh-CN"/>
        </w:rPr>
        <w:t>1.3影响分析</w:t>
      </w:r>
    </w:p>
    <w:p w14:paraId="14B521F9">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0" w:firstLine="480" w:firstLineChars="200"/>
        <w:textAlignment w:val="auto"/>
        <w:outlineLvl w:val="9"/>
        <w:rPr>
          <w:rFonts w:hint="eastAsia"/>
          <w:color w:val="auto"/>
          <w:sz w:val="24"/>
          <w:szCs w:val="28"/>
          <w:highlight w:val="none"/>
          <w:lang w:val="en-US" w:eastAsia="zh-CN"/>
        </w:rPr>
      </w:pPr>
      <w:r>
        <w:rPr>
          <w:rFonts w:hint="eastAsia" w:cs="宋体"/>
          <w:color w:val="auto"/>
          <w:sz w:val="24"/>
          <w:szCs w:val="24"/>
          <w:highlight w:val="none"/>
        </w:rPr>
        <w:t>本项目营运期主要大气污染来自于污水处</w:t>
      </w:r>
      <w:r>
        <w:rPr>
          <w:rFonts w:hint="eastAsia" w:ascii="宋体" w:hAnsi="宋体" w:cs="宋体"/>
          <w:color w:val="auto"/>
          <w:sz w:val="24"/>
          <w:szCs w:val="24"/>
          <w:highlight w:val="none"/>
        </w:rPr>
        <w:t>理设施恶臭</w:t>
      </w:r>
      <w:r>
        <w:rPr>
          <w:rFonts w:hint="eastAsia" w:ascii="宋体" w:hAnsi="宋体" w:cs="宋体"/>
          <w:color w:val="auto"/>
          <w:sz w:val="24"/>
          <w:szCs w:val="24"/>
          <w:highlight w:val="none"/>
          <w:lang w:eastAsia="zh-CN"/>
        </w:rPr>
        <w:t>、</w:t>
      </w:r>
      <w:r>
        <w:rPr>
          <w:rFonts w:hint="eastAsia"/>
          <w:color w:val="auto"/>
          <w:sz w:val="24"/>
          <w:szCs w:val="28"/>
          <w:highlight w:val="none"/>
          <w:lang w:eastAsia="zh-CN"/>
        </w:rPr>
        <w:t>中药异味</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恶臭气体主要污染物为</w:t>
      </w:r>
      <w:r>
        <w:rPr>
          <w:rFonts w:hint="eastAsia" w:ascii="宋体" w:hAnsi="宋体" w:cs="宋体"/>
          <w:color w:val="auto"/>
          <w:sz w:val="24"/>
          <w:szCs w:val="24"/>
          <w:highlight w:val="none"/>
          <w:lang w:val="en-US" w:eastAsia="zh-CN"/>
        </w:rPr>
        <w:t>NH</w:t>
      </w:r>
      <w:r>
        <w:rPr>
          <w:rFonts w:hint="eastAsia" w:ascii="宋体" w:hAnsi="宋体" w:cs="宋体"/>
          <w:color w:val="auto"/>
          <w:sz w:val="24"/>
          <w:szCs w:val="24"/>
          <w:highlight w:val="none"/>
          <w:vertAlign w:val="subscript"/>
          <w:lang w:val="en-US" w:eastAsia="zh-CN"/>
        </w:rPr>
        <w:t>3</w:t>
      </w:r>
      <w:r>
        <w:rPr>
          <w:rFonts w:hint="eastAsia" w:ascii="宋体" w:hAnsi="宋体" w:cs="宋体"/>
          <w:color w:val="auto"/>
          <w:sz w:val="24"/>
          <w:szCs w:val="24"/>
          <w:highlight w:val="none"/>
          <w:lang w:val="en-US" w:eastAsia="zh-CN"/>
        </w:rPr>
        <w:t>、H</w:t>
      </w:r>
      <w:r>
        <w:rPr>
          <w:rFonts w:hint="eastAsia" w:ascii="宋体" w:hAnsi="宋体" w:cs="宋体"/>
          <w:color w:val="auto"/>
          <w:sz w:val="24"/>
          <w:szCs w:val="24"/>
          <w:highlight w:val="none"/>
          <w:vertAlign w:val="subscript"/>
          <w:lang w:val="en-US" w:eastAsia="zh-CN"/>
        </w:rPr>
        <w:t>2</w:t>
      </w:r>
      <w:r>
        <w:rPr>
          <w:rFonts w:hint="eastAsia" w:ascii="宋体" w:hAnsi="宋体" w:cs="宋体"/>
          <w:color w:val="auto"/>
          <w:sz w:val="24"/>
          <w:szCs w:val="24"/>
          <w:highlight w:val="none"/>
          <w:lang w:val="en-US" w:eastAsia="zh-CN"/>
        </w:rPr>
        <w:t>S</w:t>
      </w:r>
      <w:r>
        <w:rPr>
          <w:rFonts w:hint="eastAsia"/>
          <w:color w:val="auto"/>
          <w:sz w:val="24"/>
          <w:szCs w:val="28"/>
          <w:highlight w:val="none"/>
          <w:lang w:val="en-US" w:eastAsia="zh-CN"/>
        </w:rPr>
        <w:t>。</w:t>
      </w:r>
    </w:p>
    <w:p w14:paraId="56507D72">
      <w:pPr>
        <w:pStyle w:val="23"/>
        <w:ind w:left="0" w:leftChars="0" w:firstLine="480" w:firstLineChars="200"/>
        <w:rPr>
          <w:rFonts w:hint="eastAsia"/>
          <w:color w:val="auto"/>
          <w:highlight w:val="none"/>
          <w:lang w:val="en-US" w:eastAsia="zh-CN"/>
        </w:rPr>
      </w:pPr>
      <w:r>
        <w:rPr>
          <w:rFonts w:hint="eastAsia"/>
          <w:color w:val="auto"/>
          <w:sz w:val="24"/>
          <w:szCs w:val="28"/>
          <w:highlight w:val="none"/>
          <w:lang w:val="en-US" w:eastAsia="zh-CN"/>
        </w:rPr>
        <w:t>（1）无组织废气</w:t>
      </w:r>
    </w:p>
    <w:p w14:paraId="6225F14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s="宋体"/>
          <w:color w:val="auto"/>
          <w:sz w:val="24"/>
          <w:szCs w:val="24"/>
          <w:highlight w:val="none"/>
          <w:lang w:eastAsia="zh-CN"/>
        </w:rPr>
      </w:pPr>
      <w:r>
        <w:rPr>
          <w:rFonts w:hint="default" w:ascii="Times New Roman" w:hAnsi="Times New Roman" w:cs="Times New Roman"/>
          <w:color w:val="auto"/>
          <w:sz w:val="24"/>
          <w:szCs w:val="24"/>
          <w:highlight w:val="none"/>
          <w:lang w:eastAsia="zh-CN"/>
        </w:rPr>
        <w:t>①</w:t>
      </w:r>
      <w:r>
        <w:rPr>
          <w:rFonts w:hint="eastAsia"/>
          <w:color w:val="auto"/>
          <w:sz w:val="24"/>
          <w:highlight w:val="none"/>
          <w:lang w:eastAsia="zh-CN"/>
        </w:rPr>
        <w:t>恶臭气体</w:t>
      </w:r>
    </w:p>
    <w:p w14:paraId="42EF2C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FF0000"/>
          <w:sz w:val="24"/>
          <w:szCs w:val="24"/>
          <w:highlight w:val="none"/>
          <w:lang w:eastAsia="zh-CN"/>
        </w:rPr>
      </w:pPr>
      <w:r>
        <w:rPr>
          <w:rFonts w:hint="default" w:ascii="Times New Roman" w:hAnsi="Times New Roman" w:cs="Times New Roman"/>
          <w:color w:val="auto"/>
          <w:sz w:val="24"/>
          <w:szCs w:val="24"/>
          <w:highlight w:val="none"/>
          <w:lang w:eastAsia="zh-CN"/>
        </w:rPr>
        <w:t>本项目</w:t>
      </w:r>
      <w:r>
        <w:rPr>
          <w:rFonts w:hint="default" w:ascii="Times New Roman" w:hAnsi="Times New Roman" w:cs="Times New Roman"/>
          <w:color w:val="auto"/>
          <w:sz w:val="24"/>
          <w:szCs w:val="24"/>
          <w:highlight w:val="none"/>
        </w:rPr>
        <w:t>污水处理设施恶臭</w:t>
      </w:r>
      <w:r>
        <w:rPr>
          <w:rFonts w:hint="default" w:ascii="Times New Roman" w:hAnsi="Times New Roman" w:cs="Times New Roman"/>
          <w:color w:val="auto"/>
          <w:sz w:val="24"/>
          <w:szCs w:val="24"/>
          <w:highlight w:val="none"/>
          <w:lang w:eastAsia="zh-CN"/>
        </w:rPr>
        <w:t>气体为无组织废气，</w:t>
      </w:r>
      <w:r>
        <w:rPr>
          <w:rFonts w:hint="default" w:ascii="Times New Roman" w:hAnsi="Times New Roman" w:cs="Times New Roman"/>
          <w:color w:val="auto"/>
          <w:sz w:val="24"/>
          <w:szCs w:val="28"/>
          <w:highlight w:val="none"/>
          <w:lang w:eastAsia="zh-CN"/>
        </w:rPr>
        <w:t>根据工程分析，</w:t>
      </w:r>
      <w:r>
        <w:rPr>
          <w:rFonts w:hint="default" w:ascii="Times New Roman" w:hAnsi="Times New Roman" w:cs="Times New Roman"/>
          <w:i w:val="0"/>
          <w:caps w:val="0"/>
          <w:color w:val="auto"/>
          <w:spacing w:val="0"/>
          <w:sz w:val="24"/>
          <w:szCs w:val="24"/>
          <w:highlight w:val="none"/>
          <w:shd w:val="clear" w:fill="FFFFFF"/>
          <w:lang w:val="en-US" w:eastAsia="zh-CN"/>
        </w:rPr>
        <w:t>恶臭气体NH</w:t>
      </w:r>
      <w:r>
        <w:rPr>
          <w:rFonts w:hint="default" w:ascii="Times New Roman" w:hAnsi="Times New Roman" w:cs="Times New Roman"/>
          <w:i w:val="0"/>
          <w:caps w:val="0"/>
          <w:color w:val="auto"/>
          <w:spacing w:val="0"/>
          <w:sz w:val="24"/>
          <w:szCs w:val="24"/>
          <w:highlight w:val="none"/>
          <w:shd w:val="clear" w:fill="FFFFFF"/>
          <w:vertAlign w:val="subscript"/>
          <w:lang w:val="en-US" w:eastAsia="zh-CN"/>
        </w:rPr>
        <w:t>3</w:t>
      </w:r>
      <w:r>
        <w:rPr>
          <w:rFonts w:hint="default" w:ascii="Times New Roman" w:hAnsi="Times New Roman" w:cs="Times New Roman"/>
          <w:i w:val="0"/>
          <w:caps w:val="0"/>
          <w:color w:val="auto"/>
          <w:spacing w:val="0"/>
          <w:sz w:val="24"/>
          <w:szCs w:val="24"/>
          <w:highlight w:val="none"/>
          <w:shd w:val="clear" w:fill="FFFFFF"/>
          <w:lang w:val="en-US" w:eastAsia="zh-CN"/>
        </w:rPr>
        <w:t>和H</w:t>
      </w:r>
      <w:r>
        <w:rPr>
          <w:rFonts w:hint="default" w:ascii="Times New Roman" w:hAnsi="Times New Roman" w:cs="Times New Roman"/>
          <w:i w:val="0"/>
          <w:caps w:val="0"/>
          <w:color w:val="auto"/>
          <w:spacing w:val="0"/>
          <w:sz w:val="24"/>
          <w:szCs w:val="24"/>
          <w:highlight w:val="none"/>
          <w:shd w:val="clear" w:fill="FFFFFF"/>
          <w:vertAlign w:val="subscript"/>
          <w:lang w:val="en-US" w:eastAsia="zh-CN"/>
        </w:rPr>
        <w:t>2</w:t>
      </w:r>
      <w:r>
        <w:rPr>
          <w:rFonts w:hint="default" w:ascii="Times New Roman" w:hAnsi="Times New Roman" w:cs="Times New Roman"/>
          <w:i w:val="0"/>
          <w:caps w:val="0"/>
          <w:color w:val="auto"/>
          <w:spacing w:val="0"/>
          <w:sz w:val="24"/>
          <w:szCs w:val="24"/>
          <w:highlight w:val="none"/>
          <w:shd w:val="clear" w:fill="FFFFFF"/>
          <w:lang w:val="en-US" w:eastAsia="zh-CN"/>
        </w:rPr>
        <w:t>S排放量分别为9.38kg/a、0.33kg/a，</w:t>
      </w:r>
      <w:r>
        <w:rPr>
          <w:rFonts w:hint="default" w:ascii="Times New Roman" w:hAnsi="Times New Roman" w:cs="Times New Roman"/>
          <w:i w:val="0"/>
          <w:caps w:val="0"/>
          <w:color w:val="FF0000"/>
          <w:spacing w:val="0"/>
          <w:sz w:val="24"/>
          <w:szCs w:val="24"/>
          <w:highlight w:val="none"/>
          <w:shd w:val="clear" w:fill="FFFFFF"/>
          <w:lang w:val="en-US" w:eastAsia="zh-CN"/>
        </w:rPr>
        <w:t>本项目污水处理设施加盖封闭，</w:t>
      </w:r>
      <w:r>
        <w:rPr>
          <w:rFonts w:hint="eastAsia" w:cs="Times New Roman"/>
          <w:i w:val="0"/>
          <w:caps w:val="0"/>
          <w:color w:val="FF0000"/>
          <w:spacing w:val="0"/>
          <w:sz w:val="24"/>
          <w:szCs w:val="24"/>
          <w:highlight w:val="none"/>
          <w:shd w:val="clear" w:fill="FFFFFF"/>
          <w:lang w:val="en-US" w:eastAsia="zh-CN"/>
        </w:rPr>
        <w:t>投放除臭剂，</w:t>
      </w:r>
      <w:r>
        <w:rPr>
          <w:rFonts w:hint="default" w:ascii="Times New Roman" w:hAnsi="Times New Roman" w:cs="Times New Roman"/>
          <w:i w:val="0"/>
          <w:caps w:val="0"/>
          <w:color w:val="FF0000"/>
          <w:spacing w:val="0"/>
          <w:sz w:val="24"/>
          <w:szCs w:val="24"/>
          <w:highlight w:val="none"/>
          <w:shd w:val="clear" w:fill="FFFFFF"/>
          <w:lang w:val="en-US" w:eastAsia="zh-CN"/>
        </w:rPr>
        <w:t>同时</w:t>
      </w:r>
      <w:r>
        <w:rPr>
          <w:rFonts w:hint="default" w:ascii="Times New Roman" w:hAnsi="Times New Roman" w:cs="Times New Roman"/>
          <w:color w:val="FF0000"/>
          <w:sz w:val="24"/>
          <w:szCs w:val="24"/>
          <w:highlight w:val="none"/>
        </w:rPr>
        <w:t>在</w:t>
      </w:r>
      <w:r>
        <w:rPr>
          <w:rFonts w:hint="default" w:ascii="Times New Roman" w:hAnsi="Times New Roman" w:cs="Times New Roman"/>
          <w:color w:val="FF0000"/>
          <w:sz w:val="24"/>
          <w:szCs w:val="24"/>
          <w:highlight w:val="none"/>
          <w:lang w:eastAsia="zh-CN"/>
        </w:rPr>
        <w:t>污水站周边</w:t>
      </w:r>
      <w:r>
        <w:rPr>
          <w:rFonts w:hint="default" w:ascii="Times New Roman" w:hAnsi="Times New Roman" w:cs="Times New Roman"/>
          <w:color w:val="FF0000"/>
          <w:sz w:val="24"/>
          <w:szCs w:val="24"/>
          <w:highlight w:val="none"/>
        </w:rPr>
        <w:t>放置</w:t>
      </w:r>
      <w:r>
        <w:rPr>
          <w:rFonts w:hint="default" w:ascii="Times New Roman" w:hAnsi="Times New Roman" w:cs="Times New Roman"/>
          <w:color w:val="FF0000"/>
          <w:sz w:val="24"/>
          <w:szCs w:val="24"/>
          <w:highlight w:val="none"/>
          <w:lang w:eastAsia="zh-CN"/>
        </w:rPr>
        <w:t>吸附恶臭气体较强的</w:t>
      </w:r>
      <w:r>
        <w:rPr>
          <w:rFonts w:hint="default" w:ascii="Times New Roman" w:hAnsi="Times New Roman" w:cs="Times New Roman"/>
          <w:color w:val="FF0000"/>
          <w:sz w:val="24"/>
          <w:szCs w:val="24"/>
          <w:highlight w:val="none"/>
        </w:rPr>
        <w:t>盆栽植物进行绿化吸收</w:t>
      </w:r>
      <w:r>
        <w:rPr>
          <w:rFonts w:hint="default" w:ascii="Times New Roman" w:hAnsi="Times New Roman" w:cs="Times New Roman"/>
          <w:color w:val="FF0000"/>
          <w:sz w:val="24"/>
          <w:szCs w:val="24"/>
          <w:highlight w:val="none"/>
          <w:lang w:eastAsia="zh-CN"/>
        </w:rPr>
        <w:t>，</w:t>
      </w:r>
      <w:r>
        <w:rPr>
          <w:rFonts w:hint="eastAsia" w:cs="Times New Roman"/>
          <w:color w:val="FF0000"/>
          <w:sz w:val="24"/>
          <w:szCs w:val="24"/>
          <w:highlight w:val="none"/>
          <w:lang w:eastAsia="zh-CN"/>
        </w:rPr>
        <w:t>上述恶臭气体治理措施为《排污许可申请与核发技术规范</w:t>
      </w:r>
      <w:r>
        <w:rPr>
          <w:rFonts w:hint="eastAsia" w:cs="Times New Roman"/>
          <w:color w:val="FF0000"/>
          <w:sz w:val="24"/>
          <w:szCs w:val="24"/>
          <w:highlight w:val="none"/>
          <w:lang w:val="en-US" w:eastAsia="zh-CN"/>
        </w:rPr>
        <w:t xml:space="preserve"> 医疗机构</w:t>
      </w:r>
      <w:r>
        <w:rPr>
          <w:rFonts w:hint="eastAsia" w:cs="Times New Roman"/>
          <w:color w:val="FF0000"/>
          <w:sz w:val="24"/>
          <w:szCs w:val="24"/>
          <w:highlight w:val="none"/>
          <w:lang w:eastAsia="zh-CN"/>
        </w:rPr>
        <w:t>》（</w:t>
      </w:r>
      <w:r>
        <w:rPr>
          <w:rFonts w:hint="eastAsia" w:cs="Times New Roman"/>
          <w:color w:val="FF0000"/>
          <w:sz w:val="24"/>
          <w:szCs w:val="24"/>
          <w:highlight w:val="none"/>
          <w:lang w:val="en-US" w:eastAsia="zh-CN"/>
        </w:rPr>
        <w:t>HJ1105-2020</w:t>
      </w:r>
      <w:r>
        <w:rPr>
          <w:rFonts w:hint="eastAsia" w:cs="Times New Roman"/>
          <w:color w:val="FF0000"/>
          <w:sz w:val="24"/>
          <w:szCs w:val="24"/>
          <w:highlight w:val="none"/>
          <w:lang w:eastAsia="zh-CN"/>
        </w:rPr>
        <w:t>）中的废气治理可行性技术，</w:t>
      </w:r>
    </w:p>
    <w:p w14:paraId="5B9D4DEF">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default" w:ascii="Times New Roman" w:hAnsi="Times New Roman" w:cs="Times New Roman"/>
          <w:color w:val="auto"/>
          <w:sz w:val="24"/>
          <w:highlight w:val="none"/>
          <w:lang w:eastAsia="zh-CN"/>
        </w:rPr>
      </w:pPr>
      <w:r>
        <w:rPr>
          <w:rFonts w:hint="eastAsia" w:cs="Times New Roman"/>
          <w:i w:val="0"/>
          <w:caps w:val="0"/>
          <w:color w:val="auto"/>
          <w:spacing w:val="0"/>
          <w:sz w:val="24"/>
          <w:szCs w:val="24"/>
          <w:highlight w:val="none"/>
          <w:shd w:val="clear" w:fill="FFFFFF"/>
          <w:lang w:val="en-US" w:eastAsia="zh-CN"/>
        </w:rPr>
        <w:t>故</w:t>
      </w:r>
      <w:r>
        <w:rPr>
          <w:rFonts w:hint="default" w:ascii="Times New Roman" w:hAnsi="Times New Roman" w:cs="Times New Roman"/>
          <w:i w:val="0"/>
          <w:caps w:val="0"/>
          <w:color w:val="auto"/>
          <w:spacing w:val="0"/>
          <w:sz w:val="24"/>
          <w:szCs w:val="24"/>
          <w:highlight w:val="none"/>
          <w:shd w:val="clear" w:fill="FFFFFF"/>
          <w:lang w:val="en-US" w:eastAsia="zh-CN"/>
        </w:rPr>
        <w:t>采取上述措施后恶臭气体排放量较小，可以满足</w:t>
      </w:r>
      <w:r>
        <w:rPr>
          <w:rFonts w:hint="default" w:ascii="Times New Roman" w:hAnsi="Times New Roman" w:cs="Times New Roman"/>
          <w:color w:val="auto"/>
          <w:sz w:val="24"/>
          <w:highlight w:val="none"/>
        </w:rPr>
        <w:t>《医疗机构水污染物排放标准》（GB18466-2005）要求中“污水处理站周边大气污染物最高允许浓度”标准</w:t>
      </w:r>
      <w:r>
        <w:rPr>
          <w:rFonts w:hint="default" w:ascii="Times New Roman" w:hAnsi="Times New Roman" w:cs="Times New Roman"/>
          <w:color w:val="auto"/>
          <w:sz w:val="24"/>
          <w:highlight w:val="none"/>
          <w:lang w:eastAsia="zh-CN"/>
        </w:rPr>
        <w:t>。</w:t>
      </w:r>
    </w:p>
    <w:p w14:paraId="29BCCC90">
      <w:pPr>
        <w:pStyle w:val="2"/>
        <w:keepNext w:val="0"/>
        <w:keepLines w:val="0"/>
        <w:pageBreakBefore w:val="0"/>
        <w:widowControl w:val="0"/>
        <w:kinsoku/>
        <w:wordWrap/>
        <w:overflowPunct/>
        <w:topLinePunct w:val="0"/>
        <w:autoSpaceDE/>
        <w:autoSpaceDN/>
        <w:bidi w:val="0"/>
        <w:adjustRightInd w:val="0"/>
        <w:snapToGrid w:val="0"/>
        <w:spacing w:after="0" w:line="360" w:lineRule="auto"/>
        <w:textAlignment w:val="auto"/>
        <w:outlineLvl w:val="9"/>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②</w:t>
      </w:r>
      <w:r>
        <w:rPr>
          <w:rFonts w:hint="default" w:ascii="Times New Roman" w:hAnsi="Times New Roman" w:cs="Times New Roman"/>
          <w:color w:val="auto"/>
          <w:sz w:val="24"/>
          <w:szCs w:val="24"/>
          <w:highlight w:val="none"/>
          <w:lang w:eastAsia="zh-CN"/>
        </w:rPr>
        <w:t>中药异味</w:t>
      </w:r>
    </w:p>
    <w:p w14:paraId="369B929C">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中药煎药和熏蒸过程中，主要把中药材</w:t>
      </w:r>
      <w:r>
        <w:rPr>
          <w:rFonts w:hint="eastAsia" w:ascii="宋体" w:hAnsi="宋体" w:cs="宋体"/>
          <w:color w:val="auto"/>
          <w:kern w:val="2"/>
          <w:sz w:val="24"/>
          <w:szCs w:val="24"/>
          <w:highlight w:val="none"/>
          <w:lang w:val="en-US" w:eastAsia="zh-CN" w:bidi="ar-SA"/>
        </w:rPr>
        <w:t>送</w:t>
      </w:r>
      <w:r>
        <w:rPr>
          <w:rFonts w:hint="eastAsia" w:ascii="宋体" w:hAnsi="宋体" w:eastAsia="宋体" w:cs="宋体"/>
          <w:color w:val="auto"/>
          <w:kern w:val="2"/>
          <w:sz w:val="24"/>
          <w:szCs w:val="24"/>
          <w:highlight w:val="none"/>
          <w:lang w:val="en-US" w:eastAsia="zh-CN" w:bidi="ar-SA"/>
        </w:rPr>
        <w:t>入</w:t>
      </w:r>
      <w:r>
        <w:rPr>
          <w:rFonts w:hint="eastAsia" w:ascii="宋体" w:hAnsi="宋体" w:cs="宋体"/>
          <w:color w:val="auto"/>
          <w:kern w:val="2"/>
          <w:sz w:val="24"/>
          <w:szCs w:val="24"/>
          <w:highlight w:val="none"/>
          <w:lang w:val="en-US" w:eastAsia="zh-CN" w:bidi="ar-SA"/>
        </w:rPr>
        <w:t>煎药机</w:t>
      </w:r>
      <w:r>
        <w:rPr>
          <w:rFonts w:hint="eastAsia" w:ascii="宋体" w:hAnsi="宋体" w:eastAsia="宋体" w:cs="宋体"/>
          <w:color w:val="auto"/>
          <w:kern w:val="2"/>
          <w:sz w:val="24"/>
          <w:szCs w:val="24"/>
          <w:highlight w:val="none"/>
          <w:lang w:val="en-US" w:eastAsia="zh-CN" w:bidi="ar-SA"/>
        </w:rPr>
        <w:t>进行熬制。本项目操作间为煎药室和熏蒸室，在工作过程中会产生淡淡的中药特殊异味。中药材源于自然、取之于自然，在进入终端使用前一般进行简单的洗、切等物理加工过程，不添加化学物质。中药异味从本质上来说是天然药材本体的潜味，有民间调查者曾做过调查，每100人中对中药异味表示不适的人占比约不到8%，说明在适当时间内大多数人是接受的，无毒副作用。</w:t>
      </w:r>
    </w:p>
    <w:p w14:paraId="2F3A74ED">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拟建项目共设煎药室1间、熏蒸室</w:t>
      </w:r>
      <w:r>
        <w:rPr>
          <w:rFonts w:hint="eastAsia" w:ascii="宋体" w:hAnsi="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eastAsia="zh-CN" w:bidi="ar-SA"/>
        </w:rPr>
        <w:t>间，煎、熏皆在室内进行。其中，熏蒸采用的是中药汽疗，主要利用散入蒸汽中的中药成分（包括气味）利用中医中药与现代高科技熏蒸器的完美结合，借热力和药力的双向作用，实现“皮肤吃药”的物理疗法，熏蒸过程产生的异味较为淡薄，只需适当进行通风即可消除影响。</w:t>
      </w:r>
    </w:p>
    <w:p w14:paraId="572BA4AA">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煎药机自身为集成电路控制，中药煎煮为全封闭过程，到达设定时间后自动停止加热。药液煎好后打开煎药机的排气安全阀，适当减压后打开排药液阀门，药液排入包装机药罐内。项目采用的中药均为植物草药，不添加雄黄、朱砂等含重金属的成分，在煎药、包装过程中无有毒有害气体产生，仅产生少量中药气味及水蒸汽。中药熬煎过程中产生的异味较少，</w:t>
      </w:r>
      <w:r>
        <w:rPr>
          <w:rFonts w:hint="eastAsia" w:ascii="宋体" w:hAnsi="宋体" w:cs="宋体"/>
          <w:color w:val="auto"/>
          <w:kern w:val="2"/>
          <w:sz w:val="24"/>
          <w:szCs w:val="24"/>
          <w:highlight w:val="none"/>
          <w:lang w:val="en-US" w:eastAsia="zh-CN" w:bidi="ar-SA"/>
        </w:rPr>
        <w:t>经排风扇</w:t>
      </w:r>
      <w:r>
        <w:rPr>
          <w:rFonts w:hint="eastAsia" w:ascii="宋体" w:hAnsi="宋体" w:eastAsia="宋体" w:cs="宋体"/>
          <w:color w:val="auto"/>
          <w:kern w:val="2"/>
          <w:sz w:val="24"/>
          <w:szCs w:val="24"/>
          <w:highlight w:val="none"/>
          <w:lang w:val="en-US" w:eastAsia="zh-CN" w:bidi="ar-SA"/>
        </w:rPr>
        <w:t>排至室外经空气稀释后对本项目自身及周围环境保护目标影响较小。</w:t>
      </w:r>
    </w:p>
    <w:p w14:paraId="41EDCF97">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采取上述措施后，院</w:t>
      </w:r>
      <w:r>
        <w:rPr>
          <w:rFonts w:hint="eastAsia" w:ascii="宋体" w:hAnsi="宋体" w:eastAsia="宋体" w:cs="宋体"/>
          <w:color w:val="auto"/>
          <w:kern w:val="2"/>
          <w:sz w:val="24"/>
          <w:szCs w:val="24"/>
          <w:highlight w:val="none"/>
          <w:lang w:val="en-US" w:eastAsia="zh-CN" w:bidi="ar-SA"/>
        </w:rPr>
        <w:t>界臭气浓度</w:t>
      </w:r>
      <w:r>
        <w:rPr>
          <w:rFonts w:hint="eastAsia" w:ascii="宋体" w:hAnsi="宋体" w:cs="宋体"/>
          <w:color w:val="auto"/>
          <w:kern w:val="2"/>
          <w:sz w:val="24"/>
          <w:szCs w:val="24"/>
          <w:highlight w:val="none"/>
          <w:lang w:val="en-US" w:eastAsia="zh-CN" w:bidi="ar-SA"/>
        </w:rPr>
        <w:t>可以</w:t>
      </w:r>
      <w:r>
        <w:rPr>
          <w:rFonts w:hint="eastAsia" w:ascii="宋体" w:hAnsi="宋体" w:eastAsia="宋体" w:cs="宋体"/>
          <w:color w:val="auto"/>
          <w:kern w:val="2"/>
          <w:sz w:val="24"/>
          <w:szCs w:val="24"/>
          <w:highlight w:val="none"/>
          <w:lang w:val="en-US" w:eastAsia="zh-CN" w:bidi="ar-SA"/>
        </w:rPr>
        <w:t>达到《恶臭污染物排放标准》（GB14554-93）厂界臭气浓度</w:t>
      </w:r>
      <w:r>
        <w:rPr>
          <w:rFonts w:hint="eastAsia" w:ascii="宋体" w:hAnsi="宋体" w:cs="宋体"/>
          <w:color w:val="auto"/>
          <w:kern w:val="2"/>
          <w:sz w:val="24"/>
          <w:szCs w:val="24"/>
          <w:highlight w:val="none"/>
          <w:lang w:val="en-US" w:eastAsia="zh-CN" w:bidi="ar-SA"/>
        </w:rPr>
        <w:t>标准值</w:t>
      </w:r>
      <w:r>
        <w:rPr>
          <w:rFonts w:hint="eastAsia" w:ascii="宋体" w:hAnsi="宋体" w:eastAsia="宋体" w:cs="宋体"/>
          <w:color w:val="auto"/>
          <w:kern w:val="2"/>
          <w:sz w:val="24"/>
          <w:szCs w:val="24"/>
          <w:highlight w:val="none"/>
          <w:lang w:val="en-US" w:eastAsia="zh-CN" w:bidi="ar-SA"/>
        </w:rPr>
        <w:t>。</w:t>
      </w:r>
    </w:p>
    <w:p w14:paraId="4A3645F6">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color w:val="auto"/>
          <w:kern w:val="2"/>
          <w:sz w:val="24"/>
          <w:szCs w:val="24"/>
          <w:highlight w:val="none"/>
          <w:lang w:val="zh-CN" w:eastAsia="zh-CN" w:bidi="ar-SA"/>
        </w:rPr>
      </w:pPr>
      <w:r>
        <w:rPr>
          <w:rFonts w:hint="eastAsia" w:cs="Times New Roman"/>
          <w:i w:val="0"/>
          <w:caps w:val="0"/>
          <w:color w:val="auto"/>
          <w:spacing w:val="0"/>
          <w:sz w:val="24"/>
          <w:szCs w:val="24"/>
          <w:highlight w:val="none"/>
          <w:shd w:val="clear" w:fill="FFFFFF"/>
          <w:lang w:val="en-US" w:eastAsia="zh-CN"/>
        </w:rPr>
        <w:t>（2）</w:t>
      </w:r>
      <w:r>
        <w:rPr>
          <w:rFonts w:hint="eastAsia" w:ascii="Times New Roman" w:hAnsi="Times New Roman" w:eastAsia="宋体" w:cs="Times New Roman"/>
          <w:color w:val="auto"/>
          <w:kern w:val="2"/>
          <w:sz w:val="24"/>
          <w:szCs w:val="24"/>
          <w:highlight w:val="none"/>
          <w:lang w:val="zh-CN" w:eastAsia="zh-CN" w:bidi="ar-SA"/>
        </w:rPr>
        <w:t>环境污染物浓度预测</w:t>
      </w:r>
    </w:p>
    <w:p w14:paraId="4CF18960">
      <w:pPr>
        <w:tabs>
          <w:tab w:val="left" w:pos="674"/>
          <w:tab w:val="left" w:pos="6300"/>
        </w:tabs>
        <w:adjustRightInd w:val="0"/>
        <w:snapToGrid w:val="0"/>
        <w:spacing w:line="360" w:lineRule="auto"/>
        <w:ind w:firstLine="480"/>
        <w:rPr>
          <w:rFonts w:hint="default" w:ascii="Times New Roman" w:hAnsi="Times New Roman" w:eastAsia="宋体" w:cs="Times New Roman"/>
          <w:color w:val="auto"/>
          <w:kern w:val="2"/>
          <w:sz w:val="24"/>
          <w:szCs w:val="22"/>
          <w:highlight w:val="none"/>
          <w:vertAlign w:val="baseline"/>
          <w:lang w:val="en-US" w:eastAsia="zh-CN" w:bidi="ar-SA"/>
        </w:rPr>
      </w:pPr>
      <w:r>
        <w:rPr>
          <w:rFonts w:hint="default" w:ascii="Times New Roman" w:hAnsi="Times New Roman" w:eastAsia="宋体" w:cs="Times New Roman"/>
          <w:color w:val="auto"/>
          <w:kern w:val="2"/>
          <w:sz w:val="24"/>
          <w:szCs w:val="22"/>
          <w:highlight w:val="none"/>
          <w:vertAlign w:val="baseline"/>
          <w:lang w:val="en-US" w:eastAsia="zh-CN" w:bidi="ar-SA"/>
        </w:rPr>
        <w:t>①估算模式和参数的选取</w:t>
      </w:r>
    </w:p>
    <w:p w14:paraId="3BDEAEAE">
      <w:pPr>
        <w:tabs>
          <w:tab w:val="left" w:pos="674"/>
          <w:tab w:val="left" w:pos="6300"/>
        </w:tabs>
        <w:adjustRightInd w:val="0"/>
        <w:snapToGrid w:val="0"/>
        <w:spacing w:line="360" w:lineRule="auto"/>
        <w:ind w:firstLine="480"/>
        <w:rPr>
          <w:rFonts w:hint="default" w:ascii="Times New Roman" w:hAnsi="Times New Roman" w:eastAsia="宋体" w:cs="Times New Roman"/>
          <w:color w:val="auto"/>
          <w:kern w:val="2"/>
          <w:sz w:val="24"/>
          <w:szCs w:val="22"/>
          <w:highlight w:val="none"/>
          <w:vertAlign w:val="baseline"/>
          <w:lang w:val="en-US" w:eastAsia="zh-CN" w:bidi="ar-SA"/>
        </w:rPr>
      </w:pPr>
      <w:r>
        <w:rPr>
          <w:rFonts w:hint="default" w:ascii="Times New Roman" w:hAnsi="Times New Roman" w:eastAsia="宋体" w:cs="Times New Roman"/>
          <w:color w:val="auto"/>
          <w:kern w:val="2"/>
          <w:sz w:val="24"/>
          <w:szCs w:val="22"/>
          <w:highlight w:val="none"/>
          <w:vertAlign w:val="baseline"/>
          <w:lang w:val="en-US" w:eastAsia="zh-CN" w:bidi="ar-SA"/>
        </w:rPr>
        <w:t>本项目大气估算模式和参数选取《环境影响评价技术导则 大气环境》（HJ2.2-20</w:t>
      </w:r>
      <w:r>
        <w:rPr>
          <w:rFonts w:hint="eastAsia" w:ascii="Times New Roman" w:hAnsi="Times New Roman" w:eastAsia="宋体" w:cs="Times New Roman"/>
          <w:color w:val="auto"/>
          <w:kern w:val="2"/>
          <w:sz w:val="24"/>
          <w:szCs w:val="22"/>
          <w:highlight w:val="none"/>
          <w:vertAlign w:val="baseline"/>
          <w:lang w:val="en-US" w:eastAsia="zh-CN" w:bidi="ar-SA"/>
        </w:rPr>
        <w:t>1</w:t>
      </w:r>
      <w:r>
        <w:rPr>
          <w:rFonts w:hint="default" w:ascii="Times New Roman" w:hAnsi="Times New Roman" w:eastAsia="宋体" w:cs="Times New Roman"/>
          <w:color w:val="auto"/>
          <w:kern w:val="2"/>
          <w:sz w:val="24"/>
          <w:szCs w:val="22"/>
          <w:highlight w:val="none"/>
          <w:vertAlign w:val="baseline"/>
          <w:lang w:val="en-US" w:eastAsia="zh-CN" w:bidi="ar-SA"/>
        </w:rPr>
        <w:t>8）中推荐的估算</w:t>
      </w:r>
      <w:r>
        <w:rPr>
          <w:rFonts w:hint="eastAsia" w:ascii="Times New Roman" w:hAnsi="Times New Roman" w:eastAsia="宋体" w:cs="Times New Roman"/>
          <w:color w:val="auto"/>
          <w:kern w:val="2"/>
          <w:sz w:val="24"/>
          <w:szCs w:val="22"/>
          <w:highlight w:val="none"/>
          <w:vertAlign w:val="baseline"/>
          <w:lang w:val="en-US" w:eastAsia="zh-CN" w:bidi="ar-SA"/>
        </w:rPr>
        <w:t>模型AER</w:t>
      </w:r>
      <w:r>
        <w:rPr>
          <w:rFonts w:hint="default" w:ascii="Times New Roman" w:hAnsi="Times New Roman" w:eastAsia="宋体" w:cs="Times New Roman"/>
          <w:color w:val="auto"/>
          <w:kern w:val="2"/>
          <w:sz w:val="24"/>
          <w:szCs w:val="22"/>
          <w:highlight w:val="none"/>
          <w:vertAlign w:val="baseline"/>
          <w:lang w:val="en-US" w:eastAsia="zh-CN" w:bidi="ar-SA"/>
        </w:rPr>
        <w:t>SCREEN和相应的参数。估算模式通用参数见下表。</w:t>
      </w:r>
    </w:p>
    <w:p w14:paraId="6B748E7E">
      <w:pPr>
        <w:rPr>
          <w:rFonts w:ascii="Times New Roman" w:hAnsi="Times New Roman" w:cs="Times New Roman"/>
          <w:b/>
          <w:bCs/>
          <w:color w:val="auto"/>
          <w:sz w:val="21"/>
          <w:szCs w:val="21"/>
          <w:highlight w:val="none"/>
          <w:lang w:eastAsia="zh-CN"/>
        </w:rPr>
      </w:pPr>
      <w:r>
        <w:rPr>
          <w:rFonts w:ascii="Times New Roman" w:hAnsi="Times New Roman" w:cs="Times New Roman"/>
          <w:b/>
          <w:bCs/>
          <w:color w:val="auto"/>
          <w:sz w:val="21"/>
          <w:szCs w:val="21"/>
          <w:highlight w:val="none"/>
          <w:lang w:eastAsia="zh-CN"/>
        </w:rPr>
        <w:t>表</w:t>
      </w:r>
      <w:r>
        <w:rPr>
          <w:rFonts w:hint="eastAsia" w:cs="Times New Roman"/>
          <w:b/>
          <w:bCs/>
          <w:color w:val="auto"/>
          <w:sz w:val="21"/>
          <w:szCs w:val="21"/>
          <w:highlight w:val="none"/>
          <w:lang w:val="en-US" w:eastAsia="zh-CN"/>
        </w:rPr>
        <w:t>31</w:t>
      </w:r>
      <w:r>
        <w:rPr>
          <w:rFonts w:ascii="Times New Roman" w:hAnsi="Times New Roman" w:cs="Times New Roman"/>
          <w:b/>
          <w:bCs/>
          <w:color w:val="auto"/>
          <w:sz w:val="21"/>
          <w:szCs w:val="21"/>
          <w:highlight w:val="none"/>
          <w:lang w:eastAsia="zh-CN"/>
        </w:rPr>
        <w:t xml:space="preserve">                       </w:t>
      </w:r>
      <w:r>
        <w:rPr>
          <w:rFonts w:hint="eastAsia" w:cs="Times New Roman"/>
          <w:b/>
          <w:bCs/>
          <w:color w:val="auto"/>
          <w:sz w:val="21"/>
          <w:szCs w:val="21"/>
          <w:highlight w:val="none"/>
          <w:lang w:val="en-US" w:eastAsia="zh-CN"/>
        </w:rPr>
        <w:t xml:space="preserve">      </w:t>
      </w:r>
      <w:r>
        <w:rPr>
          <w:rFonts w:ascii="Times New Roman" w:hAnsi="Times New Roman" w:cs="Times New Roman"/>
          <w:b/>
          <w:bCs/>
          <w:color w:val="auto"/>
          <w:sz w:val="21"/>
          <w:szCs w:val="21"/>
          <w:highlight w:val="none"/>
          <w:lang w:eastAsia="zh-CN"/>
        </w:rPr>
        <w:t xml:space="preserve"> 估算模式通用参数</w:t>
      </w:r>
    </w:p>
    <w:tbl>
      <w:tblPr>
        <w:tblStyle w:val="25"/>
        <w:tblW w:w="92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63"/>
        <w:gridCol w:w="4428"/>
        <w:gridCol w:w="3095"/>
      </w:tblGrid>
      <w:tr w14:paraId="631F02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191" w:type="dxa"/>
            <w:gridSpan w:val="2"/>
            <w:tcBorders>
              <w:tl2br w:val="nil"/>
              <w:tr2bl w:val="nil"/>
            </w:tcBorders>
            <w:noWrap w:val="0"/>
            <w:vAlign w:val="center"/>
          </w:tcPr>
          <w:p w14:paraId="6D8CB02B">
            <w:pPr>
              <w:pStyle w:val="31"/>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参数</w:t>
            </w:r>
          </w:p>
        </w:tc>
        <w:tc>
          <w:tcPr>
            <w:tcW w:w="3095" w:type="dxa"/>
            <w:tcBorders>
              <w:tl2br w:val="nil"/>
              <w:tr2bl w:val="nil"/>
            </w:tcBorders>
            <w:noWrap w:val="0"/>
            <w:vAlign w:val="center"/>
          </w:tcPr>
          <w:p w14:paraId="5F55A98B">
            <w:pPr>
              <w:pStyle w:val="31"/>
              <w:jc w:val="center"/>
              <w:rPr>
                <w:rFonts w:hint="default"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vertAlign w:val="baseline"/>
                <w:lang w:eastAsia="zh-CN"/>
              </w:rPr>
              <w:t>取值</w:t>
            </w:r>
          </w:p>
        </w:tc>
      </w:tr>
      <w:tr w14:paraId="0E0CF8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63" w:type="dxa"/>
            <w:vMerge w:val="restart"/>
            <w:tcBorders>
              <w:tl2br w:val="nil"/>
              <w:tr2bl w:val="nil"/>
            </w:tcBorders>
            <w:noWrap w:val="0"/>
            <w:vAlign w:val="center"/>
          </w:tcPr>
          <w:p w14:paraId="44D9C4A1">
            <w:pPr>
              <w:pStyle w:val="31"/>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eastAsia="zh-CN"/>
              </w:rPr>
              <w:t>城市</w:t>
            </w:r>
            <w:r>
              <w:rPr>
                <w:rFonts w:hint="default" w:ascii="Times New Roman" w:hAnsi="Times New Roman" w:eastAsia="宋体" w:cs="Times New Roman"/>
                <w:color w:val="auto"/>
                <w:sz w:val="21"/>
                <w:szCs w:val="21"/>
                <w:highlight w:val="none"/>
                <w:vertAlign w:val="baseline"/>
                <w:lang w:val="en-US" w:eastAsia="zh-CN"/>
              </w:rPr>
              <w:t>/农村选项</w:t>
            </w:r>
          </w:p>
        </w:tc>
        <w:tc>
          <w:tcPr>
            <w:tcW w:w="4428" w:type="dxa"/>
            <w:tcBorders>
              <w:tl2br w:val="nil"/>
              <w:tr2bl w:val="nil"/>
            </w:tcBorders>
            <w:noWrap w:val="0"/>
            <w:vAlign w:val="center"/>
          </w:tcPr>
          <w:p w14:paraId="5E82F1A4">
            <w:pPr>
              <w:pStyle w:val="31"/>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城市</w:t>
            </w:r>
            <w:r>
              <w:rPr>
                <w:rFonts w:hint="default" w:ascii="Times New Roman" w:hAnsi="Times New Roman" w:eastAsia="宋体" w:cs="Times New Roman"/>
                <w:color w:val="auto"/>
                <w:sz w:val="21"/>
                <w:szCs w:val="21"/>
                <w:highlight w:val="none"/>
                <w:vertAlign w:val="baseline"/>
                <w:lang w:val="en-US" w:eastAsia="zh-CN"/>
              </w:rPr>
              <w:t>/农村</w:t>
            </w:r>
          </w:p>
        </w:tc>
        <w:tc>
          <w:tcPr>
            <w:tcW w:w="3095" w:type="dxa"/>
            <w:tcBorders>
              <w:tl2br w:val="nil"/>
              <w:tr2bl w:val="nil"/>
            </w:tcBorders>
            <w:noWrap w:val="0"/>
            <w:vAlign w:val="center"/>
          </w:tcPr>
          <w:p w14:paraId="24990134">
            <w:pPr>
              <w:pStyle w:val="31"/>
              <w:jc w:val="center"/>
              <w:rPr>
                <w:rFonts w:hint="default"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vertAlign w:val="baseline"/>
                <w:lang w:eastAsia="zh-CN"/>
              </w:rPr>
              <w:t>城市</w:t>
            </w:r>
          </w:p>
        </w:tc>
      </w:tr>
      <w:tr w14:paraId="1FEEBB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63" w:type="dxa"/>
            <w:vMerge w:val="continue"/>
            <w:tcBorders>
              <w:tl2br w:val="nil"/>
              <w:tr2bl w:val="nil"/>
            </w:tcBorders>
            <w:noWrap w:val="0"/>
            <w:vAlign w:val="center"/>
          </w:tcPr>
          <w:p w14:paraId="1732ECE3">
            <w:pPr>
              <w:pStyle w:val="31"/>
              <w:jc w:val="center"/>
              <w:rPr>
                <w:rFonts w:hint="default" w:ascii="Times New Roman" w:hAnsi="Times New Roman" w:eastAsia="宋体" w:cs="Times New Roman"/>
                <w:color w:val="auto"/>
                <w:sz w:val="21"/>
                <w:szCs w:val="21"/>
                <w:highlight w:val="none"/>
                <w:vertAlign w:val="baseline"/>
                <w:lang w:eastAsia="zh-CN"/>
              </w:rPr>
            </w:pPr>
          </w:p>
        </w:tc>
        <w:tc>
          <w:tcPr>
            <w:tcW w:w="4428" w:type="dxa"/>
            <w:tcBorders>
              <w:tl2br w:val="nil"/>
              <w:tr2bl w:val="nil"/>
            </w:tcBorders>
            <w:noWrap w:val="0"/>
            <w:vAlign w:val="center"/>
          </w:tcPr>
          <w:p w14:paraId="151CA173">
            <w:pPr>
              <w:pStyle w:val="31"/>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人口数（城市选项时）</w:t>
            </w:r>
          </w:p>
        </w:tc>
        <w:tc>
          <w:tcPr>
            <w:tcW w:w="3095" w:type="dxa"/>
            <w:tcBorders>
              <w:tl2br w:val="nil"/>
              <w:tr2bl w:val="nil"/>
            </w:tcBorders>
            <w:noWrap w:val="0"/>
            <w:vAlign w:val="center"/>
          </w:tcPr>
          <w:p w14:paraId="6F111F0F">
            <w:pPr>
              <w:pStyle w:val="31"/>
              <w:jc w:val="center"/>
              <w:rPr>
                <w:rFonts w:hint="eastAsia" w:ascii="Times New Roman" w:hAnsi="Times New Roman" w:eastAsia="宋体" w:cs="Times New Roman"/>
                <w:color w:val="auto"/>
                <w:sz w:val="21"/>
                <w:szCs w:val="21"/>
                <w:highlight w:val="none"/>
                <w:vertAlign w:val="baseline"/>
                <w:lang w:val="en-US" w:eastAsia="zh-CN"/>
              </w:rPr>
            </w:pPr>
            <w:r>
              <w:rPr>
                <w:rFonts w:hint="eastAsia" w:eastAsia="宋体" w:cs="Times New Roman"/>
                <w:color w:val="auto"/>
                <w:sz w:val="21"/>
                <w:szCs w:val="21"/>
                <w:highlight w:val="none"/>
                <w:vertAlign w:val="baseline"/>
                <w:lang w:val="en-US" w:eastAsia="zh-CN"/>
              </w:rPr>
              <w:t>18</w:t>
            </w:r>
            <w:r>
              <w:rPr>
                <w:rFonts w:hint="eastAsia" w:ascii="Times New Roman" w:hAnsi="Times New Roman" w:eastAsia="宋体" w:cs="Times New Roman"/>
                <w:color w:val="auto"/>
                <w:sz w:val="21"/>
                <w:szCs w:val="21"/>
                <w:highlight w:val="none"/>
                <w:vertAlign w:val="baseline"/>
                <w:lang w:val="en-US" w:eastAsia="zh-CN"/>
              </w:rPr>
              <w:t>万</w:t>
            </w:r>
          </w:p>
        </w:tc>
      </w:tr>
      <w:tr w14:paraId="7D3878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191" w:type="dxa"/>
            <w:gridSpan w:val="2"/>
            <w:tcBorders>
              <w:tl2br w:val="nil"/>
              <w:tr2bl w:val="nil"/>
            </w:tcBorders>
            <w:noWrap w:val="0"/>
            <w:vAlign w:val="center"/>
          </w:tcPr>
          <w:p w14:paraId="6DDE179E">
            <w:pPr>
              <w:pStyle w:val="31"/>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eastAsia="zh-CN"/>
              </w:rPr>
              <w:t>最高环境温度</w:t>
            </w:r>
            <w:r>
              <w:rPr>
                <w:rFonts w:hint="default" w:ascii="Times New Roman" w:hAnsi="Times New Roman" w:eastAsia="宋体" w:cs="Times New Roman"/>
                <w:color w:val="auto"/>
                <w:sz w:val="21"/>
                <w:szCs w:val="21"/>
                <w:highlight w:val="none"/>
                <w:vertAlign w:val="baseline"/>
                <w:lang w:val="en-US" w:eastAsia="zh-CN"/>
              </w:rPr>
              <w:t>/℃</w:t>
            </w:r>
          </w:p>
        </w:tc>
        <w:tc>
          <w:tcPr>
            <w:tcW w:w="3095" w:type="dxa"/>
            <w:tcBorders>
              <w:tl2br w:val="nil"/>
              <w:tr2bl w:val="nil"/>
            </w:tcBorders>
            <w:noWrap w:val="0"/>
            <w:vAlign w:val="center"/>
          </w:tcPr>
          <w:p w14:paraId="4BB11EFC">
            <w:pPr>
              <w:pStyle w:val="31"/>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37.3</w:t>
            </w:r>
          </w:p>
        </w:tc>
      </w:tr>
      <w:tr w14:paraId="468676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191" w:type="dxa"/>
            <w:gridSpan w:val="2"/>
            <w:tcBorders>
              <w:tl2br w:val="nil"/>
              <w:tr2bl w:val="nil"/>
            </w:tcBorders>
            <w:noWrap w:val="0"/>
            <w:vAlign w:val="center"/>
          </w:tcPr>
          <w:p w14:paraId="4C466CF3">
            <w:pPr>
              <w:pStyle w:val="31"/>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最低环境温度</w:t>
            </w:r>
            <w:r>
              <w:rPr>
                <w:rFonts w:hint="default" w:ascii="Times New Roman" w:hAnsi="Times New Roman" w:eastAsia="宋体" w:cs="Times New Roman"/>
                <w:color w:val="auto"/>
                <w:sz w:val="21"/>
                <w:szCs w:val="21"/>
                <w:highlight w:val="none"/>
                <w:vertAlign w:val="baseline"/>
                <w:lang w:val="en-US" w:eastAsia="zh-CN"/>
              </w:rPr>
              <w:t>/℃</w:t>
            </w:r>
          </w:p>
        </w:tc>
        <w:tc>
          <w:tcPr>
            <w:tcW w:w="3095" w:type="dxa"/>
            <w:tcBorders>
              <w:tl2br w:val="nil"/>
              <w:tr2bl w:val="nil"/>
            </w:tcBorders>
            <w:noWrap w:val="0"/>
            <w:vAlign w:val="center"/>
          </w:tcPr>
          <w:p w14:paraId="0E32BA61">
            <w:pPr>
              <w:pStyle w:val="31"/>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-32</w:t>
            </w:r>
          </w:p>
        </w:tc>
      </w:tr>
      <w:tr w14:paraId="335842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191" w:type="dxa"/>
            <w:gridSpan w:val="2"/>
            <w:tcBorders>
              <w:tl2br w:val="nil"/>
              <w:tr2bl w:val="nil"/>
            </w:tcBorders>
            <w:noWrap w:val="0"/>
            <w:vAlign w:val="center"/>
          </w:tcPr>
          <w:p w14:paraId="35806ABE">
            <w:pPr>
              <w:pStyle w:val="31"/>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土地利用类型</w:t>
            </w:r>
          </w:p>
        </w:tc>
        <w:tc>
          <w:tcPr>
            <w:tcW w:w="3095" w:type="dxa"/>
            <w:tcBorders>
              <w:tl2br w:val="nil"/>
              <w:tr2bl w:val="nil"/>
            </w:tcBorders>
            <w:noWrap w:val="0"/>
            <w:vAlign w:val="center"/>
          </w:tcPr>
          <w:p w14:paraId="3F0C133E">
            <w:pPr>
              <w:pStyle w:val="31"/>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城市</w:t>
            </w:r>
          </w:p>
        </w:tc>
      </w:tr>
      <w:tr w14:paraId="565EFD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191" w:type="dxa"/>
            <w:gridSpan w:val="2"/>
            <w:tcBorders>
              <w:tl2br w:val="nil"/>
              <w:tr2bl w:val="nil"/>
            </w:tcBorders>
            <w:noWrap w:val="0"/>
            <w:vAlign w:val="center"/>
          </w:tcPr>
          <w:p w14:paraId="4372BB6B">
            <w:pPr>
              <w:pStyle w:val="31"/>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区域湿度条件</w:t>
            </w:r>
          </w:p>
        </w:tc>
        <w:tc>
          <w:tcPr>
            <w:tcW w:w="3095" w:type="dxa"/>
            <w:tcBorders>
              <w:tl2br w:val="nil"/>
              <w:tr2bl w:val="nil"/>
            </w:tcBorders>
            <w:noWrap w:val="0"/>
            <w:vAlign w:val="center"/>
          </w:tcPr>
          <w:p w14:paraId="20A51A8E">
            <w:pPr>
              <w:pStyle w:val="31"/>
              <w:jc w:val="center"/>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潮湿</w:t>
            </w:r>
          </w:p>
        </w:tc>
      </w:tr>
      <w:tr w14:paraId="0F1E6B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63" w:type="dxa"/>
            <w:vMerge w:val="restart"/>
            <w:tcBorders>
              <w:tl2br w:val="nil"/>
              <w:tr2bl w:val="nil"/>
            </w:tcBorders>
            <w:noWrap w:val="0"/>
            <w:vAlign w:val="center"/>
          </w:tcPr>
          <w:p w14:paraId="4352F94B">
            <w:pPr>
              <w:pStyle w:val="31"/>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是否考虑地形</w:t>
            </w:r>
          </w:p>
        </w:tc>
        <w:tc>
          <w:tcPr>
            <w:tcW w:w="4428" w:type="dxa"/>
            <w:tcBorders>
              <w:tl2br w:val="nil"/>
              <w:tr2bl w:val="nil"/>
            </w:tcBorders>
            <w:noWrap w:val="0"/>
            <w:vAlign w:val="center"/>
          </w:tcPr>
          <w:p w14:paraId="6EB80C09">
            <w:pPr>
              <w:pStyle w:val="31"/>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考虑地形</w:t>
            </w:r>
          </w:p>
        </w:tc>
        <w:tc>
          <w:tcPr>
            <w:tcW w:w="3095" w:type="dxa"/>
            <w:tcBorders>
              <w:tl2br w:val="nil"/>
              <w:tr2bl w:val="nil"/>
            </w:tcBorders>
            <w:noWrap w:val="0"/>
            <w:vAlign w:val="center"/>
          </w:tcPr>
          <w:p w14:paraId="721D5917">
            <w:pPr>
              <w:pStyle w:val="31"/>
              <w:jc w:val="center"/>
              <w:rPr>
                <w:rFonts w:hint="default" w:ascii="Times New Roman" w:hAnsi="Times New Roman" w:eastAsia="宋体" w:cs="Times New Roman"/>
                <w:color w:val="auto"/>
                <w:sz w:val="21"/>
                <w:szCs w:val="21"/>
                <w:highlight w:val="none"/>
                <w:vertAlign w:val="baseline"/>
                <w:lang w:eastAsia="zh-CN"/>
              </w:rPr>
            </w:pPr>
            <w:r>
              <w:rPr>
                <w:color w:val="auto"/>
                <w:sz w:val="21"/>
                <w:highlight w:val="none"/>
              </w:rPr>
              <mc:AlternateContent>
                <mc:Choice Requires="wps">
                  <w:drawing>
                    <wp:anchor distT="0" distB="0" distL="114300" distR="114300" simplePos="0" relativeHeight="251718656" behindDoc="0" locked="0" layoutInCell="1" allowOverlap="1">
                      <wp:simplePos x="0" y="0"/>
                      <wp:positionH relativeFrom="column">
                        <wp:posOffset>434340</wp:posOffset>
                      </wp:positionH>
                      <wp:positionV relativeFrom="paragraph">
                        <wp:posOffset>11430</wp:posOffset>
                      </wp:positionV>
                      <wp:extent cx="95250" cy="170815"/>
                      <wp:effectExtent l="4445" t="4445" r="14605" b="15240"/>
                      <wp:wrapNone/>
                      <wp:docPr id="118" name="矩形 118"/>
                      <wp:cNvGraphicFramePr/>
                      <a:graphic xmlns:a="http://schemas.openxmlformats.org/drawingml/2006/main">
                        <a:graphicData uri="http://schemas.microsoft.com/office/word/2010/wordprocessingShape">
                          <wps:wsp>
                            <wps:cNvSpPr/>
                            <wps:spPr>
                              <a:xfrm>
                                <a:off x="0" y="0"/>
                                <a:ext cx="95250" cy="170815"/>
                              </a:xfrm>
                              <a:prstGeom prst="rect">
                                <a:avLst/>
                              </a:prstGeom>
                              <a:solidFill>
                                <a:srgbClr val="FFFFFF"/>
                              </a:solidFill>
                              <a:ln w="6350" cap="flat" cmpd="sng">
                                <a:solidFill>
                                  <a:srgbClr val="000000"/>
                                </a:solidFill>
                                <a:prstDash val="solid"/>
                                <a:miter/>
                                <a:headEnd type="none" w="med" len="med"/>
                                <a:tailEnd type="triangle" w="med" len="med"/>
                              </a:ln>
                            </wps:spPr>
                            <wps:bodyPr upright="1"/>
                          </wps:wsp>
                        </a:graphicData>
                      </a:graphic>
                    </wp:anchor>
                  </w:drawing>
                </mc:Choice>
                <mc:Fallback>
                  <w:pict>
                    <v:rect id="_x0000_s1026" o:spid="_x0000_s1026" o:spt="1" style="position:absolute;left:0pt;margin-left:34.2pt;margin-top:0.9pt;height:13.45pt;width:7.5pt;z-index:251718656;mso-width-relative:page;mso-height-relative:page;" fillcolor="#FFFFFF" filled="t" stroked="t" coordsize="21600,21600" o:gfxdata="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P8PmR1QAAAAYBAAAPAAAAAAAAAAEAIAAAACIAAABkcnMvZG93bnJl&#10;di54bWxQSwECFAAUAAAACACHTuJARkiqBQACAAAkBAAADgAAAAAAAAABACAAAAAkAQAAZHJzL2Uy&#10;b0RvYy54bWxQSwUGAAAAAAYABgBZAQAAlgUAAAAA&#10;">
                      <v:fill on="t" focussize="0,0"/>
                      <v:stroke weight="0.5pt" color="#000000" joinstyle="miter" endarrow="block"/>
                      <v:imagedata o:title=""/>
                      <o:lock v:ext="edit" aspectratio="f"/>
                    </v:rect>
                  </w:pict>
                </mc:Fallback>
              </mc:AlternateContent>
            </w:r>
            <w:r>
              <w:rPr>
                <w:rFonts w:hint="default" w:ascii="Times New Roman" w:hAnsi="Times New Roman" w:eastAsia="宋体" w:cs="Times New Roman"/>
                <w:color w:val="auto"/>
                <w:sz w:val="21"/>
                <w:szCs w:val="21"/>
                <w:highlight w:val="none"/>
                <w:vertAlign w:val="baseline"/>
                <w:lang w:eastAsia="zh-CN"/>
              </w:rPr>
              <w:t>是</w:t>
            </w:r>
            <w:r>
              <w:rPr>
                <w:rFonts w:hint="default" w:ascii="Times New Roman" w:hAnsi="Times New Roman" w:eastAsia="宋体" w:cs="Times New Roman"/>
                <w:color w:val="auto"/>
                <w:sz w:val="21"/>
                <w:szCs w:val="21"/>
                <w:highlight w:val="none"/>
                <w:vertAlign w:val="baseline"/>
                <w:lang w:val="en-US" w:eastAsia="zh-CN"/>
              </w:rPr>
              <w:t xml:space="preserve">  </w:t>
            </w:r>
            <w:r>
              <w:rPr>
                <w:rFonts w:hint="eastAsia" w:ascii="Times New Roman" w:hAnsi="Times New Roman" w:eastAsia="宋体" w:cs="Times New Roman"/>
                <w:color w:val="auto"/>
                <w:sz w:val="21"/>
                <w:szCs w:val="21"/>
                <w:highlight w:val="none"/>
                <w:vertAlign w:val="baseline"/>
                <w:lang w:val="en-US" w:eastAsia="zh-CN"/>
              </w:rPr>
              <w:t xml:space="preserve">   </w:t>
            </w:r>
            <w:r>
              <w:rPr>
                <w:rFonts w:ascii="Times New Roman"/>
                <w:color w:val="auto"/>
                <w:sz w:val="24"/>
                <w:highlight w:val="none"/>
                <w:bdr w:val="single" w:color="auto" w:sz="4" w:space="0"/>
              </w:rPr>
              <w:t>√</w:t>
            </w:r>
            <w:r>
              <w:rPr>
                <w:rFonts w:hint="default" w:ascii="Times New Roman" w:hAnsi="Times New Roman" w:eastAsia="宋体" w:cs="Times New Roman"/>
                <w:color w:val="auto"/>
                <w:sz w:val="21"/>
                <w:szCs w:val="21"/>
                <w:highlight w:val="none"/>
                <w:vertAlign w:val="baseline"/>
                <w:lang w:eastAsia="zh-CN"/>
              </w:rPr>
              <w:t>否</w:t>
            </w:r>
          </w:p>
        </w:tc>
      </w:tr>
      <w:tr w14:paraId="1A167A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63" w:type="dxa"/>
            <w:vMerge w:val="continue"/>
            <w:tcBorders>
              <w:tl2br w:val="nil"/>
              <w:tr2bl w:val="nil"/>
            </w:tcBorders>
            <w:noWrap w:val="0"/>
            <w:vAlign w:val="center"/>
          </w:tcPr>
          <w:p w14:paraId="5F2F9224">
            <w:pPr>
              <w:pStyle w:val="31"/>
              <w:jc w:val="center"/>
              <w:rPr>
                <w:rFonts w:hint="default" w:ascii="Times New Roman" w:hAnsi="Times New Roman" w:eastAsia="宋体" w:cs="Times New Roman"/>
                <w:color w:val="auto"/>
                <w:sz w:val="21"/>
                <w:szCs w:val="21"/>
                <w:highlight w:val="none"/>
                <w:vertAlign w:val="baseline"/>
                <w:lang w:eastAsia="zh-CN"/>
              </w:rPr>
            </w:pPr>
          </w:p>
        </w:tc>
        <w:tc>
          <w:tcPr>
            <w:tcW w:w="4428" w:type="dxa"/>
            <w:tcBorders>
              <w:tl2br w:val="nil"/>
              <w:tr2bl w:val="nil"/>
            </w:tcBorders>
            <w:noWrap w:val="0"/>
            <w:vAlign w:val="center"/>
          </w:tcPr>
          <w:p w14:paraId="2B90F6BE">
            <w:pPr>
              <w:pStyle w:val="31"/>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eastAsia="zh-CN"/>
              </w:rPr>
              <w:t>地形数据分辨率</w:t>
            </w:r>
            <w:r>
              <w:rPr>
                <w:rFonts w:hint="default" w:ascii="Times New Roman" w:hAnsi="Times New Roman" w:eastAsia="宋体" w:cs="Times New Roman"/>
                <w:color w:val="auto"/>
                <w:sz w:val="21"/>
                <w:szCs w:val="21"/>
                <w:highlight w:val="none"/>
                <w:vertAlign w:val="baseline"/>
                <w:lang w:val="en-US" w:eastAsia="zh-CN"/>
              </w:rPr>
              <w:t>/m</w:t>
            </w:r>
          </w:p>
        </w:tc>
        <w:tc>
          <w:tcPr>
            <w:tcW w:w="3095" w:type="dxa"/>
            <w:tcBorders>
              <w:tl2br w:val="nil"/>
              <w:tr2bl w:val="nil"/>
            </w:tcBorders>
            <w:noWrap w:val="0"/>
            <w:vAlign w:val="center"/>
          </w:tcPr>
          <w:p w14:paraId="6FAAAD26">
            <w:pPr>
              <w:pStyle w:val="31"/>
              <w:jc w:val="center"/>
              <w:rPr>
                <w:rFonts w:hint="eastAsia" w:ascii="Times New Roman" w:hAnsi="Times New Roman" w:eastAsia="宋体" w:cs="Times New Roman"/>
                <w:color w:val="auto"/>
                <w:sz w:val="21"/>
                <w:szCs w:val="21"/>
                <w:highlight w:val="none"/>
                <w:vertAlign w:val="baseline"/>
                <w:lang w:val="en-US" w:eastAsia="zh-CN"/>
              </w:rPr>
            </w:pPr>
            <w:r>
              <w:rPr>
                <w:color w:val="auto"/>
                <w:highlight w:val="none"/>
                <w:lang w:val="en-US"/>
              </w:rPr>
              <w:t>/</w:t>
            </w:r>
          </w:p>
        </w:tc>
      </w:tr>
      <w:tr w14:paraId="514A29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63" w:type="dxa"/>
            <w:vMerge w:val="restart"/>
            <w:tcBorders>
              <w:tl2br w:val="nil"/>
              <w:tr2bl w:val="nil"/>
            </w:tcBorders>
            <w:noWrap w:val="0"/>
            <w:vAlign w:val="center"/>
          </w:tcPr>
          <w:p w14:paraId="1F72D741">
            <w:pPr>
              <w:pStyle w:val="31"/>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是否考虑岸线熏烟</w:t>
            </w:r>
          </w:p>
        </w:tc>
        <w:tc>
          <w:tcPr>
            <w:tcW w:w="4428" w:type="dxa"/>
            <w:tcBorders>
              <w:tl2br w:val="nil"/>
              <w:tr2bl w:val="nil"/>
            </w:tcBorders>
            <w:noWrap w:val="0"/>
            <w:vAlign w:val="center"/>
          </w:tcPr>
          <w:p w14:paraId="570EB0F1">
            <w:pPr>
              <w:pStyle w:val="31"/>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val="en-US" w:eastAsia="zh-CN"/>
              </w:rPr>
              <w:t>考虑岸线熏烟</w:t>
            </w:r>
          </w:p>
        </w:tc>
        <w:tc>
          <w:tcPr>
            <w:tcW w:w="3095" w:type="dxa"/>
            <w:tcBorders>
              <w:tl2br w:val="nil"/>
              <w:tr2bl w:val="nil"/>
            </w:tcBorders>
            <w:noWrap w:val="0"/>
            <w:vAlign w:val="center"/>
          </w:tcPr>
          <w:p w14:paraId="123A2169">
            <w:pPr>
              <w:pStyle w:val="31"/>
              <w:jc w:val="center"/>
              <w:rPr>
                <w:rFonts w:hint="default" w:ascii="Times New Roman" w:hAnsi="Times New Roman" w:eastAsia="宋体" w:cs="Times New Roman"/>
                <w:color w:val="auto"/>
                <w:sz w:val="21"/>
                <w:szCs w:val="21"/>
                <w:highlight w:val="none"/>
                <w:vertAlign w:val="baseline"/>
                <w:lang w:eastAsia="zh-CN"/>
              </w:rPr>
            </w:pPr>
            <w:r>
              <w:rPr>
                <w:color w:val="auto"/>
                <w:sz w:val="21"/>
                <w:highlight w:val="none"/>
              </w:rPr>
              <mc:AlternateContent>
                <mc:Choice Requires="wps">
                  <w:drawing>
                    <wp:anchor distT="0" distB="0" distL="114300" distR="114300" simplePos="0" relativeHeight="251717632" behindDoc="0" locked="0" layoutInCell="1" allowOverlap="1">
                      <wp:simplePos x="0" y="0"/>
                      <wp:positionH relativeFrom="column">
                        <wp:posOffset>441325</wp:posOffset>
                      </wp:positionH>
                      <wp:positionV relativeFrom="paragraph">
                        <wp:posOffset>13335</wp:posOffset>
                      </wp:positionV>
                      <wp:extent cx="95250" cy="170815"/>
                      <wp:effectExtent l="4445" t="4445" r="14605" b="15240"/>
                      <wp:wrapNone/>
                      <wp:docPr id="117" name="矩形 117"/>
                      <wp:cNvGraphicFramePr/>
                      <a:graphic xmlns:a="http://schemas.openxmlformats.org/drawingml/2006/main">
                        <a:graphicData uri="http://schemas.microsoft.com/office/word/2010/wordprocessingShape">
                          <wps:wsp>
                            <wps:cNvSpPr/>
                            <wps:spPr>
                              <a:xfrm>
                                <a:off x="0" y="0"/>
                                <a:ext cx="95250" cy="170815"/>
                              </a:xfrm>
                              <a:prstGeom prst="rect">
                                <a:avLst/>
                              </a:prstGeom>
                              <a:solidFill>
                                <a:srgbClr val="FFFFFF"/>
                              </a:solidFill>
                              <a:ln w="6350" cap="flat" cmpd="sng">
                                <a:solidFill>
                                  <a:srgbClr val="000000"/>
                                </a:solidFill>
                                <a:prstDash val="solid"/>
                                <a:miter/>
                                <a:headEnd type="none" w="med" len="med"/>
                                <a:tailEnd type="triangle" w="med" len="med"/>
                              </a:ln>
                            </wps:spPr>
                            <wps:bodyPr upright="1"/>
                          </wps:wsp>
                        </a:graphicData>
                      </a:graphic>
                    </wp:anchor>
                  </w:drawing>
                </mc:Choice>
                <mc:Fallback>
                  <w:pict>
                    <v:rect id="_x0000_s1026" o:spid="_x0000_s1026" o:spt="1" style="position:absolute;left:0pt;margin-left:34.75pt;margin-top:1.05pt;height:13.45pt;width:7.5pt;z-index:251717632;mso-width-relative:page;mso-height-relative:page;" fillcolor="#FFFFFF" filled="t" stroked="t" coordsize="21600,21600" o:gfxdata="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hc0U9UAAAAGAQAADwAAAAAAAAABACAAAAAiAAAAZHJzL2Rvd25y&#10;ZXYueG1sUEsBAhQAFAAAAAgAh07iQDNzF1sBAgAAJAQAAA4AAAAAAAAAAQAgAAAAJAEAAGRycy9l&#10;Mm9Eb2MueG1sUEsFBgAAAAAGAAYAWQEAAJcFAAAAAA==&#10;">
                      <v:fill on="t" focussize="0,0"/>
                      <v:stroke weight="0.5pt" color="#000000" joinstyle="miter" endarrow="block"/>
                      <v:imagedata o:title=""/>
                      <o:lock v:ext="edit" aspectratio="f"/>
                    </v:rect>
                  </w:pict>
                </mc:Fallback>
              </mc:AlternateContent>
            </w:r>
            <w:r>
              <w:rPr>
                <w:rFonts w:hint="default" w:ascii="Times New Roman" w:hAnsi="Times New Roman" w:eastAsia="宋体" w:cs="Times New Roman"/>
                <w:color w:val="auto"/>
                <w:sz w:val="21"/>
                <w:szCs w:val="21"/>
                <w:highlight w:val="none"/>
                <w:vertAlign w:val="baseline"/>
                <w:lang w:eastAsia="zh-CN"/>
              </w:rPr>
              <w:t>是</w:t>
            </w:r>
            <w:r>
              <w:rPr>
                <w:rFonts w:hint="default" w:ascii="Times New Roman" w:hAnsi="Times New Roman" w:eastAsia="宋体" w:cs="Times New Roman"/>
                <w:color w:val="auto"/>
                <w:sz w:val="21"/>
                <w:szCs w:val="21"/>
                <w:highlight w:val="none"/>
                <w:vertAlign w:val="baseline"/>
                <w:lang w:val="en-US" w:eastAsia="zh-CN"/>
              </w:rPr>
              <w:t xml:space="preserve">  </w:t>
            </w:r>
            <w:r>
              <w:rPr>
                <w:rFonts w:hint="eastAsia" w:ascii="Times New Roman" w:hAnsi="Times New Roman" w:eastAsia="宋体" w:cs="Times New Roman"/>
                <w:color w:val="auto"/>
                <w:sz w:val="21"/>
                <w:szCs w:val="21"/>
                <w:highlight w:val="none"/>
                <w:vertAlign w:val="baseline"/>
                <w:lang w:val="en-US" w:eastAsia="zh-CN"/>
              </w:rPr>
              <w:t xml:space="preserve">   </w:t>
            </w:r>
            <w:r>
              <w:rPr>
                <w:rFonts w:ascii="Times New Roman"/>
                <w:color w:val="auto"/>
                <w:sz w:val="24"/>
                <w:highlight w:val="none"/>
                <w:bdr w:val="single" w:color="auto" w:sz="4" w:space="0"/>
              </w:rPr>
              <w:t>√</w:t>
            </w:r>
            <w:r>
              <w:rPr>
                <w:rFonts w:hint="default" w:ascii="Times New Roman" w:hAnsi="Times New Roman" w:eastAsia="宋体" w:cs="Times New Roman"/>
                <w:color w:val="auto"/>
                <w:sz w:val="21"/>
                <w:szCs w:val="21"/>
                <w:highlight w:val="none"/>
                <w:vertAlign w:val="baseline"/>
                <w:lang w:eastAsia="zh-CN"/>
              </w:rPr>
              <w:t>否</w:t>
            </w:r>
          </w:p>
        </w:tc>
      </w:tr>
      <w:tr w14:paraId="00B676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63" w:type="dxa"/>
            <w:vMerge w:val="continue"/>
            <w:tcBorders>
              <w:tl2br w:val="nil"/>
              <w:tr2bl w:val="nil"/>
            </w:tcBorders>
            <w:noWrap w:val="0"/>
            <w:vAlign w:val="center"/>
          </w:tcPr>
          <w:p w14:paraId="081B5645">
            <w:pPr>
              <w:pStyle w:val="31"/>
              <w:jc w:val="center"/>
              <w:rPr>
                <w:rFonts w:hint="default" w:ascii="Times New Roman" w:hAnsi="Times New Roman" w:eastAsia="宋体" w:cs="Times New Roman"/>
                <w:color w:val="auto"/>
                <w:sz w:val="21"/>
                <w:szCs w:val="21"/>
                <w:highlight w:val="none"/>
                <w:vertAlign w:val="baseline"/>
                <w:lang w:eastAsia="zh-CN"/>
              </w:rPr>
            </w:pPr>
          </w:p>
        </w:tc>
        <w:tc>
          <w:tcPr>
            <w:tcW w:w="4428" w:type="dxa"/>
            <w:tcBorders>
              <w:tl2br w:val="nil"/>
              <w:tr2bl w:val="nil"/>
            </w:tcBorders>
            <w:noWrap w:val="0"/>
            <w:vAlign w:val="center"/>
          </w:tcPr>
          <w:p w14:paraId="062BBADF">
            <w:pPr>
              <w:pStyle w:val="31"/>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eastAsia="zh-CN"/>
              </w:rPr>
              <w:t>岸线距离</w:t>
            </w:r>
            <w:r>
              <w:rPr>
                <w:rFonts w:hint="default" w:ascii="Times New Roman" w:hAnsi="Times New Roman" w:eastAsia="宋体" w:cs="Times New Roman"/>
                <w:color w:val="auto"/>
                <w:sz w:val="21"/>
                <w:szCs w:val="21"/>
                <w:highlight w:val="none"/>
                <w:vertAlign w:val="baseline"/>
                <w:lang w:val="en-US" w:eastAsia="zh-CN"/>
              </w:rPr>
              <w:t>/km</w:t>
            </w:r>
          </w:p>
        </w:tc>
        <w:tc>
          <w:tcPr>
            <w:tcW w:w="3095" w:type="dxa"/>
            <w:tcBorders>
              <w:tl2br w:val="nil"/>
              <w:tr2bl w:val="nil"/>
            </w:tcBorders>
            <w:noWrap w:val="0"/>
            <w:vAlign w:val="center"/>
          </w:tcPr>
          <w:p w14:paraId="44C116CD">
            <w:pPr>
              <w:pStyle w:val="31"/>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w:t>
            </w:r>
          </w:p>
        </w:tc>
      </w:tr>
      <w:tr w14:paraId="496D46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63" w:type="dxa"/>
            <w:vMerge w:val="continue"/>
            <w:tcBorders>
              <w:tl2br w:val="nil"/>
              <w:tr2bl w:val="nil"/>
            </w:tcBorders>
            <w:noWrap w:val="0"/>
            <w:vAlign w:val="center"/>
          </w:tcPr>
          <w:p w14:paraId="423C653B">
            <w:pPr>
              <w:pStyle w:val="31"/>
              <w:jc w:val="center"/>
              <w:rPr>
                <w:rFonts w:hint="default" w:ascii="Times New Roman" w:hAnsi="Times New Roman" w:eastAsia="宋体" w:cs="Times New Roman"/>
                <w:color w:val="auto"/>
                <w:sz w:val="21"/>
                <w:szCs w:val="21"/>
                <w:highlight w:val="none"/>
                <w:vertAlign w:val="baseline"/>
                <w:lang w:eastAsia="zh-CN"/>
              </w:rPr>
            </w:pPr>
          </w:p>
        </w:tc>
        <w:tc>
          <w:tcPr>
            <w:tcW w:w="4428" w:type="dxa"/>
            <w:tcBorders>
              <w:tl2br w:val="nil"/>
              <w:tr2bl w:val="nil"/>
            </w:tcBorders>
            <w:noWrap w:val="0"/>
            <w:vAlign w:val="center"/>
          </w:tcPr>
          <w:p w14:paraId="30C32200">
            <w:pPr>
              <w:pStyle w:val="31"/>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岸线方向/</w:t>
            </w:r>
            <w:r>
              <w:rPr>
                <w:rFonts w:hint="default" w:ascii="Times New Roman" w:hAnsi="Times New Roman" w:eastAsia="宋体" w:cs="Times New Roman"/>
                <w:color w:val="auto"/>
                <w:sz w:val="21"/>
                <w:szCs w:val="21"/>
                <w:highlight w:val="none"/>
                <w:vertAlign w:val="superscript"/>
                <w:lang w:val="en-US" w:eastAsia="zh-CN"/>
              </w:rPr>
              <w:t>o</w:t>
            </w:r>
          </w:p>
        </w:tc>
        <w:tc>
          <w:tcPr>
            <w:tcW w:w="3095" w:type="dxa"/>
            <w:tcBorders>
              <w:tl2br w:val="nil"/>
              <w:tr2bl w:val="nil"/>
            </w:tcBorders>
            <w:noWrap w:val="0"/>
            <w:vAlign w:val="center"/>
          </w:tcPr>
          <w:p w14:paraId="2647D10E">
            <w:pPr>
              <w:pStyle w:val="31"/>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w:t>
            </w:r>
          </w:p>
        </w:tc>
      </w:tr>
    </w:tbl>
    <w:p w14:paraId="696399A5">
      <w:pPr>
        <w:rPr>
          <w:rFonts w:hint="eastAsia"/>
          <w:color w:val="auto"/>
          <w:highlight w:val="none"/>
          <w:lang w:eastAsia="zh-CN"/>
        </w:rPr>
      </w:pPr>
    </w:p>
    <w:p w14:paraId="19544DF7">
      <w:pPr>
        <w:adjustRightInd w:val="0"/>
        <w:snapToGrid w:val="0"/>
        <w:spacing w:line="360" w:lineRule="auto"/>
        <w:ind w:firstLine="480" w:firstLineChars="20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rPr>
        <w:t>②</w:t>
      </w:r>
      <w:r>
        <w:rPr>
          <w:rFonts w:hint="eastAsia" w:cs="Times New Roman"/>
          <w:color w:val="auto"/>
          <w:sz w:val="24"/>
          <w:szCs w:val="24"/>
          <w:highlight w:val="none"/>
          <w:lang w:eastAsia="zh-CN"/>
        </w:rPr>
        <w:t>结果分析</w:t>
      </w:r>
    </w:p>
    <w:p w14:paraId="5DB1FEA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auto"/>
          <w:kern w:val="2"/>
          <w:sz w:val="24"/>
          <w:szCs w:val="22"/>
          <w:highlight w:val="none"/>
          <w:vertAlign w:val="baseline"/>
          <w:lang w:val="en-US" w:eastAsia="zh-CN" w:bidi="ar-SA"/>
        </w:rPr>
      </w:pPr>
      <w:r>
        <w:rPr>
          <w:rFonts w:hint="default" w:ascii="Times New Roman" w:hAnsi="Times New Roman" w:eastAsia="宋体" w:cs="Times New Roman"/>
          <w:color w:val="auto"/>
          <w:kern w:val="2"/>
          <w:sz w:val="24"/>
          <w:szCs w:val="22"/>
          <w:highlight w:val="none"/>
          <w:vertAlign w:val="baseline"/>
          <w:lang w:val="en-US" w:eastAsia="zh-CN" w:bidi="ar-SA"/>
        </w:rPr>
        <w:t>项目建设投产后</w:t>
      </w:r>
      <w:r>
        <w:rPr>
          <w:rFonts w:hint="eastAsia" w:ascii="Times New Roman" w:hAnsi="Times New Roman" w:eastAsia="宋体" w:cs="Times New Roman"/>
          <w:color w:val="auto"/>
          <w:kern w:val="2"/>
          <w:sz w:val="24"/>
          <w:szCs w:val="22"/>
          <w:highlight w:val="none"/>
          <w:vertAlign w:val="baseline"/>
          <w:lang w:val="en-US" w:eastAsia="zh-CN" w:bidi="ar-SA"/>
        </w:rPr>
        <w:t>无组织</w:t>
      </w:r>
      <w:r>
        <w:rPr>
          <w:rFonts w:hint="default" w:ascii="Times New Roman" w:hAnsi="Times New Roman" w:eastAsia="宋体" w:cs="Times New Roman"/>
          <w:color w:val="auto"/>
          <w:kern w:val="2"/>
          <w:sz w:val="24"/>
          <w:szCs w:val="22"/>
          <w:highlight w:val="none"/>
          <w:vertAlign w:val="baseline"/>
          <w:lang w:val="en-US" w:eastAsia="zh-CN" w:bidi="ar-SA"/>
        </w:rPr>
        <w:t>大气污染物为</w:t>
      </w:r>
      <w:r>
        <w:rPr>
          <w:rFonts w:hint="eastAsia" w:ascii="Times New Roman" w:hAnsi="Times New Roman" w:eastAsia="宋体" w:cs="Times New Roman"/>
          <w:color w:val="auto"/>
          <w:kern w:val="2"/>
          <w:sz w:val="24"/>
          <w:szCs w:val="24"/>
          <w:highlight w:val="none"/>
          <w:lang w:val="en-US" w:eastAsia="zh-CN" w:bidi="ar-SA"/>
        </w:rPr>
        <w:t>污水处理站无组织排放恶臭气体</w:t>
      </w:r>
      <w:r>
        <w:rPr>
          <w:rFonts w:hint="default" w:ascii="Times New Roman" w:hAnsi="Times New Roman" w:eastAsia="宋体" w:cs="Times New Roman"/>
          <w:color w:val="auto"/>
          <w:kern w:val="2"/>
          <w:sz w:val="24"/>
          <w:szCs w:val="22"/>
          <w:highlight w:val="none"/>
          <w:vertAlign w:val="baseline"/>
          <w:lang w:val="en-US" w:eastAsia="zh-CN" w:bidi="ar-SA"/>
        </w:rPr>
        <w:t>。污染源排放情况见</w:t>
      </w:r>
      <w:r>
        <w:rPr>
          <w:rFonts w:hint="eastAsia" w:ascii="Times New Roman" w:hAnsi="Times New Roman" w:eastAsia="宋体" w:cs="Times New Roman"/>
          <w:color w:val="auto"/>
          <w:kern w:val="2"/>
          <w:sz w:val="24"/>
          <w:szCs w:val="22"/>
          <w:highlight w:val="none"/>
          <w:vertAlign w:val="baseline"/>
          <w:lang w:val="en-US" w:eastAsia="zh-CN" w:bidi="ar-SA"/>
        </w:rPr>
        <w:t>下表</w:t>
      </w:r>
      <w:r>
        <w:rPr>
          <w:rFonts w:hint="default" w:ascii="Times New Roman" w:hAnsi="Times New Roman" w:eastAsia="宋体" w:cs="Times New Roman"/>
          <w:color w:val="auto"/>
          <w:kern w:val="2"/>
          <w:sz w:val="24"/>
          <w:szCs w:val="22"/>
          <w:highlight w:val="none"/>
          <w:vertAlign w:val="baseline"/>
          <w:lang w:val="en-US" w:eastAsia="zh-CN" w:bidi="ar-SA"/>
        </w:rPr>
        <w:t>。</w:t>
      </w:r>
    </w:p>
    <w:p w14:paraId="339E2C4D">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kern w:val="2"/>
          <w:sz w:val="21"/>
          <w:szCs w:val="21"/>
          <w:highlight w:val="none"/>
          <w:vertAlign w:val="baseline"/>
          <w:lang w:val="en-US" w:eastAsia="zh-CN" w:bidi="ar-SA"/>
        </w:rPr>
        <w:t>表</w:t>
      </w:r>
      <w:r>
        <w:rPr>
          <w:rFonts w:hint="eastAsia" w:cs="Times New Roman"/>
          <w:b/>
          <w:bCs/>
          <w:color w:val="auto"/>
          <w:kern w:val="2"/>
          <w:sz w:val="21"/>
          <w:szCs w:val="21"/>
          <w:highlight w:val="none"/>
          <w:vertAlign w:val="baseline"/>
          <w:lang w:val="en-US" w:eastAsia="zh-CN" w:bidi="ar-SA"/>
        </w:rPr>
        <w:t>32</w:t>
      </w:r>
      <w:r>
        <w:rPr>
          <w:rFonts w:hint="eastAsia" w:ascii="Times New Roman" w:hAnsi="Times New Roman" w:eastAsia="宋体" w:cs="Times New Roman"/>
          <w:b/>
          <w:bCs/>
          <w:color w:val="auto"/>
          <w:kern w:val="2"/>
          <w:sz w:val="21"/>
          <w:szCs w:val="21"/>
          <w:highlight w:val="none"/>
          <w:vertAlign w:val="baseline"/>
          <w:lang w:val="en-US" w:eastAsia="zh-CN" w:bidi="ar-SA"/>
        </w:rPr>
        <w:t xml:space="preserve">                       大气污染物无组织排放量核算表</w:t>
      </w:r>
    </w:p>
    <w:tbl>
      <w:tblPr>
        <w:tblStyle w:val="25"/>
        <w:tblW w:w="92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187"/>
        <w:gridCol w:w="1013"/>
        <w:gridCol w:w="1512"/>
        <w:gridCol w:w="2595"/>
        <w:gridCol w:w="1161"/>
        <w:gridCol w:w="1161"/>
      </w:tblGrid>
      <w:tr w14:paraId="405828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57" w:type="dxa"/>
            <w:vMerge w:val="restart"/>
            <w:tcBorders>
              <w:tl2br w:val="nil"/>
              <w:tr2bl w:val="nil"/>
            </w:tcBorders>
            <w:noWrap w:val="0"/>
            <w:vAlign w:val="center"/>
          </w:tcPr>
          <w:p w14:paraId="341FC125">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序号</w:t>
            </w:r>
          </w:p>
        </w:tc>
        <w:tc>
          <w:tcPr>
            <w:tcW w:w="1187" w:type="dxa"/>
            <w:vMerge w:val="restart"/>
            <w:tcBorders>
              <w:tl2br w:val="nil"/>
              <w:tr2bl w:val="nil"/>
            </w:tcBorders>
            <w:noWrap w:val="0"/>
            <w:vAlign w:val="center"/>
          </w:tcPr>
          <w:p w14:paraId="1C0AB4B6">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产污环节</w:t>
            </w:r>
          </w:p>
        </w:tc>
        <w:tc>
          <w:tcPr>
            <w:tcW w:w="1013" w:type="dxa"/>
            <w:vMerge w:val="restart"/>
            <w:tcBorders>
              <w:tl2br w:val="nil"/>
              <w:tr2bl w:val="nil"/>
            </w:tcBorders>
            <w:noWrap w:val="0"/>
            <w:vAlign w:val="center"/>
          </w:tcPr>
          <w:p w14:paraId="597C45BF">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污染物</w:t>
            </w:r>
          </w:p>
        </w:tc>
        <w:tc>
          <w:tcPr>
            <w:tcW w:w="1512" w:type="dxa"/>
            <w:vMerge w:val="restart"/>
            <w:tcBorders>
              <w:tl2br w:val="nil"/>
              <w:tr2bl w:val="nil"/>
            </w:tcBorders>
            <w:noWrap w:val="0"/>
            <w:vAlign w:val="center"/>
          </w:tcPr>
          <w:p w14:paraId="6B991623">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主要污染防治措施</w:t>
            </w:r>
          </w:p>
        </w:tc>
        <w:tc>
          <w:tcPr>
            <w:tcW w:w="3756" w:type="dxa"/>
            <w:gridSpan w:val="2"/>
            <w:tcBorders>
              <w:tl2br w:val="nil"/>
              <w:tr2bl w:val="nil"/>
            </w:tcBorders>
            <w:noWrap w:val="0"/>
            <w:vAlign w:val="center"/>
          </w:tcPr>
          <w:p w14:paraId="3854C691">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国家或地方污染物排放标准</w:t>
            </w:r>
          </w:p>
        </w:tc>
        <w:tc>
          <w:tcPr>
            <w:tcW w:w="1161" w:type="dxa"/>
            <w:vMerge w:val="restart"/>
            <w:tcBorders>
              <w:tl2br w:val="nil"/>
              <w:tr2bl w:val="nil"/>
            </w:tcBorders>
            <w:noWrap w:val="0"/>
            <w:vAlign w:val="center"/>
          </w:tcPr>
          <w:p w14:paraId="79E92EF1">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年排放量/（</w:t>
            </w:r>
            <w:r>
              <w:rPr>
                <w:rFonts w:hint="eastAsia" w:ascii="Times New Roman" w:hAnsi="Times New Roman" w:eastAsia="宋体" w:cs="Times New Roman"/>
                <w:color w:val="auto"/>
                <w:kern w:val="2"/>
                <w:sz w:val="21"/>
                <w:szCs w:val="21"/>
                <w:highlight w:val="none"/>
                <w:vertAlign w:val="baseline"/>
                <w:lang w:val="en-US" w:eastAsia="zh-CN" w:bidi="ar-SA"/>
              </w:rPr>
              <w:t>kg</w:t>
            </w:r>
            <w:r>
              <w:rPr>
                <w:rFonts w:hint="default" w:ascii="Times New Roman" w:hAnsi="Times New Roman" w:eastAsia="宋体" w:cs="Times New Roman"/>
                <w:color w:val="auto"/>
                <w:kern w:val="2"/>
                <w:sz w:val="21"/>
                <w:szCs w:val="21"/>
                <w:highlight w:val="none"/>
                <w:vertAlign w:val="baseline"/>
                <w:lang w:val="en-US" w:eastAsia="zh-CN" w:bidi="ar-SA"/>
              </w:rPr>
              <w:t>/a）</w:t>
            </w:r>
          </w:p>
        </w:tc>
      </w:tr>
      <w:tr w14:paraId="0D9817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657" w:type="dxa"/>
            <w:vMerge w:val="continue"/>
            <w:tcBorders>
              <w:tl2br w:val="nil"/>
              <w:tr2bl w:val="nil"/>
            </w:tcBorders>
            <w:noWrap w:val="0"/>
            <w:vAlign w:val="center"/>
          </w:tcPr>
          <w:p w14:paraId="00B660EC">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c>
          <w:tcPr>
            <w:tcW w:w="1187" w:type="dxa"/>
            <w:vMerge w:val="continue"/>
            <w:tcBorders>
              <w:tl2br w:val="nil"/>
              <w:tr2bl w:val="nil"/>
            </w:tcBorders>
            <w:noWrap w:val="0"/>
            <w:vAlign w:val="center"/>
          </w:tcPr>
          <w:p w14:paraId="17F9A692">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c>
          <w:tcPr>
            <w:tcW w:w="1013" w:type="dxa"/>
            <w:vMerge w:val="continue"/>
            <w:tcBorders>
              <w:tl2br w:val="nil"/>
              <w:tr2bl w:val="nil"/>
            </w:tcBorders>
            <w:noWrap w:val="0"/>
            <w:vAlign w:val="center"/>
          </w:tcPr>
          <w:p w14:paraId="293238C7">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c>
          <w:tcPr>
            <w:tcW w:w="1512" w:type="dxa"/>
            <w:vMerge w:val="continue"/>
            <w:tcBorders>
              <w:tl2br w:val="nil"/>
              <w:tr2bl w:val="nil"/>
            </w:tcBorders>
            <w:noWrap w:val="0"/>
            <w:vAlign w:val="center"/>
          </w:tcPr>
          <w:p w14:paraId="6B746F1C">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c>
          <w:tcPr>
            <w:tcW w:w="2595" w:type="dxa"/>
            <w:tcBorders>
              <w:tl2br w:val="nil"/>
              <w:tr2bl w:val="nil"/>
            </w:tcBorders>
            <w:noWrap w:val="0"/>
            <w:vAlign w:val="center"/>
          </w:tcPr>
          <w:p w14:paraId="31B17DD1">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标准名称</w:t>
            </w:r>
          </w:p>
        </w:tc>
        <w:tc>
          <w:tcPr>
            <w:tcW w:w="1161" w:type="dxa"/>
            <w:tcBorders>
              <w:tl2br w:val="nil"/>
              <w:tr2bl w:val="nil"/>
            </w:tcBorders>
            <w:noWrap w:val="0"/>
            <w:vAlign w:val="center"/>
          </w:tcPr>
          <w:p w14:paraId="2627E46D">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spacing w:val="-20"/>
                <w:kern w:val="2"/>
                <w:sz w:val="21"/>
                <w:szCs w:val="21"/>
                <w:highlight w:val="none"/>
                <w:vertAlign w:val="baseline"/>
                <w:lang w:val="en-US" w:eastAsia="zh-CN" w:bidi="ar-SA"/>
              </w:rPr>
              <w:t>浓度限值/（mg/m</w:t>
            </w:r>
            <w:r>
              <w:rPr>
                <w:rFonts w:hint="default" w:ascii="Times New Roman" w:hAnsi="Times New Roman" w:eastAsia="宋体" w:cs="Times New Roman"/>
                <w:color w:val="auto"/>
                <w:spacing w:val="-20"/>
                <w:kern w:val="2"/>
                <w:sz w:val="21"/>
                <w:szCs w:val="21"/>
                <w:highlight w:val="none"/>
                <w:vertAlign w:val="superscript"/>
                <w:lang w:val="en-US" w:eastAsia="zh-CN" w:bidi="ar-SA"/>
              </w:rPr>
              <w:t>3</w:t>
            </w:r>
            <w:r>
              <w:rPr>
                <w:rFonts w:hint="default" w:ascii="Times New Roman" w:hAnsi="Times New Roman" w:eastAsia="宋体" w:cs="Times New Roman"/>
                <w:color w:val="auto"/>
                <w:spacing w:val="-20"/>
                <w:kern w:val="2"/>
                <w:sz w:val="21"/>
                <w:szCs w:val="21"/>
                <w:highlight w:val="none"/>
                <w:vertAlign w:val="baseline"/>
                <w:lang w:val="en-US" w:eastAsia="zh-CN" w:bidi="ar-SA"/>
              </w:rPr>
              <w:t>）</w:t>
            </w:r>
          </w:p>
        </w:tc>
        <w:tc>
          <w:tcPr>
            <w:tcW w:w="1161" w:type="dxa"/>
            <w:vMerge w:val="continue"/>
            <w:tcBorders>
              <w:tl2br w:val="nil"/>
              <w:tr2bl w:val="nil"/>
            </w:tcBorders>
            <w:noWrap w:val="0"/>
            <w:vAlign w:val="center"/>
          </w:tcPr>
          <w:p w14:paraId="0845DE70">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r>
      <w:tr w14:paraId="76BA07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657" w:type="dxa"/>
            <w:vMerge w:val="restart"/>
            <w:tcBorders>
              <w:tl2br w:val="nil"/>
              <w:tr2bl w:val="nil"/>
            </w:tcBorders>
            <w:noWrap w:val="0"/>
            <w:vAlign w:val="center"/>
          </w:tcPr>
          <w:p w14:paraId="1189986F">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1</w:t>
            </w:r>
          </w:p>
        </w:tc>
        <w:tc>
          <w:tcPr>
            <w:tcW w:w="1187" w:type="dxa"/>
            <w:vMerge w:val="restart"/>
            <w:tcBorders>
              <w:tl2br w:val="nil"/>
              <w:tr2bl w:val="nil"/>
            </w:tcBorders>
            <w:noWrap w:val="0"/>
            <w:vAlign w:val="center"/>
          </w:tcPr>
          <w:p w14:paraId="7B906667">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pacing w:val="-20"/>
                <w:sz w:val="21"/>
                <w:szCs w:val="21"/>
                <w:highlight w:val="none"/>
                <w:lang w:val="en-US" w:eastAsia="zh-CN"/>
              </w:rPr>
              <w:t>废水处理</w:t>
            </w:r>
          </w:p>
        </w:tc>
        <w:tc>
          <w:tcPr>
            <w:tcW w:w="1013" w:type="dxa"/>
            <w:tcBorders>
              <w:tl2br w:val="nil"/>
              <w:tr2bl w:val="nil"/>
            </w:tcBorders>
            <w:noWrap w:val="0"/>
            <w:vAlign w:val="center"/>
          </w:tcPr>
          <w:p w14:paraId="5BCF1E42">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lang w:val="en-US" w:eastAsia="zh-CN"/>
              </w:rPr>
              <w:t>NH</w:t>
            </w:r>
            <w:r>
              <w:rPr>
                <w:rFonts w:hint="eastAsia" w:ascii="Times New Roman" w:hAnsi="Times New Roman" w:eastAsia="宋体" w:cs="Times New Roman"/>
                <w:color w:val="auto"/>
                <w:sz w:val="21"/>
                <w:szCs w:val="21"/>
                <w:highlight w:val="none"/>
                <w:vertAlign w:val="subscript"/>
                <w:lang w:val="en-US" w:eastAsia="zh-CN"/>
              </w:rPr>
              <w:t>3</w:t>
            </w:r>
          </w:p>
        </w:tc>
        <w:tc>
          <w:tcPr>
            <w:tcW w:w="1512" w:type="dxa"/>
            <w:vMerge w:val="restart"/>
            <w:tcBorders>
              <w:tl2br w:val="nil"/>
              <w:tr2bl w:val="nil"/>
            </w:tcBorders>
            <w:noWrap w:val="0"/>
            <w:vAlign w:val="center"/>
          </w:tcPr>
          <w:p w14:paraId="0FA0EC99">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eastAsia="宋体" w:cs="Times New Roman"/>
                <w:color w:val="auto"/>
                <w:spacing w:val="0"/>
                <w:sz w:val="21"/>
                <w:szCs w:val="21"/>
                <w:highlight w:val="none"/>
                <w:lang w:val="en-US" w:eastAsia="zh-CN"/>
              </w:rPr>
              <w:t>污水处理设施加盖封闭、</w:t>
            </w:r>
            <w:r>
              <w:rPr>
                <w:rFonts w:hint="eastAsia" w:eastAsia="宋体" w:cs="Times New Roman"/>
                <w:color w:val="FF0000"/>
                <w:spacing w:val="0"/>
                <w:sz w:val="21"/>
                <w:szCs w:val="21"/>
                <w:highlight w:val="none"/>
                <w:lang w:val="en-US" w:eastAsia="zh-CN"/>
              </w:rPr>
              <w:t>投放除臭剂</w:t>
            </w:r>
            <w:r>
              <w:rPr>
                <w:rFonts w:hint="eastAsia" w:eastAsia="宋体" w:cs="Times New Roman"/>
                <w:color w:val="auto"/>
                <w:spacing w:val="0"/>
                <w:sz w:val="21"/>
                <w:szCs w:val="21"/>
                <w:highlight w:val="none"/>
                <w:lang w:val="en-US" w:eastAsia="zh-CN"/>
              </w:rPr>
              <w:t>、</w:t>
            </w:r>
            <w:r>
              <w:rPr>
                <w:rFonts w:hint="eastAsia" w:ascii="Times New Roman" w:hAnsi="Times New Roman" w:eastAsia="宋体" w:cs="Times New Roman"/>
                <w:color w:val="auto"/>
                <w:spacing w:val="0"/>
                <w:sz w:val="21"/>
                <w:szCs w:val="21"/>
                <w:highlight w:val="none"/>
                <w:lang w:val="en-US" w:eastAsia="zh-CN"/>
              </w:rPr>
              <w:t>盆栽植物绿化吸收</w:t>
            </w:r>
          </w:p>
        </w:tc>
        <w:tc>
          <w:tcPr>
            <w:tcW w:w="2595" w:type="dxa"/>
            <w:vMerge w:val="restart"/>
            <w:tcBorders>
              <w:tl2br w:val="nil"/>
              <w:tr2bl w:val="nil"/>
            </w:tcBorders>
            <w:noWrap w:val="0"/>
            <w:vAlign w:val="center"/>
          </w:tcPr>
          <w:p w14:paraId="3207A6D0">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20"/>
                <w:kern w:val="2"/>
                <w:sz w:val="21"/>
                <w:szCs w:val="21"/>
                <w:highlight w:val="none"/>
                <w:vertAlign w:val="baseline"/>
                <w:lang w:val="en-US" w:eastAsia="zh-CN" w:bidi="ar-SA"/>
              </w:rPr>
            </w:pPr>
            <w:r>
              <w:rPr>
                <w:color w:val="auto"/>
                <w:sz w:val="24"/>
                <w:highlight w:val="none"/>
              </w:rPr>
              <w:t>《</w:t>
            </w:r>
            <w:r>
              <w:rPr>
                <w:rFonts w:hint="eastAsia" w:ascii="Times New Roman" w:hAnsi="Times New Roman" w:eastAsia="宋体" w:cs="Times New Roman"/>
                <w:color w:val="auto"/>
                <w:spacing w:val="0"/>
                <w:sz w:val="21"/>
                <w:szCs w:val="21"/>
                <w:highlight w:val="none"/>
                <w:lang w:val="en-US" w:eastAsia="zh-CN"/>
              </w:rPr>
              <w:t>医疗机构水污染物排放</w:t>
            </w:r>
            <w:r>
              <w:rPr>
                <w:rFonts w:hint="default" w:ascii="Times New Roman" w:hAnsi="Times New Roman" w:eastAsia="宋体" w:cs="Times New Roman"/>
                <w:color w:val="auto"/>
                <w:spacing w:val="0"/>
                <w:sz w:val="21"/>
                <w:szCs w:val="21"/>
                <w:highlight w:val="none"/>
                <w:lang w:val="en-US" w:eastAsia="zh-CN"/>
              </w:rPr>
              <w:t>标准》（</w:t>
            </w:r>
            <w:r>
              <w:rPr>
                <w:rFonts w:hint="eastAsia" w:ascii="Times New Roman" w:hAnsi="Times New Roman" w:eastAsia="宋体" w:cs="Times New Roman"/>
                <w:color w:val="auto"/>
                <w:spacing w:val="0"/>
                <w:sz w:val="21"/>
                <w:szCs w:val="21"/>
                <w:highlight w:val="none"/>
                <w:lang w:val="en-US" w:eastAsia="zh-CN"/>
              </w:rPr>
              <w:t>GB18466-2005</w:t>
            </w:r>
            <w:r>
              <w:rPr>
                <w:rFonts w:hint="default" w:ascii="Times New Roman" w:hAnsi="Times New Roman" w:eastAsia="宋体" w:cs="Times New Roman"/>
                <w:color w:val="auto"/>
                <w:spacing w:val="0"/>
                <w:sz w:val="21"/>
                <w:szCs w:val="21"/>
                <w:highlight w:val="none"/>
                <w:lang w:val="en-US" w:eastAsia="zh-CN"/>
              </w:rPr>
              <w:t>）</w:t>
            </w:r>
            <w:r>
              <w:rPr>
                <w:rFonts w:hint="eastAsia" w:ascii="Times New Roman" w:hAnsi="Times New Roman" w:eastAsia="宋体" w:cs="Times New Roman"/>
                <w:color w:val="auto"/>
                <w:spacing w:val="0"/>
                <w:sz w:val="21"/>
                <w:szCs w:val="21"/>
                <w:highlight w:val="none"/>
                <w:lang w:val="en-US" w:eastAsia="zh-CN"/>
              </w:rPr>
              <w:t>要求中“污水处理站周边大气污染物最高允许浓度”标准</w:t>
            </w:r>
          </w:p>
        </w:tc>
        <w:tc>
          <w:tcPr>
            <w:tcW w:w="1161" w:type="dxa"/>
            <w:tcBorders>
              <w:tl2br w:val="nil"/>
              <w:tr2bl w:val="nil"/>
            </w:tcBorders>
            <w:noWrap w:val="0"/>
            <w:vAlign w:val="center"/>
          </w:tcPr>
          <w:p w14:paraId="001FB5E6">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1.0</w:t>
            </w:r>
          </w:p>
        </w:tc>
        <w:tc>
          <w:tcPr>
            <w:tcW w:w="1161" w:type="dxa"/>
            <w:tcBorders>
              <w:tl2br w:val="nil"/>
              <w:tr2bl w:val="nil"/>
            </w:tcBorders>
            <w:noWrap w:val="0"/>
            <w:vAlign w:val="center"/>
          </w:tcPr>
          <w:p w14:paraId="7C9C9640">
            <w:pPr>
              <w:jc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9.38</w:t>
            </w:r>
          </w:p>
        </w:tc>
      </w:tr>
      <w:tr w14:paraId="798137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657" w:type="dxa"/>
            <w:vMerge w:val="continue"/>
            <w:tcBorders>
              <w:tl2br w:val="nil"/>
              <w:tr2bl w:val="nil"/>
            </w:tcBorders>
            <w:noWrap w:val="0"/>
            <w:vAlign w:val="center"/>
          </w:tcPr>
          <w:p w14:paraId="3659460D">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c>
          <w:tcPr>
            <w:tcW w:w="1187" w:type="dxa"/>
            <w:vMerge w:val="continue"/>
            <w:tcBorders>
              <w:tl2br w:val="nil"/>
              <w:tr2bl w:val="nil"/>
            </w:tcBorders>
            <w:noWrap w:val="0"/>
            <w:vAlign w:val="center"/>
          </w:tcPr>
          <w:p w14:paraId="5AAC16B6">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20"/>
                <w:sz w:val="21"/>
                <w:szCs w:val="21"/>
                <w:highlight w:val="none"/>
                <w:lang w:val="en-US" w:eastAsia="zh-CN"/>
              </w:rPr>
            </w:pPr>
          </w:p>
        </w:tc>
        <w:tc>
          <w:tcPr>
            <w:tcW w:w="1013" w:type="dxa"/>
            <w:tcBorders>
              <w:tl2br w:val="nil"/>
              <w:tr2bl w:val="nil"/>
            </w:tcBorders>
            <w:noWrap w:val="0"/>
            <w:vAlign w:val="center"/>
          </w:tcPr>
          <w:p w14:paraId="34A3498D">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lang w:val="en-US" w:eastAsia="zh-CN"/>
              </w:rPr>
              <w:t>H</w:t>
            </w:r>
            <w:r>
              <w:rPr>
                <w:rFonts w:hint="eastAsia" w:ascii="Times New Roman" w:hAnsi="Times New Roman" w:eastAsia="宋体" w:cs="Times New Roman"/>
                <w:color w:val="auto"/>
                <w:sz w:val="21"/>
                <w:szCs w:val="21"/>
                <w:highlight w:val="none"/>
                <w:vertAlign w:val="subscript"/>
                <w:lang w:val="en-US" w:eastAsia="zh-CN"/>
              </w:rPr>
              <w:t>2</w:t>
            </w:r>
            <w:r>
              <w:rPr>
                <w:rFonts w:hint="eastAsia" w:ascii="Times New Roman" w:hAnsi="Times New Roman" w:eastAsia="宋体" w:cs="Times New Roman"/>
                <w:color w:val="auto"/>
                <w:sz w:val="21"/>
                <w:szCs w:val="21"/>
                <w:highlight w:val="none"/>
                <w:lang w:val="en-US" w:eastAsia="zh-CN"/>
              </w:rPr>
              <w:t>S</w:t>
            </w:r>
          </w:p>
        </w:tc>
        <w:tc>
          <w:tcPr>
            <w:tcW w:w="1512" w:type="dxa"/>
            <w:vMerge w:val="continue"/>
            <w:tcBorders>
              <w:tl2br w:val="nil"/>
              <w:tr2bl w:val="nil"/>
            </w:tcBorders>
            <w:noWrap w:val="0"/>
            <w:vAlign w:val="center"/>
          </w:tcPr>
          <w:p w14:paraId="0E47EA31">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z w:val="21"/>
                <w:szCs w:val="21"/>
                <w:highlight w:val="none"/>
              </w:rPr>
            </w:pPr>
          </w:p>
        </w:tc>
        <w:tc>
          <w:tcPr>
            <w:tcW w:w="2595" w:type="dxa"/>
            <w:vMerge w:val="continue"/>
            <w:tcBorders>
              <w:tl2br w:val="nil"/>
              <w:tr2bl w:val="nil"/>
            </w:tcBorders>
            <w:noWrap w:val="0"/>
            <w:vAlign w:val="center"/>
          </w:tcPr>
          <w:p w14:paraId="2168B1E9">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val="0"/>
                <w:bCs w:val="0"/>
                <w:color w:val="auto"/>
                <w:sz w:val="21"/>
                <w:szCs w:val="21"/>
                <w:highlight w:val="none"/>
              </w:rPr>
            </w:pPr>
          </w:p>
        </w:tc>
        <w:tc>
          <w:tcPr>
            <w:tcW w:w="1161" w:type="dxa"/>
            <w:tcBorders>
              <w:tl2br w:val="nil"/>
              <w:tr2bl w:val="nil"/>
            </w:tcBorders>
            <w:noWrap w:val="0"/>
            <w:vAlign w:val="center"/>
          </w:tcPr>
          <w:p w14:paraId="4D5345AB">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0.03</w:t>
            </w:r>
          </w:p>
        </w:tc>
        <w:tc>
          <w:tcPr>
            <w:tcW w:w="1161" w:type="dxa"/>
            <w:tcBorders>
              <w:tl2br w:val="nil"/>
              <w:tr2bl w:val="nil"/>
            </w:tcBorders>
            <w:noWrap w:val="0"/>
            <w:vAlign w:val="center"/>
          </w:tcPr>
          <w:p w14:paraId="019A4F20">
            <w:pPr>
              <w:jc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lang w:val="en-US" w:eastAsia="zh-CN"/>
              </w:rPr>
              <w:t>0.33</w:t>
            </w:r>
          </w:p>
        </w:tc>
      </w:tr>
      <w:tr w14:paraId="055C42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57" w:type="dxa"/>
            <w:gridSpan w:val="3"/>
            <w:vMerge w:val="restart"/>
            <w:tcBorders>
              <w:tl2br w:val="nil"/>
              <w:tr2bl w:val="nil"/>
            </w:tcBorders>
            <w:noWrap w:val="0"/>
            <w:vAlign w:val="center"/>
          </w:tcPr>
          <w:p w14:paraId="75C6C9F6">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无组织排放总计</w:t>
            </w:r>
          </w:p>
        </w:tc>
        <w:tc>
          <w:tcPr>
            <w:tcW w:w="4107" w:type="dxa"/>
            <w:gridSpan w:val="2"/>
            <w:tcBorders>
              <w:tl2br w:val="nil"/>
              <w:tr2bl w:val="nil"/>
            </w:tcBorders>
            <w:noWrap w:val="0"/>
            <w:vAlign w:val="center"/>
          </w:tcPr>
          <w:p w14:paraId="7D95BCC5">
            <w:pPr>
              <w:pStyle w:val="31"/>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lang w:val="en-US" w:eastAsia="zh-CN"/>
              </w:rPr>
              <w:t>NH</w:t>
            </w:r>
            <w:r>
              <w:rPr>
                <w:rFonts w:hint="eastAsia" w:ascii="Times New Roman" w:hAnsi="Times New Roman" w:eastAsia="宋体" w:cs="Times New Roman"/>
                <w:color w:val="auto"/>
                <w:sz w:val="21"/>
                <w:szCs w:val="21"/>
                <w:highlight w:val="none"/>
                <w:vertAlign w:val="subscript"/>
                <w:lang w:val="en-US" w:eastAsia="zh-CN"/>
              </w:rPr>
              <w:t>3</w:t>
            </w:r>
          </w:p>
        </w:tc>
        <w:tc>
          <w:tcPr>
            <w:tcW w:w="2322" w:type="dxa"/>
            <w:gridSpan w:val="2"/>
            <w:tcBorders>
              <w:tl2br w:val="nil"/>
              <w:tr2bl w:val="nil"/>
            </w:tcBorders>
            <w:noWrap w:val="0"/>
            <w:vAlign w:val="center"/>
          </w:tcPr>
          <w:p w14:paraId="11FF35CC">
            <w:pPr>
              <w:jc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9.38</w:t>
            </w:r>
          </w:p>
        </w:tc>
      </w:tr>
      <w:tr w14:paraId="14F08B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857" w:type="dxa"/>
            <w:gridSpan w:val="3"/>
            <w:vMerge w:val="continue"/>
            <w:tcBorders>
              <w:tl2br w:val="nil"/>
              <w:tr2bl w:val="nil"/>
            </w:tcBorders>
            <w:noWrap w:val="0"/>
            <w:vAlign w:val="center"/>
          </w:tcPr>
          <w:p w14:paraId="56220522">
            <w:pPr>
              <w:pStyle w:val="31"/>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c>
          <w:tcPr>
            <w:tcW w:w="4107" w:type="dxa"/>
            <w:gridSpan w:val="2"/>
            <w:tcBorders>
              <w:tl2br w:val="nil"/>
              <w:tr2bl w:val="nil"/>
            </w:tcBorders>
            <w:noWrap w:val="0"/>
            <w:vAlign w:val="center"/>
          </w:tcPr>
          <w:p w14:paraId="17D94ECA">
            <w:pPr>
              <w:pStyle w:val="31"/>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lang w:val="en-US" w:eastAsia="zh-CN"/>
              </w:rPr>
              <w:t>H</w:t>
            </w:r>
            <w:r>
              <w:rPr>
                <w:rFonts w:hint="eastAsia" w:ascii="Times New Roman" w:hAnsi="Times New Roman" w:eastAsia="宋体" w:cs="Times New Roman"/>
                <w:color w:val="auto"/>
                <w:sz w:val="21"/>
                <w:szCs w:val="21"/>
                <w:highlight w:val="none"/>
                <w:vertAlign w:val="subscript"/>
                <w:lang w:val="en-US" w:eastAsia="zh-CN"/>
              </w:rPr>
              <w:t>2</w:t>
            </w:r>
            <w:r>
              <w:rPr>
                <w:rFonts w:hint="eastAsia" w:ascii="Times New Roman" w:hAnsi="Times New Roman" w:eastAsia="宋体" w:cs="Times New Roman"/>
                <w:color w:val="auto"/>
                <w:sz w:val="21"/>
                <w:szCs w:val="21"/>
                <w:highlight w:val="none"/>
                <w:lang w:val="en-US" w:eastAsia="zh-CN"/>
              </w:rPr>
              <w:t>S</w:t>
            </w:r>
          </w:p>
        </w:tc>
        <w:tc>
          <w:tcPr>
            <w:tcW w:w="2322" w:type="dxa"/>
            <w:gridSpan w:val="2"/>
            <w:tcBorders>
              <w:tl2br w:val="nil"/>
              <w:tr2bl w:val="nil"/>
            </w:tcBorders>
            <w:noWrap w:val="0"/>
            <w:vAlign w:val="center"/>
          </w:tcPr>
          <w:p w14:paraId="60A73F18">
            <w:pPr>
              <w:jc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lang w:val="en-US" w:eastAsia="zh-CN"/>
              </w:rPr>
              <w:t>0.33</w:t>
            </w:r>
          </w:p>
        </w:tc>
      </w:tr>
    </w:tbl>
    <w:p w14:paraId="1F2E8063">
      <w:pPr>
        <w:keepNext w:val="0"/>
        <w:keepLines w:val="0"/>
        <w:pageBreakBefore w:val="0"/>
        <w:widowControl w:val="0"/>
        <w:tabs>
          <w:tab w:val="left" w:pos="674"/>
          <w:tab w:val="left" w:pos="6300"/>
        </w:tabs>
        <w:kinsoku/>
        <w:wordWrap/>
        <w:overflowPunct/>
        <w:topLinePunct w:val="0"/>
        <w:autoSpaceDE/>
        <w:autoSpaceDN/>
        <w:bidi w:val="0"/>
        <w:adjustRightInd w:val="0"/>
        <w:snapToGrid w:val="0"/>
        <w:spacing w:before="157" w:beforeLines="50" w:line="360" w:lineRule="auto"/>
        <w:textAlignment w:val="auto"/>
        <w:outlineLvl w:val="9"/>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kern w:val="2"/>
          <w:sz w:val="21"/>
          <w:szCs w:val="21"/>
          <w:highlight w:val="none"/>
          <w:vertAlign w:val="baseline"/>
          <w:lang w:val="en-US" w:eastAsia="zh-CN" w:bidi="ar-SA"/>
        </w:rPr>
        <w:t>表</w:t>
      </w:r>
      <w:r>
        <w:rPr>
          <w:rFonts w:hint="eastAsia" w:cs="Times New Roman"/>
          <w:b/>
          <w:bCs/>
          <w:color w:val="auto"/>
          <w:kern w:val="2"/>
          <w:sz w:val="21"/>
          <w:szCs w:val="21"/>
          <w:highlight w:val="none"/>
          <w:vertAlign w:val="baseline"/>
          <w:lang w:val="en-US" w:eastAsia="zh-CN" w:bidi="ar-SA"/>
        </w:rPr>
        <w:t>33</w:t>
      </w:r>
      <w:r>
        <w:rPr>
          <w:rFonts w:hint="eastAsia" w:ascii="Times New Roman" w:hAnsi="Times New Roman" w:eastAsia="宋体" w:cs="Times New Roman"/>
          <w:b/>
          <w:bCs/>
          <w:color w:val="auto"/>
          <w:kern w:val="2"/>
          <w:sz w:val="21"/>
          <w:szCs w:val="21"/>
          <w:highlight w:val="none"/>
          <w:vertAlign w:val="baseline"/>
          <w:lang w:val="en-US" w:eastAsia="zh-CN" w:bidi="ar-SA"/>
        </w:rPr>
        <w:t xml:space="preserve">                              无组织面源参数一览表</w:t>
      </w:r>
    </w:p>
    <w:tbl>
      <w:tblPr>
        <w:tblStyle w:val="24"/>
        <w:tblW w:w="9450" w:type="dxa"/>
        <w:tblInd w:w="-148"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490"/>
        <w:gridCol w:w="988"/>
        <w:gridCol w:w="768"/>
        <w:gridCol w:w="779"/>
        <w:gridCol w:w="573"/>
        <w:gridCol w:w="659"/>
        <w:gridCol w:w="806"/>
        <w:gridCol w:w="752"/>
        <w:gridCol w:w="817"/>
        <w:gridCol w:w="778"/>
        <w:gridCol w:w="524"/>
        <w:gridCol w:w="644"/>
        <w:gridCol w:w="872"/>
      </w:tblGrid>
      <w:tr w14:paraId="70BE3D0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30" w:hRule="atLeast"/>
        </w:trPr>
        <w:tc>
          <w:tcPr>
            <w:tcW w:w="490" w:type="dxa"/>
            <w:vMerge w:val="restart"/>
            <w:tcBorders>
              <w:tl2br w:val="nil"/>
              <w:tr2bl w:val="nil"/>
            </w:tcBorders>
            <w:noWrap w:val="0"/>
            <w:vAlign w:val="center"/>
          </w:tcPr>
          <w:p w14:paraId="7C60FBAB">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编号</w:t>
            </w:r>
          </w:p>
        </w:tc>
        <w:tc>
          <w:tcPr>
            <w:tcW w:w="988" w:type="dxa"/>
            <w:vMerge w:val="restart"/>
            <w:tcBorders>
              <w:tl2br w:val="nil"/>
              <w:tr2bl w:val="nil"/>
            </w:tcBorders>
            <w:noWrap w:val="0"/>
            <w:vAlign w:val="center"/>
          </w:tcPr>
          <w:p w14:paraId="2DB467B6">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名称</w:t>
            </w:r>
          </w:p>
        </w:tc>
        <w:tc>
          <w:tcPr>
            <w:tcW w:w="1547" w:type="dxa"/>
            <w:gridSpan w:val="2"/>
            <w:tcBorders>
              <w:tl2br w:val="nil"/>
              <w:tr2bl w:val="nil"/>
            </w:tcBorders>
            <w:noWrap w:val="0"/>
            <w:vAlign w:val="center"/>
          </w:tcPr>
          <w:p w14:paraId="337372B2">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面源起始点</w:t>
            </w:r>
          </w:p>
        </w:tc>
        <w:tc>
          <w:tcPr>
            <w:tcW w:w="573" w:type="dxa"/>
            <w:vMerge w:val="restart"/>
            <w:tcBorders>
              <w:tl2br w:val="nil"/>
              <w:tr2bl w:val="nil"/>
            </w:tcBorders>
            <w:noWrap w:val="0"/>
            <w:vAlign w:val="center"/>
          </w:tcPr>
          <w:p w14:paraId="1B615D83">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海拔</w:t>
            </w:r>
          </w:p>
          <w:p w14:paraId="6F00CFCB">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高度</w:t>
            </w:r>
          </w:p>
          <w:p w14:paraId="63B432F4">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(m)</w:t>
            </w:r>
          </w:p>
        </w:tc>
        <w:tc>
          <w:tcPr>
            <w:tcW w:w="659" w:type="dxa"/>
            <w:vMerge w:val="restart"/>
            <w:tcBorders>
              <w:tl2br w:val="nil"/>
              <w:tr2bl w:val="nil"/>
            </w:tcBorders>
            <w:noWrap w:val="0"/>
            <w:vAlign w:val="center"/>
          </w:tcPr>
          <w:p w14:paraId="6C36F79B">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面源</w:t>
            </w:r>
          </w:p>
          <w:p w14:paraId="20480BAF">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长度</w:t>
            </w:r>
          </w:p>
          <w:p w14:paraId="4C6E2974">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(m)</w:t>
            </w:r>
          </w:p>
        </w:tc>
        <w:tc>
          <w:tcPr>
            <w:tcW w:w="806" w:type="dxa"/>
            <w:vMerge w:val="restart"/>
            <w:tcBorders>
              <w:tl2br w:val="nil"/>
              <w:tr2bl w:val="nil"/>
            </w:tcBorders>
            <w:noWrap w:val="0"/>
            <w:vAlign w:val="center"/>
          </w:tcPr>
          <w:p w14:paraId="195DBFEE">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面源</w:t>
            </w:r>
          </w:p>
          <w:p w14:paraId="77BB7A82">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宽度</w:t>
            </w:r>
          </w:p>
          <w:p w14:paraId="156478B9">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(m)</w:t>
            </w:r>
          </w:p>
        </w:tc>
        <w:tc>
          <w:tcPr>
            <w:tcW w:w="752" w:type="dxa"/>
            <w:vMerge w:val="restart"/>
            <w:tcBorders>
              <w:tl2br w:val="nil"/>
              <w:tr2bl w:val="nil"/>
            </w:tcBorders>
            <w:noWrap w:val="0"/>
            <w:vAlign w:val="center"/>
          </w:tcPr>
          <w:p w14:paraId="73C6410B">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与正北夹角</w:t>
            </w:r>
          </w:p>
          <w:p w14:paraId="6E60170F">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(º)</w:t>
            </w:r>
          </w:p>
        </w:tc>
        <w:tc>
          <w:tcPr>
            <w:tcW w:w="817" w:type="dxa"/>
            <w:vMerge w:val="restart"/>
            <w:tcBorders>
              <w:tl2br w:val="nil"/>
              <w:tr2bl w:val="nil"/>
            </w:tcBorders>
            <w:noWrap w:val="0"/>
            <w:vAlign w:val="center"/>
          </w:tcPr>
          <w:p w14:paraId="48912F91">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初始排放高度</w:t>
            </w:r>
          </w:p>
          <w:p w14:paraId="435254D1">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（m）</w:t>
            </w:r>
          </w:p>
        </w:tc>
        <w:tc>
          <w:tcPr>
            <w:tcW w:w="778" w:type="dxa"/>
            <w:vMerge w:val="restart"/>
            <w:tcBorders>
              <w:tl2br w:val="nil"/>
              <w:tr2bl w:val="nil"/>
            </w:tcBorders>
            <w:noWrap w:val="0"/>
            <w:vAlign w:val="center"/>
          </w:tcPr>
          <w:p w14:paraId="15F991E2">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排放小时数(h)</w:t>
            </w:r>
          </w:p>
        </w:tc>
        <w:tc>
          <w:tcPr>
            <w:tcW w:w="524" w:type="dxa"/>
            <w:vMerge w:val="restart"/>
            <w:tcBorders>
              <w:tl2br w:val="nil"/>
              <w:tr2bl w:val="nil"/>
            </w:tcBorders>
            <w:noWrap w:val="0"/>
            <w:vAlign w:val="center"/>
          </w:tcPr>
          <w:p w14:paraId="39ABAFB5">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排放</w:t>
            </w:r>
          </w:p>
          <w:p w14:paraId="2D09AE5D">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工况</w:t>
            </w:r>
          </w:p>
        </w:tc>
        <w:tc>
          <w:tcPr>
            <w:tcW w:w="1516" w:type="dxa"/>
            <w:gridSpan w:val="2"/>
            <w:tcBorders>
              <w:tl2br w:val="nil"/>
              <w:tr2bl w:val="nil"/>
            </w:tcBorders>
            <w:noWrap w:val="0"/>
            <w:vAlign w:val="center"/>
          </w:tcPr>
          <w:p w14:paraId="4BE2697D">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污染物排放速率（kg/h）</w:t>
            </w:r>
          </w:p>
        </w:tc>
      </w:tr>
      <w:tr w14:paraId="054354C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65" w:hRule="atLeast"/>
        </w:trPr>
        <w:tc>
          <w:tcPr>
            <w:tcW w:w="490" w:type="dxa"/>
            <w:vMerge w:val="continue"/>
            <w:tcBorders>
              <w:tl2br w:val="nil"/>
              <w:tr2bl w:val="nil"/>
            </w:tcBorders>
            <w:noWrap w:val="0"/>
            <w:vAlign w:val="center"/>
          </w:tcPr>
          <w:p w14:paraId="4372BF59">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988" w:type="dxa"/>
            <w:vMerge w:val="continue"/>
            <w:tcBorders>
              <w:tl2br w:val="nil"/>
              <w:tr2bl w:val="nil"/>
            </w:tcBorders>
            <w:noWrap w:val="0"/>
            <w:vAlign w:val="center"/>
          </w:tcPr>
          <w:p w14:paraId="768B12CE">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768" w:type="dxa"/>
            <w:tcBorders>
              <w:tl2br w:val="nil"/>
              <w:tr2bl w:val="nil"/>
            </w:tcBorders>
            <w:noWrap w:val="0"/>
            <w:vAlign w:val="center"/>
          </w:tcPr>
          <w:p w14:paraId="584FEDF2">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X坐标</w:t>
            </w:r>
          </w:p>
          <w:p w14:paraId="315BC639">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(m)</w:t>
            </w:r>
          </w:p>
        </w:tc>
        <w:tc>
          <w:tcPr>
            <w:tcW w:w="779" w:type="dxa"/>
            <w:tcBorders>
              <w:tl2br w:val="nil"/>
              <w:tr2bl w:val="nil"/>
            </w:tcBorders>
            <w:noWrap w:val="0"/>
            <w:vAlign w:val="center"/>
          </w:tcPr>
          <w:p w14:paraId="53E0CB4C">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Y坐标</w:t>
            </w:r>
          </w:p>
          <w:p w14:paraId="5E91A10F">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(m)</w:t>
            </w:r>
          </w:p>
        </w:tc>
        <w:tc>
          <w:tcPr>
            <w:tcW w:w="573" w:type="dxa"/>
            <w:vMerge w:val="continue"/>
            <w:tcBorders>
              <w:tl2br w:val="nil"/>
              <w:tr2bl w:val="nil"/>
            </w:tcBorders>
            <w:noWrap w:val="0"/>
            <w:vAlign w:val="center"/>
          </w:tcPr>
          <w:p w14:paraId="07FFC5A4">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659" w:type="dxa"/>
            <w:vMerge w:val="continue"/>
            <w:tcBorders>
              <w:tl2br w:val="nil"/>
              <w:tr2bl w:val="nil"/>
            </w:tcBorders>
            <w:noWrap w:val="0"/>
            <w:vAlign w:val="center"/>
          </w:tcPr>
          <w:p w14:paraId="150C1520">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806" w:type="dxa"/>
            <w:vMerge w:val="continue"/>
            <w:tcBorders>
              <w:tl2br w:val="nil"/>
              <w:tr2bl w:val="nil"/>
            </w:tcBorders>
            <w:noWrap w:val="0"/>
            <w:vAlign w:val="center"/>
          </w:tcPr>
          <w:p w14:paraId="61A40104">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752" w:type="dxa"/>
            <w:vMerge w:val="continue"/>
            <w:tcBorders>
              <w:tl2br w:val="nil"/>
              <w:tr2bl w:val="nil"/>
            </w:tcBorders>
            <w:noWrap w:val="0"/>
            <w:vAlign w:val="center"/>
          </w:tcPr>
          <w:p w14:paraId="0EB17941">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817" w:type="dxa"/>
            <w:vMerge w:val="continue"/>
            <w:tcBorders>
              <w:tl2br w:val="nil"/>
              <w:tr2bl w:val="nil"/>
            </w:tcBorders>
            <w:noWrap w:val="0"/>
            <w:vAlign w:val="center"/>
          </w:tcPr>
          <w:p w14:paraId="7450EEA7">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778" w:type="dxa"/>
            <w:vMerge w:val="continue"/>
            <w:tcBorders>
              <w:tl2br w:val="nil"/>
              <w:tr2bl w:val="nil"/>
            </w:tcBorders>
            <w:noWrap w:val="0"/>
            <w:vAlign w:val="center"/>
          </w:tcPr>
          <w:p w14:paraId="4D3A0869">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524" w:type="dxa"/>
            <w:vMerge w:val="continue"/>
            <w:tcBorders>
              <w:tl2br w:val="nil"/>
              <w:tr2bl w:val="nil"/>
            </w:tcBorders>
            <w:noWrap w:val="0"/>
            <w:vAlign w:val="center"/>
          </w:tcPr>
          <w:p w14:paraId="71822A7B">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p>
        </w:tc>
        <w:tc>
          <w:tcPr>
            <w:tcW w:w="644" w:type="dxa"/>
            <w:tcBorders>
              <w:tl2br w:val="nil"/>
              <w:tr2bl w:val="nil"/>
            </w:tcBorders>
            <w:noWrap w:val="0"/>
            <w:vAlign w:val="center"/>
          </w:tcPr>
          <w:p w14:paraId="41BE34D5">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NH</w:t>
            </w:r>
            <w:r>
              <w:rPr>
                <w:rFonts w:hint="eastAsia" w:ascii="Times New Roman" w:hAnsi="Times New Roman" w:eastAsia="宋体" w:cs="Times New Roman"/>
                <w:color w:val="auto"/>
                <w:sz w:val="21"/>
                <w:szCs w:val="21"/>
                <w:highlight w:val="none"/>
                <w:vertAlign w:val="subscript"/>
                <w:lang w:val="en-US" w:eastAsia="zh-CN"/>
              </w:rPr>
              <w:t>3</w:t>
            </w:r>
          </w:p>
        </w:tc>
        <w:tc>
          <w:tcPr>
            <w:tcW w:w="872" w:type="dxa"/>
            <w:tcBorders>
              <w:tl2br w:val="nil"/>
              <w:tr2bl w:val="nil"/>
            </w:tcBorders>
            <w:noWrap w:val="0"/>
            <w:vAlign w:val="center"/>
          </w:tcPr>
          <w:p w14:paraId="4276FCF9">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H</w:t>
            </w:r>
            <w:r>
              <w:rPr>
                <w:rFonts w:hint="eastAsia" w:ascii="Times New Roman" w:hAnsi="Times New Roman" w:eastAsia="宋体" w:cs="Times New Roman"/>
                <w:color w:val="auto"/>
                <w:sz w:val="21"/>
                <w:szCs w:val="21"/>
                <w:highlight w:val="none"/>
                <w:vertAlign w:val="subscript"/>
                <w:lang w:val="en-US" w:eastAsia="zh-CN"/>
              </w:rPr>
              <w:t>2</w:t>
            </w:r>
            <w:r>
              <w:rPr>
                <w:rFonts w:hint="eastAsia" w:ascii="Times New Roman" w:hAnsi="Times New Roman" w:eastAsia="宋体" w:cs="Times New Roman"/>
                <w:color w:val="auto"/>
                <w:sz w:val="21"/>
                <w:szCs w:val="21"/>
                <w:highlight w:val="none"/>
                <w:lang w:val="en-US" w:eastAsia="zh-CN"/>
              </w:rPr>
              <w:t>S</w:t>
            </w:r>
          </w:p>
        </w:tc>
      </w:tr>
      <w:tr w14:paraId="43FF035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c>
          <w:tcPr>
            <w:tcW w:w="490" w:type="dxa"/>
            <w:tcBorders>
              <w:tl2br w:val="nil"/>
              <w:tr2bl w:val="nil"/>
            </w:tcBorders>
            <w:noWrap w:val="0"/>
            <w:vAlign w:val="center"/>
          </w:tcPr>
          <w:p w14:paraId="47EFDB66">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S1</w:t>
            </w:r>
          </w:p>
        </w:tc>
        <w:tc>
          <w:tcPr>
            <w:tcW w:w="988" w:type="dxa"/>
            <w:tcBorders>
              <w:tl2br w:val="nil"/>
              <w:tr2bl w:val="nil"/>
            </w:tcBorders>
            <w:noWrap w:val="0"/>
            <w:vAlign w:val="center"/>
          </w:tcPr>
          <w:p w14:paraId="21451A68">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无组织恶臭气体</w:t>
            </w:r>
          </w:p>
        </w:tc>
        <w:tc>
          <w:tcPr>
            <w:tcW w:w="768" w:type="dxa"/>
            <w:tcBorders>
              <w:tl2br w:val="nil"/>
              <w:tr2bl w:val="nil"/>
            </w:tcBorders>
            <w:noWrap w:val="0"/>
            <w:vAlign w:val="center"/>
          </w:tcPr>
          <w:p w14:paraId="12ED8F0E">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29</w:t>
            </w:r>
          </w:p>
        </w:tc>
        <w:tc>
          <w:tcPr>
            <w:tcW w:w="779" w:type="dxa"/>
            <w:tcBorders>
              <w:tl2br w:val="nil"/>
              <w:tr2bl w:val="nil"/>
            </w:tcBorders>
            <w:noWrap w:val="0"/>
            <w:vAlign w:val="center"/>
          </w:tcPr>
          <w:p w14:paraId="3C2B8C85">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573" w:type="dxa"/>
            <w:tcBorders>
              <w:tl2br w:val="nil"/>
              <w:tr2bl w:val="nil"/>
            </w:tcBorders>
            <w:noWrap w:val="0"/>
            <w:vAlign w:val="center"/>
          </w:tcPr>
          <w:p w14:paraId="68FFAC4A">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120.8</w:t>
            </w:r>
          </w:p>
        </w:tc>
        <w:tc>
          <w:tcPr>
            <w:tcW w:w="659" w:type="dxa"/>
            <w:tcBorders>
              <w:tl2br w:val="nil"/>
              <w:tr2bl w:val="nil"/>
            </w:tcBorders>
            <w:noWrap w:val="0"/>
            <w:vAlign w:val="center"/>
          </w:tcPr>
          <w:p w14:paraId="1A08481C">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5.5</w:t>
            </w:r>
          </w:p>
        </w:tc>
        <w:tc>
          <w:tcPr>
            <w:tcW w:w="806" w:type="dxa"/>
            <w:tcBorders>
              <w:tl2br w:val="nil"/>
              <w:tr2bl w:val="nil"/>
            </w:tcBorders>
            <w:noWrap w:val="0"/>
            <w:vAlign w:val="center"/>
          </w:tcPr>
          <w:p w14:paraId="12186032">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752" w:type="dxa"/>
            <w:tcBorders>
              <w:tl2br w:val="nil"/>
              <w:tr2bl w:val="nil"/>
            </w:tcBorders>
            <w:noWrap w:val="0"/>
            <w:vAlign w:val="center"/>
          </w:tcPr>
          <w:p w14:paraId="62DFCE8F">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817" w:type="dxa"/>
            <w:tcBorders>
              <w:tl2br w:val="nil"/>
              <w:tr2bl w:val="nil"/>
            </w:tcBorders>
            <w:noWrap w:val="0"/>
            <w:vAlign w:val="center"/>
          </w:tcPr>
          <w:p w14:paraId="61E9779F">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c>
          <w:tcPr>
            <w:tcW w:w="778" w:type="dxa"/>
            <w:tcBorders>
              <w:tl2br w:val="nil"/>
              <w:tr2bl w:val="nil"/>
            </w:tcBorders>
            <w:noWrap w:val="0"/>
            <w:vAlign w:val="center"/>
          </w:tcPr>
          <w:p w14:paraId="63951E39">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8760</w:t>
            </w:r>
          </w:p>
        </w:tc>
        <w:tc>
          <w:tcPr>
            <w:tcW w:w="524" w:type="dxa"/>
            <w:tcBorders>
              <w:tl2br w:val="nil"/>
              <w:tr2bl w:val="nil"/>
            </w:tcBorders>
            <w:noWrap w:val="0"/>
            <w:vAlign w:val="center"/>
          </w:tcPr>
          <w:p w14:paraId="49BB02DE">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正常</w:t>
            </w:r>
          </w:p>
        </w:tc>
        <w:tc>
          <w:tcPr>
            <w:tcW w:w="644" w:type="dxa"/>
            <w:tcBorders>
              <w:tl2br w:val="nil"/>
              <w:tr2bl w:val="nil"/>
            </w:tcBorders>
            <w:noWrap w:val="0"/>
            <w:vAlign w:val="center"/>
          </w:tcPr>
          <w:p w14:paraId="3445496C">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0.001</w:t>
            </w:r>
          </w:p>
        </w:tc>
        <w:tc>
          <w:tcPr>
            <w:tcW w:w="872" w:type="dxa"/>
            <w:tcBorders>
              <w:tl2br w:val="nil"/>
              <w:tr2bl w:val="nil"/>
            </w:tcBorders>
            <w:noWrap w:val="0"/>
            <w:vAlign w:val="center"/>
          </w:tcPr>
          <w:p w14:paraId="44E7BD36">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0.00004</w:t>
            </w:r>
          </w:p>
        </w:tc>
      </w:tr>
    </w:tbl>
    <w:p w14:paraId="3081CB65">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default" w:ascii="Times New Roman" w:hAnsi="Times New Roman" w:cs="Times New Roman"/>
          <w:color w:val="auto"/>
          <w:sz w:val="24"/>
          <w:szCs w:val="24"/>
          <w:highlight w:val="none"/>
          <w:lang w:eastAsia="zh-CN"/>
        </w:rPr>
      </w:pPr>
      <w:r>
        <w:rPr>
          <w:rFonts w:hint="default" w:ascii="Times New Roman" w:hAnsi="Times New Roman" w:eastAsia="宋体" w:cs="Times New Roman"/>
          <w:color w:val="auto"/>
          <w:kern w:val="2"/>
          <w:sz w:val="24"/>
          <w:szCs w:val="22"/>
          <w:highlight w:val="none"/>
          <w:vertAlign w:val="baseline"/>
          <w:lang w:val="en-US" w:eastAsia="zh-CN" w:bidi="ar-SA"/>
        </w:rPr>
        <w:t>本项目</w:t>
      </w:r>
      <w:r>
        <w:rPr>
          <w:rFonts w:hint="eastAsia" w:ascii="Times New Roman" w:hAnsi="Times New Roman" w:eastAsia="宋体" w:cs="Times New Roman"/>
          <w:color w:val="auto"/>
          <w:kern w:val="2"/>
          <w:sz w:val="24"/>
          <w:szCs w:val="22"/>
          <w:highlight w:val="none"/>
          <w:vertAlign w:val="baseline"/>
          <w:lang w:val="en-US" w:eastAsia="zh-CN" w:bidi="ar-SA"/>
        </w:rPr>
        <w:t>无</w:t>
      </w:r>
      <w:r>
        <w:rPr>
          <w:rFonts w:hint="default" w:ascii="Times New Roman" w:hAnsi="Times New Roman" w:eastAsia="宋体" w:cs="Times New Roman"/>
          <w:color w:val="auto"/>
          <w:kern w:val="2"/>
          <w:sz w:val="24"/>
          <w:szCs w:val="22"/>
          <w:highlight w:val="none"/>
          <w:vertAlign w:val="baseline"/>
          <w:lang w:val="en-US" w:eastAsia="zh-CN" w:bidi="ar-SA"/>
        </w:rPr>
        <w:t>组织排放大气污染物</w:t>
      </w:r>
      <w:r>
        <w:rPr>
          <w:rFonts w:hint="eastAsia" w:ascii="Times New Roman" w:hAnsi="Times New Roman" w:eastAsia="宋体" w:cs="Times New Roman"/>
          <w:color w:val="auto"/>
          <w:kern w:val="2"/>
          <w:sz w:val="24"/>
          <w:szCs w:val="22"/>
          <w:highlight w:val="none"/>
          <w:vertAlign w:val="baseline"/>
          <w:lang w:val="en-US" w:eastAsia="zh-CN" w:bidi="ar-SA"/>
        </w:rPr>
        <w:t>主要</w:t>
      </w:r>
      <w:r>
        <w:rPr>
          <w:rFonts w:hint="default" w:ascii="Times New Roman" w:hAnsi="Times New Roman" w:eastAsia="宋体" w:cs="Times New Roman"/>
          <w:color w:val="auto"/>
          <w:kern w:val="2"/>
          <w:sz w:val="24"/>
          <w:szCs w:val="22"/>
          <w:highlight w:val="none"/>
          <w:vertAlign w:val="baseline"/>
          <w:lang w:val="en-US" w:eastAsia="zh-CN" w:bidi="ar-SA"/>
        </w:rPr>
        <w:t>为</w:t>
      </w:r>
      <w:r>
        <w:rPr>
          <w:rFonts w:hint="eastAsia" w:ascii="Times New Roman" w:hAnsi="Times New Roman" w:eastAsia="宋体" w:cs="Times New Roman"/>
          <w:color w:val="auto"/>
          <w:kern w:val="2"/>
          <w:sz w:val="24"/>
          <w:szCs w:val="24"/>
          <w:highlight w:val="none"/>
          <w:lang w:val="en-US" w:eastAsia="zh-CN" w:bidi="ar-SA"/>
        </w:rPr>
        <w:t>污水处理站无组织排放恶臭气体</w:t>
      </w:r>
      <w:r>
        <w:rPr>
          <w:rFonts w:hint="eastAsia" w:ascii="Times New Roman" w:hAnsi="Times New Roman" w:eastAsia="宋体" w:cs="Times New Roman"/>
          <w:color w:val="auto"/>
          <w:kern w:val="2"/>
          <w:sz w:val="24"/>
          <w:szCs w:val="22"/>
          <w:highlight w:val="none"/>
          <w:vertAlign w:val="baseline"/>
          <w:lang w:val="en-US" w:eastAsia="zh-CN" w:bidi="ar-SA"/>
        </w:rPr>
        <w:t>。</w:t>
      </w:r>
      <w:r>
        <w:rPr>
          <w:rFonts w:hint="default" w:ascii="Times New Roman" w:hAnsi="Times New Roman" w:eastAsia="宋体" w:cs="Times New Roman"/>
          <w:color w:val="auto"/>
          <w:kern w:val="2"/>
          <w:sz w:val="24"/>
          <w:szCs w:val="22"/>
          <w:highlight w:val="none"/>
          <w:vertAlign w:val="baseline"/>
          <w:lang w:val="en-US" w:eastAsia="zh-CN" w:bidi="ar-SA"/>
        </w:rPr>
        <w:t>利用</w:t>
      </w:r>
      <w:r>
        <w:rPr>
          <w:rFonts w:hint="eastAsia" w:ascii="Times New Roman" w:hAnsi="Times New Roman" w:eastAsia="宋体" w:cs="Times New Roman"/>
          <w:color w:val="auto"/>
          <w:kern w:val="2"/>
          <w:sz w:val="24"/>
          <w:szCs w:val="22"/>
          <w:highlight w:val="none"/>
          <w:vertAlign w:val="baseline"/>
          <w:lang w:val="en-US" w:eastAsia="zh-CN" w:bidi="ar-SA"/>
        </w:rPr>
        <w:t>AER</w:t>
      </w:r>
      <w:r>
        <w:rPr>
          <w:rFonts w:hint="default" w:ascii="Times New Roman" w:hAnsi="Times New Roman" w:eastAsia="宋体" w:cs="Times New Roman"/>
          <w:color w:val="auto"/>
          <w:kern w:val="2"/>
          <w:sz w:val="24"/>
          <w:szCs w:val="22"/>
          <w:highlight w:val="none"/>
          <w:vertAlign w:val="baseline"/>
          <w:lang w:val="en-US" w:eastAsia="zh-CN" w:bidi="ar-SA"/>
        </w:rPr>
        <w:t>SCREEN估算模式对</w:t>
      </w:r>
      <w:r>
        <w:rPr>
          <w:rFonts w:hint="eastAsia" w:ascii="Times New Roman" w:hAnsi="Times New Roman" w:eastAsia="宋体" w:cs="Times New Roman"/>
          <w:color w:val="auto"/>
          <w:kern w:val="2"/>
          <w:sz w:val="24"/>
          <w:szCs w:val="22"/>
          <w:highlight w:val="none"/>
          <w:vertAlign w:val="baseline"/>
          <w:lang w:val="en-US" w:eastAsia="zh-CN" w:bidi="ar-SA"/>
        </w:rPr>
        <w:t>无组织排放源</w:t>
      </w:r>
      <w:r>
        <w:rPr>
          <w:rFonts w:hint="default" w:ascii="Times New Roman" w:hAnsi="Times New Roman" w:eastAsia="宋体" w:cs="Times New Roman"/>
          <w:color w:val="auto"/>
          <w:kern w:val="2"/>
          <w:sz w:val="24"/>
          <w:szCs w:val="22"/>
          <w:highlight w:val="none"/>
          <w:vertAlign w:val="baseline"/>
          <w:lang w:val="en-US" w:eastAsia="zh-CN" w:bidi="ar-SA"/>
        </w:rPr>
        <w:t>进行估算，其估算结果见</w:t>
      </w:r>
      <w:r>
        <w:rPr>
          <w:rFonts w:hint="eastAsia" w:ascii="Times New Roman" w:hAnsi="Times New Roman" w:eastAsia="宋体" w:cs="Times New Roman"/>
          <w:color w:val="auto"/>
          <w:kern w:val="2"/>
          <w:sz w:val="24"/>
          <w:szCs w:val="22"/>
          <w:highlight w:val="none"/>
          <w:vertAlign w:val="baseline"/>
          <w:lang w:val="en-US" w:eastAsia="zh-CN" w:bidi="ar-SA"/>
        </w:rPr>
        <w:t>下表：</w:t>
      </w:r>
    </w:p>
    <w:p w14:paraId="603FD8AE">
      <w:pPr>
        <w:pStyle w:val="31"/>
        <w:jc w:val="both"/>
        <w:rPr>
          <w:rFonts w:hint="eastAsia"/>
          <w:color w:val="auto"/>
          <w:sz w:val="21"/>
          <w:szCs w:val="21"/>
          <w:highlight w:val="none"/>
          <w:lang w:val="zh-CN"/>
        </w:rPr>
      </w:pPr>
      <w:r>
        <w:rPr>
          <w:rFonts w:hint="eastAsia" w:eastAsia="宋体" w:cs="Times New Roman"/>
          <w:b/>
          <w:bCs/>
          <w:color w:val="auto"/>
          <w:kern w:val="2"/>
          <w:sz w:val="21"/>
          <w:szCs w:val="21"/>
          <w:highlight w:val="none"/>
          <w:vertAlign w:val="baseline"/>
          <w:lang w:val="en-US" w:eastAsia="zh-CN" w:bidi="ar-SA"/>
        </w:rPr>
        <w:t>表34              污水处理站恶臭气体</w:t>
      </w:r>
      <w:r>
        <w:rPr>
          <w:rFonts w:hint="eastAsia" w:ascii="Times New Roman" w:hAnsi="Times New Roman" w:eastAsia="宋体" w:cs="Times New Roman"/>
          <w:b/>
          <w:bCs/>
          <w:color w:val="auto"/>
          <w:kern w:val="2"/>
          <w:sz w:val="21"/>
          <w:szCs w:val="21"/>
          <w:highlight w:val="none"/>
          <w:vertAlign w:val="baseline"/>
          <w:lang w:val="en-US" w:eastAsia="zh-CN" w:bidi="ar-SA"/>
        </w:rPr>
        <w:t>排放最大地面浓度占标率估算结果表</w:t>
      </w:r>
    </w:p>
    <w:tbl>
      <w:tblPr>
        <w:tblStyle w:val="25"/>
        <w:tblW w:w="92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2409"/>
        <w:gridCol w:w="1241"/>
        <w:gridCol w:w="2400"/>
        <w:gridCol w:w="1143"/>
      </w:tblGrid>
      <w:tr w14:paraId="420313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3" w:type="dxa"/>
            <w:vMerge w:val="restart"/>
            <w:tcBorders>
              <w:tl2br w:val="nil"/>
              <w:tr2bl w:val="nil"/>
            </w:tcBorders>
            <w:noWrap w:val="0"/>
            <w:vAlign w:val="center"/>
          </w:tcPr>
          <w:p w14:paraId="235ED06E">
            <w:pPr>
              <w:tabs>
                <w:tab w:val="left" w:pos="674"/>
                <w:tab w:val="left" w:pos="6300"/>
              </w:tabs>
              <w:adjustRightInd w:val="0"/>
              <w:snapToGrid w:val="0"/>
              <w:jc w:val="center"/>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下风向距离</w:t>
            </w:r>
            <w:r>
              <w:rPr>
                <w:rFonts w:hint="eastAsia" w:ascii="Times New Roman" w:hAnsi="Times New Roman" w:cs="Times New Roman"/>
                <w:color w:val="auto"/>
                <w:sz w:val="21"/>
                <w:szCs w:val="21"/>
                <w:highlight w:val="none"/>
                <w:lang w:val="en-US" w:eastAsia="zh-CN"/>
              </w:rPr>
              <w:t>/</w:t>
            </w:r>
            <w:r>
              <w:rPr>
                <w:rFonts w:ascii="Times New Roman" w:hAnsi="Times New Roman" w:cs="Times New Roman"/>
                <w:color w:val="auto"/>
                <w:sz w:val="21"/>
                <w:szCs w:val="21"/>
                <w:highlight w:val="none"/>
                <w:lang w:eastAsia="zh-CN"/>
              </w:rPr>
              <w:t>（m）</w:t>
            </w:r>
          </w:p>
        </w:tc>
        <w:tc>
          <w:tcPr>
            <w:tcW w:w="3650" w:type="dxa"/>
            <w:gridSpan w:val="2"/>
            <w:tcBorders>
              <w:tl2br w:val="nil"/>
              <w:tr2bl w:val="nil"/>
            </w:tcBorders>
            <w:noWrap w:val="0"/>
            <w:vAlign w:val="center"/>
          </w:tcPr>
          <w:p w14:paraId="3CBD04CF">
            <w:pPr>
              <w:tabs>
                <w:tab w:val="left" w:pos="674"/>
                <w:tab w:val="left" w:pos="6300"/>
              </w:tabs>
              <w:adjustRightInd w:val="0"/>
              <w:snapToGrid w:val="0"/>
              <w:jc w:val="center"/>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NH</w:t>
            </w:r>
            <w:r>
              <w:rPr>
                <w:rFonts w:hint="eastAsia" w:cs="Times New Roman"/>
                <w:color w:val="auto"/>
                <w:sz w:val="21"/>
                <w:szCs w:val="21"/>
                <w:highlight w:val="none"/>
                <w:vertAlign w:val="subscript"/>
                <w:lang w:val="en-US" w:eastAsia="zh-CN"/>
              </w:rPr>
              <w:t>3</w:t>
            </w:r>
          </w:p>
        </w:tc>
        <w:tc>
          <w:tcPr>
            <w:tcW w:w="3543" w:type="dxa"/>
            <w:gridSpan w:val="2"/>
            <w:tcBorders>
              <w:tl2br w:val="nil"/>
              <w:tr2bl w:val="nil"/>
            </w:tcBorders>
            <w:noWrap w:val="0"/>
            <w:vAlign w:val="center"/>
          </w:tcPr>
          <w:p w14:paraId="6C526F6E">
            <w:pPr>
              <w:tabs>
                <w:tab w:val="left" w:pos="674"/>
                <w:tab w:val="left" w:pos="6300"/>
              </w:tabs>
              <w:adjustRightInd w:val="0"/>
              <w:snapToGrid w:val="0"/>
              <w:jc w:val="center"/>
              <w:rPr>
                <w:rFonts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H</w:t>
            </w:r>
            <w:r>
              <w:rPr>
                <w:rFonts w:hint="eastAsia" w:cs="Times New Roman"/>
                <w:color w:val="auto"/>
                <w:sz w:val="21"/>
                <w:szCs w:val="21"/>
                <w:highlight w:val="none"/>
                <w:vertAlign w:val="subscript"/>
                <w:lang w:val="en-US" w:eastAsia="zh-CN"/>
              </w:rPr>
              <w:t>2</w:t>
            </w:r>
            <w:r>
              <w:rPr>
                <w:rFonts w:hint="eastAsia" w:cs="Times New Roman"/>
                <w:color w:val="auto"/>
                <w:sz w:val="21"/>
                <w:szCs w:val="21"/>
                <w:highlight w:val="none"/>
                <w:lang w:val="en-US" w:eastAsia="zh-CN"/>
              </w:rPr>
              <w:t>S</w:t>
            </w:r>
          </w:p>
        </w:tc>
      </w:tr>
      <w:tr w14:paraId="585548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3" w:type="dxa"/>
            <w:vMerge w:val="continue"/>
            <w:tcBorders>
              <w:tl2br w:val="nil"/>
              <w:tr2bl w:val="nil"/>
            </w:tcBorders>
            <w:noWrap w:val="0"/>
            <w:vAlign w:val="center"/>
          </w:tcPr>
          <w:p w14:paraId="153FC25B">
            <w:pPr>
              <w:tabs>
                <w:tab w:val="left" w:pos="674"/>
                <w:tab w:val="left" w:pos="6300"/>
              </w:tabs>
              <w:adjustRightInd w:val="0"/>
              <w:snapToGrid w:val="0"/>
              <w:jc w:val="center"/>
              <w:rPr>
                <w:rFonts w:ascii="Times New Roman" w:hAnsi="Times New Roman" w:cs="Times New Roman"/>
                <w:color w:val="auto"/>
                <w:sz w:val="21"/>
                <w:szCs w:val="21"/>
                <w:highlight w:val="none"/>
                <w:lang w:eastAsia="zh-CN"/>
              </w:rPr>
            </w:pPr>
          </w:p>
        </w:tc>
        <w:tc>
          <w:tcPr>
            <w:tcW w:w="2409" w:type="dxa"/>
            <w:tcBorders>
              <w:tl2br w:val="nil"/>
              <w:tr2bl w:val="nil"/>
            </w:tcBorders>
            <w:noWrap w:val="0"/>
            <w:vAlign w:val="center"/>
          </w:tcPr>
          <w:p w14:paraId="3C8E0327">
            <w:pPr>
              <w:tabs>
                <w:tab w:val="left" w:pos="674"/>
                <w:tab w:val="left" w:pos="6300"/>
              </w:tabs>
              <w:adjustRightInd w:val="0"/>
              <w:snapToGrid w:val="0"/>
              <w:jc w:val="both"/>
              <w:rPr>
                <w:rFonts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预测质量浓度</w:t>
            </w:r>
            <w:r>
              <w:rPr>
                <w:rFonts w:ascii="Times New Roman" w:hAnsi="Times New Roman" w:cs="Times New Roman"/>
                <w:color w:val="auto"/>
                <w:sz w:val="21"/>
                <w:szCs w:val="21"/>
                <w:highlight w:val="none"/>
                <w:lang w:eastAsia="zh-CN"/>
              </w:rPr>
              <w:t>（mg/m</w:t>
            </w:r>
            <w:r>
              <w:rPr>
                <w:rFonts w:ascii="Times New Roman" w:hAnsi="Times New Roman" w:cs="Times New Roman"/>
                <w:color w:val="auto"/>
                <w:sz w:val="21"/>
                <w:szCs w:val="21"/>
                <w:highlight w:val="none"/>
                <w:vertAlign w:val="superscript"/>
                <w:lang w:eastAsia="zh-CN"/>
              </w:rPr>
              <w:t>3</w:t>
            </w:r>
            <w:r>
              <w:rPr>
                <w:rFonts w:ascii="Times New Roman" w:hAnsi="Times New Roman" w:cs="Times New Roman"/>
                <w:color w:val="auto"/>
                <w:sz w:val="21"/>
                <w:szCs w:val="21"/>
                <w:highlight w:val="none"/>
                <w:lang w:eastAsia="zh-CN"/>
              </w:rPr>
              <w:t>）</w:t>
            </w:r>
          </w:p>
        </w:tc>
        <w:tc>
          <w:tcPr>
            <w:tcW w:w="1241" w:type="dxa"/>
            <w:tcBorders>
              <w:tl2br w:val="nil"/>
              <w:tr2bl w:val="nil"/>
            </w:tcBorders>
            <w:noWrap w:val="0"/>
            <w:vAlign w:val="center"/>
          </w:tcPr>
          <w:p w14:paraId="3F0E7EB4">
            <w:pPr>
              <w:tabs>
                <w:tab w:val="left" w:pos="674"/>
                <w:tab w:val="left" w:pos="6300"/>
              </w:tabs>
              <w:adjustRightInd w:val="0"/>
              <w:snapToGrid w:val="0"/>
              <w:jc w:val="center"/>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占标率</w:t>
            </w:r>
            <w:r>
              <w:rPr>
                <w:rFonts w:hint="eastAsia" w:ascii="Times New Roman" w:hAnsi="Times New Roman" w:cs="Times New Roman"/>
                <w:color w:val="auto"/>
                <w:sz w:val="21"/>
                <w:szCs w:val="21"/>
                <w:highlight w:val="none"/>
                <w:lang w:val="en-US" w:eastAsia="zh-CN"/>
              </w:rPr>
              <w:t>/</w:t>
            </w:r>
            <w:r>
              <w:rPr>
                <w:rFonts w:ascii="Times New Roman" w:hAnsi="Times New Roman" w:cs="Times New Roman"/>
                <w:color w:val="auto"/>
                <w:sz w:val="21"/>
                <w:szCs w:val="21"/>
                <w:highlight w:val="none"/>
                <w:lang w:eastAsia="zh-CN"/>
              </w:rPr>
              <w:t>%</w:t>
            </w:r>
          </w:p>
        </w:tc>
        <w:tc>
          <w:tcPr>
            <w:tcW w:w="2400" w:type="dxa"/>
            <w:tcBorders>
              <w:tl2br w:val="nil"/>
              <w:tr2bl w:val="nil"/>
            </w:tcBorders>
            <w:noWrap w:val="0"/>
            <w:vAlign w:val="center"/>
          </w:tcPr>
          <w:p w14:paraId="6C9A1E2B">
            <w:pPr>
              <w:tabs>
                <w:tab w:val="left" w:pos="674"/>
                <w:tab w:val="left" w:pos="6300"/>
              </w:tabs>
              <w:adjustRightInd w:val="0"/>
              <w:snapToGrid w:val="0"/>
              <w:jc w:val="both"/>
              <w:rPr>
                <w:rFonts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预测质量浓度</w:t>
            </w:r>
            <w:r>
              <w:rPr>
                <w:rFonts w:ascii="Times New Roman" w:hAnsi="Times New Roman" w:cs="Times New Roman"/>
                <w:color w:val="auto"/>
                <w:sz w:val="21"/>
                <w:szCs w:val="21"/>
                <w:highlight w:val="none"/>
                <w:lang w:eastAsia="zh-CN"/>
              </w:rPr>
              <w:t>（mg/m</w:t>
            </w:r>
            <w:r>
              <w:rPr>
                <w:rFonts w:ascii="Times New Roman" w:hAnsi="Times New Roman" w:cs="Times New Roman"/>
                <w:color w:val="auto"/>
                <w:sz w:val="21"/>
                <w:szCs w:val="21"/>
                <w:highlight w:val="none"/>
                <w:vertAlign w:val="superscript"/>
                <w:lang w:eastAsia="zh-CN"/>
              </w:rPr>
              <w:t>3</w:t>
            </w:r>
            <w:r>
              <w:rPr>
                <w:rFonts w:ascii="Times New Roman" w:hAnsi="Times New Roman" w:cs="Times New Roman"/>
                <w:color w:val="auto"/>
                <w:sz w:val="21"/>
                <w:szCs w:val="21"/>
                <w:highlight w:val="none"/>
                <w:lang w:eastAsia="zh-CN"/>
              </w:rPr>
              <w:t>）</w:t>
            </w:r>
          </w:p>
        </w:tc>
        <w:tc>
          <w:tcPr>
            <w:tcW w:w="1143" w:type="dxa"/>
            <w:tcBorders>
              <w:tl2br w:val="nil"/>
              <w:tr2bl w:val="nil"/>
            </w:tcBorders>
            <w:noWrap w:val="0"/>
            <w:vAlign w:val="center"/>
          </w:tcPr>
          <w:p w14:paraId="5DF0DBCB">
            <w:pPr>
              <w:tabs>
                <w:tab w:val="left" w:pos="674"/>
                <w:tab w:val="left" w:pos="6300"/>
              </w:tabs>
              <w:adjustRightInd w:val="0"/>
              <w:snapToGrid w:val="0"/>
              <w:jc w:val="center"/>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占标率</w:t>
            </w:r>
            <w:r>
              <w:rPr>
                <w:rFonts w:hint="eastAsia" w:ascii="Times New Roman" w:hAnsi="Times New Roman" w:cs="Times New Roman"/>
                <w:color w:val="auto"/>
                <w:sz w:val="21"/>
                <w:szCs w:val="21"/>
                <w:highlight w:val="none"/>
                <w:lang w:val="en-US" w:eastAsia="zh-CN"/>
              </w:rPr>
              <w:t>/</w:t>
            </w:r>
            <w:r>
              <w:rPr>
                <w:rFonts w:ascii="Times New Roman" w:hAnsi="Times New Roman" w:cs="Times New Roman"/>
                <w:color w:val="auto"/>
                <w:sz w:val="21"/>
                <w:szCs w:val="21"/>
                <w:highlight w:val="none"/>
                <w:lang w:eastAsia="zh-CN"/>
              </w:rPr>
              <w:t>%</w:t>
            </w:r>
          </w:p>
        </w:tc>
      </w:tr>
      <w:tr w14:paraId="32719E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2093" w:type="dxa"/>
            <w:tcBorders>
              <w:tl2br w:val="nil"/>
              <w:tr2bl w:val="nil"/>
            </w:tcBorders>
            <w:noWrap w:val="0"/>
            <w:vAlign w:val="center"/>
          </w:tcPr>
          <w:p w14:paraId="0CAF982A">
            <w:pPr>
              <w:tabs>
                <w:tab w:val="left" w:pos="674"/>
                <w:tab w:val="left" w:pos="6300"/>
              </w:tabs>
              <w:adjustRightInd w:val="0"/>
              <w:snapToGrid w:val="0"/>
              <w:jc w:val="center"/>
              <w:rPr>
                <w:rFonts w:ascii="Times New Roman" w:hAnsi="Times New Roman" w:cs="Times New Roman"/>
                <w:b w:val="0"/>
                <w:bCs w:val="0"/>
                <w:color w:val="auto"/>
                <w:sz w:val="21"/>
                <w:szCs w:val="21"/>
                <w:highlight w:val="none"/>
                <w:lang w:eastAsia="zh-CN"/>
              </w:rPr>
            </w:pPr>
            <w:r>
              <w:rPr>
                <w:rFonts w:hint="eastAsia" w:ascii="Times New Roman" w:hAnsi="Times New Roman" w:cs="Times New Roman"/>
                <w:b w:val="0"/>
                <w:bCs w:val="0"/>
                <w:color w:val="auto"/>
                <w:sz w:val="21"/>
                <w:szCs w:val="21"/>
                <w:highlight w:val="none"/>
                <w:lang w:val="en-US" w:eastAsia="zh-CN"/>
              </w:rPr>
              <w:t>1</w:t>
            </w:r>
          </w:p>
        </w:tc>
        <w:tc>
          <w:tcPr>
            <w:tcW w:w="2409" w:type="dxa"/>
            <w:tcBorders>
              <w:tl2br w:val="nil"/>
              <w:tr2bl w:val="nil"/>
            </w:tcBorders>
            <w:noWrap w:val="0"/>
            <w:vAlign w:val="center"/>
          </w:tcPr>
          <w:p w14:paraId="1D1F5DB7">
            <w:pPr>
              <w:tabs>
                <w:tab w:val="left" w:pos="674"/>
                <w:tab w:val="left" w:pos="6300"/>
              </w:tabs>
              <w:adjustRightInd w:val="0"/>
              <w:snapToGrid w:val="0"/>
              <w:jc w:val="center"/>
              <w:rPr>
                <w:rFonts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1.87E-03</w:t>
            </w:r>
          </w:p>
        </w:tc>
        <w:tc>
          <w:tcPr>
            <w:tcW w:w="1241" w:type="dxa"/>
            <w:tcBorders>
              <w:tl2br w:val="nil"/>
              <w:tr2bl w:val="nil"/>
            </w:tcBorders>
            <w:noWrap w:val="0"/>
            <w:vAlign w:val="center"/>
          </w:tcPr>
          <w:p w14:paraId="6BC16C1C">
            <w:pPr>
              <w:tabs>
                <w:tab w:val="left" w:pos="674"/>
                <w:tab w:val="left" w:pos="6300"/>
              </w:tabs>
              <w:adjustRightInd w:val="0"/>
              <w:snapToGrid w:val="0"/>
              <w:jc w:val="center"/>
              <w:rPr>
                <w:rFonts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0.93</w:t>
            </w:r>
          </w:p>
        </w:tc>
        <w:tc>
          <w:tcPr>
            <w:tcW w:w="2400" w:type="dxa"/>
            <w:tcBorders>
              <w:tl2br w:val="nil"/>
              <w:tr2bl w:val="nil"/>
            </w:tcBorders>
            <w:noWrap w:val="0"/>
            <w:vAlign w:val="center"/>
          </w:tcPr>
          <w:p w14:paraId="7E50BCDA">
            <w:pPr>
              <w:adjustRightInd w:val="0"/>
              <w:snapToGrid w:val="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6.60E-05</w:t>
            </w:r>
          </w:p>
        </w:tc>
        <w:tc>
          <w:tcPr>
            <w:tcW w:w="1143" w:type="dxa"/>
            <w:tcBorders>
              <w:tl2br w:val="nil"/>
              <w:tr2bl w:val="nil"/>
            </w:tcBorders>
            <w:noWrap w:val="0"/>
            <w:vAlign w:val="center"/>
          </w:tcPr>
          <w:p w14:paraId="676A7CE4">
            <w:pPr>
              <w:tabs>
                <w:tab w:val="left" w:pos="674"/>
                <w:tab w:val="left" w:pos="6300"/>
              </w:tabs>
              <w:adjustRightInd w:val="0"/>
              <w:snapToGrid w:val="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0.66</w:t>
            </w:r>
          </w:p>
        </w:tc>
      </w:tr>
      <w:tr w14:paraId="670994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093" w:type="dxa"/>
            <w:tcBorders>
              <w:tl2br w:val="nil"/>
              <w:tr2bl w:val="nil"/>
            </w:tcBorders>
            <w:noWrap w:val="0"/>
            <w:vAlign w:val="center"/>
          </w:tcPr>
          <w:p w14:paraId="6657E6EE">
            <w:pPr>
              <w:tabs>
                <w:tab w:val="left" w:pos="674"/>
                <w:tab w:val="left" w:pos="6300"/>
              </w:tabs>
              <w:adjustRightInd w:val="0"/>
              <w:snapToGrid w:val="0"/>
              <w:jc w:val="center"/>
              <w:rPr>
                <w:rFonts w:ascii="Times New Roman" w:hAnsi="Times New Roman"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4</w:t>
            </w:r>
          </w:p>
        </w:tc>
        <w:tc>
          <w:tcPr>
            <w:tcW w:w="2409" w:type="dxa"/>
            <w:tcBorders>
              <w:tl2br w:val="nil"/>
              <w:tr2bl w:val="nil"/>
            </w:tcBorders>
            <w:noWrap w:val="0"/>
            <w:vAlign w:val="center"/>
          </w:tcPr>
          <w:p w14:paraId="23B65AE6">
            <w:pPr>
              <w:tabs>
                <w:tab w:val="left" w:pos="674"/>
                <w:tab w:val="left" w:pos="6300"/>
              </w:tabs>
              <w:adjustRightInd w:val="0"/>
              <w:snapToGrid w:val="0"/>
              <w:jc w:val="center"/>
              <w:rPr>
                <w:rFonts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2.94E-03</w:t>
            </w:r>
          </w:p>
        </w:tc>
        <w:tc>
          <w:tcPr>
            <w:tcW w:w="1241" w:type="dxa"/>
            <w:tcBorders>
              <w:tl2br w:val="nil"/>
              <w:tr2bl w:val="nil"/>
            </w:tcBorders>
            <w:noWrap w:val="0"/>
            <w:vAlign w:val="center"/>
          </w:tcPr>
          <w:p w14:paraId="50BE4864">
            <w:pPr>
              <w:tabs>
                <w:tab w:val="left" w:pos="674"/>
                <w:tab w:val="left" w:pos="6300"/>
              </w:tabs>
              <w:adjustRightInd w:val="0"/>
              <w:snapToGrid w:val="0"/>
              <w:jc w:val="center"/>
              <w:rPr>
                <w:rFonts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1.47</w:t>
            </w:r>
          </w:p>
        </w:tc>
        <w:tc>
          <w:tcPr>
            <w:tcW w:w="2400" w:type="dxa"/>
            <w:tcBorders>
              <w:tl2br w:val="nil"/>
              <w:tr2bl w:val="nil"/>
            </w:tcBorders>
            <w:noWrap w:val="0"/>
            <w:vAlign w:val="center"/>
          </w:tcPr>
          <w:p w14:paraId="5D3898EB">
            <w:pPr>
              <w:adjustRightInd w:val="0"/>
              <w:snapToGrid w:val="0"/>
              <w:jc w:val="center"/>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1.04E-04</w:t>
            </w:r>
          </w:p>
        </w:tc>
        <w:tc>
          <w:tcPr>
            <w:tcW w:w="1143" w:type="dxa"/>
            <w:tcBorders>
              <w:tl2br w:val="nil"/>
              <w:tr2bl w:val="nil"/>
            </w:tcBorders>
            <w:noWrap w:val="0"/>
            <w:vAlign w:val="center"/>
          </w:tcPr>
          <w:p w14:paraId="20BE114A">
            <w:pPr>
              <w:tabs>
                <w:tab w:val="left" w:pos="674"/>
                <w:tab w:val="left" w:pos="6300"/>
              </w:tabs>
              <w:adjustRightInd w:val="0"/>
              <w:snapToGrid w:val="0"/>
              <w:jc w:val="center"/>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1.04</w:t>
            </w:r>
          </w:p>
        </w:tc>
      </w:tr>
      <w:tr w14:paraId="0411A2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2093" w:type="dxa"/>
            <w:tcBorders>
              <w:tl2br w:val="nil"/>
              <w:tr2bl w:val="nil"/>
            </w:tcBorders>
            <w:noWrap w:val="0"/>
            <w:vAlign w:val="center"/>
          </w:tcPr>
          <w:p w14:paraId="1C353399">
            <w:pPr>
              <w:tabs>
                <w:tab w:val="left" w:pos="674"/>
                <w:tab w:val="left" w:pos="6300"/>
              </w:tabs>
              <w:adjustRightInd w:val="0"/>
              <w:snapToGrid w:val="0"/>
              <w:jc w:val="center"/>
              <w:rPr>
                <w:rFonts w:hint="eastAsia" w:cs="Times New Roman"/>
                <w:b/>
                <w:bCs/>
                <w:color w:val="auto"/>
                <w:sz w:val="21"/>
                <w:szCs w:val="21"/>
                <w:highlight w:val="none"/>
                <w:lang w:val="en-US" w:eastAsia="zh-CN"/>
              </w:rPr>
            </w:pPr>
            <w:r>
              <w:rPr>
                <w:rFonts w:hint="eastAsia" w:cs="Times New Roman"/>
                <w:b w:val="0"/>
                <w:bCs w:val="0"/>
                <w:color w:val="auto"/>
                <w:sz w:val="21"/>
                <w:szCs w:val="21"/>
                <w:highlight w:val="none"/>
                <w:lang w:val="en-US" w:eastAsia="zh-CN"/>
              </w:rPr>
              <w:t>25</w:t>
            </w:r>
          </w:p>
        </w:tc>
        <w:tc>
          <w:tcPr>
            <w:tcW w:w="2409" w:type="dxa"/>
            <w:tcBorders>
              <w:tl2br w:val="nil"/>
              <w:tr2bl w:val="nil"/>
            </w:tcBorders>
            <w:noWrap w:val="0"/>
            <w:vAlign w:val="center"/>
          </w:tcPr>
          <w:p w14:paraId="6F21797B">
            <w:pPr>
              <w:tabs>
                <w:tab w:val="left" w:pos="674"/>
                <w:tab w:val="left" w:pos="6300"/>
              </w:tabs>
              <w:adjustRightInd w:val="0"/>
              <w:snapToGrid w:val="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1.36E-03</w:t>
            </w:r>
          </w:p>
        </w:tc>
        <w:tc>
          <w:tcPr>
            <w:tcW w:w="1241" w:type="dxa"/>
            <w:tcBorders>
              <w:tl2br w:val="nil"/>
              <w:tr2bl w:val="nil"/>
            </w:tcBorders>
            <w:noWrap w:val="0"/>
            <w:vAlign w:val="center"/>
          </w:tcPr>
          <w:p w14:paraId="7DD85D15">
            <w:pPr>
              <w:tabs>
                <w:tab w:val="left" w:pos="674"/>
                <w:tab w:val="left" w:pos="6300"/>
              </w:tabs>
              <w:adjustRightInd w:val="0"/>
              <w:snapToGrid w:val="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0.68</w:t>
            </w:r>
          </w:p>
        </w:tc>
        <w:tc>
          <w:tcPr>
            <w:tcW w:w="2400" w:type="dxa"/>
            <w:tcBorders>
              <w:tl2br w:val="nil"/>
              <w:tr2bl w:val="nil"/>
            </w:tcBorders>
            <w:noWrap w:val="0"/>
            <w:vAlign w:val="center"/>
          </w:tcPr>
          <w:p w14:paraId="6F63734B">
            <w:pPr>
              <w:adjustRightInd w:val="0"/>
              <w:snapToGrid w:val="0"/>
              <w:jc w:val="center"/>
              <w:rPr>
                <w:rFonts w:hint="eastAsia"/>
                <w:b w:val="0"/>
                <w:bCs w:val="0"/>
                <w:color w:val="auto"/>
                <w:highlight w:val="none"/>
              </w:rPr>
            </w:pPr>
            <w:r>
              <w:rPr>
                <w:rFonts w:hint="eastAsia"/>
                <w:b w:val="0"/>
                <w:bCs w:val="0"/>
                <w:color w:val="auto"/>
                <w:highlight w:val="none"/>
              </w:rPr>
              <w:t>4.82E-05</w:t>
            </w:r>
          </w:p>
        </w:tc>
        <w:tc>
          <w:tcPr>
            <w:tcW w:w="1143" w:type="dxa"/>
            <w:tcBorders>
              <w:tl2br w:val="nil"/>
              <w:tr2bl w:val="nil"/>
            </w:tcBorders>
            <w:noWrap w:val="0"/>
            <w:vAlign w:val="center"/>
          </w:tcPr>
          <w:p w14:paraId="4446A5C0">
            <w:pPr>
              <w:tabs>
                <w:tab w:val="left" w:pos="674"/>
                <w:tab w:val="left" w:pos="6300"/>
              </w:tabs>
              <w:adjustRightInd w:val="0"/>
              <w:snapToGrid w:val="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0.48</w:t>
            </w:r>
          </w:p>
        </w:tc>
      </w:tr>
      <w:tr w14:paraId="592012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2093" w:type="dxa"/>
            <w:tcBorders>
              <w:tl2br w:val="nil"/>
              <w:tr2bl w:val="nil"/>
            </w:tcBorders>
            <w:noWrap w:val="0"/>
            <w:vAlign w:val="center"/>
          </w:tcPr>
          <w:p w14:paraId="1AF0320F">
            <w:pPr>
              <w:tabs>
                <w:tab w:val="left" w:pos="674"/>
                <w:tab w:val="left" w:pos="6300"/>
              </w:tabs>
              <w:adjustRightInd w:val="0"/>
              <w:snapToGrid w:val="0"/>
              <w:jc w:val="center"/>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100</w:t>
            </w:r>
          </w:p>
        </w:tc>
        <w:tc>
          <w:tcPr>
            <w:tcW w:w="2409" w:type="dxa"/>
            <w:tcBorders>
              <w:tl2br w:val="nil"/>
              <w:tr2bl w:val="nil"/>
            </w:tcBorders>
            <w:noWrap w:val="0"/>
            <w:vAlign w:val="center"/>
          </w:tcPr>
          <w:p w14:paraId="231BDE58">
            <w:pPr>
              <w:tabs>
                <w:tab w:val="left" w:pos="674"/>
                <w:tab w:val="left" w:pos="6300"/>
              </w:tabs>
              <w:adjustRightInd w:val="0"/>
              <w:snapToGrid w:val="0"/>
              <w:jc w:val="center"/>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3.32E-04</w:t>
            </w:r>
          </w:p>
        </w:tc>
        <w:tc>
          <w:tcPr>
            <w:tcW w:w="1241" w:type="dxa"/>
            <w:tcBorders>
              <w:tl2br w:val="nil"/>
              <w:tr2bl w:val="nil"/>
            </w:tcBorders>
            <w:noWrap w:val="0"/>
            <w:vAlign w:val="center"/>
          </w:tcPr>
          <w:p w14:paraId="5E22C6D3">
            <w:pPr>
              <w:tabs>
                <w:tab w:val="left" w:pos="674"/>
                <w:tab w:val="left" w:pos="6300"/>
              </w:tabs>
              <w:adjustRightInd w:val="0"/>
              <w:snapToGrid w:val="0"/>
              <w:jc w:val="center"/>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0.17</w:t>
            </w:r>
          </w:p>
        </w:tc>
        <w:tc>
          <w:tcPr>
            <w:tcW w:w="2400" w:type="dxa"/>
            <w:tcBorders>
              <w:tl2br w:val="nil"/>
              <w:tr2bl w:val="nil"/>
            </w:tcBorders>
            <w:noWrap w:val="0"/>
            <w:vAlign w:val="center"/>
          </w:tcPr>
          <w:p w14:paraId="709AEAC0">
            <w:pPr>
              <w:tabs>
                <w:tab w:val="left" w:pos="674"/>
                <w:tab w:val="left" w:pos="6300"/>
              </w:tabs>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1.17E-05</w:t>
            </w:r>
          </w:p>
        </w:tc>
        <w:tc>
          <w:tcPr>
            <w:tcW w:w="1143" w:type="dxa"/>
            <w:tcBorders>
              <w:tl2br w:val="nil"/>
              <w:tr2bl w:val="nil"/>
            </w:tcBorders>
            <w:noWrap w:val="0"/>
            <w:vAlign w:val="center"/>
          </w:tcPr>
          <w:p w14:paraId="76A41487">
            <w:pPr>
              <w:tabs>
                <w:tab w:val="left" w:pos="674"/>
                <w:tab w:val="left" w:pos="6300"/>
              </w:tabs>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0.12</w:t>
            </w:r>
          </w:p>
        </w:tc>
      </w:tr>
      <w:tr w14:paraId="24B3EE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93" w:type="dxa"/>
            <w:tcBorders>
              <w:tl2br w:val="nil"/>
              <w:tr2bl w:val="nil"/>
            </w:tcBorders>
            <w:noWrap w:val="0"/>
            <w:vAlign w:val="center"/>
          </w:tcPr>
          <w:p w14:paraId="6EDC4DD3">
            <w:pPr>
              <w:tabs>
                <w:tab w:val="left" w:pos="674"/>
                <w:tab w:val="left" w:pos="6300"/>
              </w:tabs>
              <w:adjustRightInd w:val="0"/>
              <w:snapToGrid w:val="0"/>
              <w:jc w:val="center"/>
              <w:rPr>
                <w:rFonts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200</w:t>
            </w:r>
          </w:p>
        </w:tc>
        <w:tc>
          <w:tcPr>
            <w:tcW w:w="2409" w:type="dxa"/>
            <w:tcBorders>
              <w:tl2br w:val="nil"/>
              <w:tr2bl w:val="nil"/>
            </w:tcBorders>
            <w:noWrap w:val="0"/>
            <w:vAlign w:val="center"/>
          </w:tcPr>
          <w:p w14:paraId="4E7A66B6">
            <w:pPr>
              <w:tabs>
                <w:tab w:val="left" w:pos="674"/>
                <w:tab w:val="left" w:pos="6300"/>
              </w:tabs>
              <w:adjustRightInd w:val="0"/>
              <w:snapToGrid w:val="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1.33E-04</w:t>
            </w:r>
          </w:p>
        </w:tc>
        <w:tc>
          <w:tcPr>
            <w:tcW w:w="1241" w:type="dxa"/>
            <w:tcBorders>
              <w:tl2br w:val="nil"/>
              <w:tr2bl w:val="nil"/>
            </w:tcBorders>
            <w:noWrap w:val="0"/>
            <w:vAlign w:val="center"/>
          </w:tcPr>
          <w:p w14:paraId="58398D9E">
            <w:pPr>
              <w:tabs>
                <w:tab w:val="left" w:pos="674"/>
                <w:tab w:val="left" w:pos="6300"/>
              </w:tabs>
              <w:adjustRightInd w:val="0"/>
              <w:snapToGrid w:val="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0.07</w:t>
            </w:r>
          </w:p>
        </w:tc>
        <w:tc>
          <w:tcPr>
            <w:tcW w:w="2400" w:type="dxa"/>
            <w:tcBorders>
              <w:tl2br w:val="nil"/>
              <w:tr2bl w:val="nil"/>
            </w:tcBorders>
            <w:noWrap w:val="0"/>
            <w:vAlign w:val="center"/>
          </w:tcPr>
          <w:p w14:paraId="58004163">
            <w:pPr>
              <w:tabs>
                <w:tab w:val="left" w:pos="674"/>
                <w:tab w:val="left" w:pos="6300"/>
              </w:tabs>
              <w:adjustRightInd w:val="0"/>
              <w:snapToGrid w:val="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4.71E-06</w:t>
            </w:r>
          </w:p>
        </w:tc>
        <w:tc>
          <w:tcPr>
            <w:tcW w:w="1143" w:type="dxa"/>
            <w:tcBorders>
              <w:tl2br w:val="nil"/>
              <w:tr2bl w:val="nil"/>
            </w:tcBorders>
            <w:noWrap w:val="0"/>
            <w:vAlign w:val="center"/>
          </w:tcPr>
          <w:p w14:paraId="114DFA7B">
            <w:pPr>
              <w:tabs>
                <w:tab w:val="left" w:pos="674"/>
                <w:tab w:val="left" w:pos="6300"/>
              </w:tabs>
              <w:adjustRightInd w:val="0"/>
              <w:snapToGrid w:val="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0.05</w:t>
            </w:r>
          </w:p>
        </w:tc>
      </w:tr>
      <w:tr w14:paraId="1894EE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2093" w:type="dxa"/>
            <w:tcBorders>
              <w:tl2br w:val="nil"/>
              <w:tr2bl w:val="nil"/>
            </w:tcBorders>
            <w:noWrap w:val="0"/>
            <w:vAlign w:val="center"/>
          </w:tcPr>
          <w:p w14:paraId="4925E3D7">
            <w:pPr>
              <w:tabs>
                <w:tab w:val="left" w:pos="674"/>
                <w:tab w:val="left" w:pos="6300"/>
              </w:tabs>
              <w:adjustRightInd w:val="0"/>
              <w:snapToGrid w:val="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300</w:t>
            </w:r>
          </w:p>
        </w:tc>
        <w:tc>
          <w:tcPr>
            <w:tcW w:w="2409" w:type="dxa"/>
            <w:tcBorders>
              <w:tl2br w:val="nil"/>
              <w:tr2bl w:val="nil"/>
            </w:tcBorders>
            <w:noWrap w:val="0"/>
            <w:vAlign w:val="center"/>
          </w:tcPr>
          <w:p w14:paraId="63822E85">
            <w:pPr>
              <w:tabs>
                <w:tab w:val="left" w:pos="674"/>
                <w:tab w:val="left" w:pos="6300"/>
              </w:tabs>
              <w:adjustRightInd w:val="0"/>
              <w:snapToGrid w:val="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7.71E-05</w:t>
            </w:r>
          </w:p>
        </w:tc>
        <w:tc>
          <w:tcPr>
            <w:tcW w:w="1241" w:type="dxa"/>
            <w:tcBorders>
              <w:tl2br w:val="nil"/>
              <w:tr2bl w:val="nil"/>
            </w:tcBorders>
            <w:noWrap w:val="0"/>
            <w:vAlign w:val="center"/>
          </w:tcPr>
          <w:p w14:paraId="3735D431">
            <w:pPr>
              <w:tabs>
                <w:tab w:val="left" w:pos="674"/>
                <w:tab w:val="left" w:pos="6300"/>
              </w:tabs>
              <w:adjustRightInd w:val="0"/>
              <w:snapToGrid w:val="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0.04</w:t>
            </w:r>
          </w:p>
        </w:tc>
        <w:tc>
          <w:tcPr>
            <w:tcW w:w="2400" w:type="dxa"/>
            <w:tcBorders>
              <w:tl2br w:val="nil"/>
              <w:tr2bl w:val="nil"/>
            </w:tcBorders>
            <w:noWrap w:val="0"/>
            <w:vAlign w:val="center"/>
          </w:tcPr>
          <w:p w14:paraId="5D64FEA6">
            <w:pPr>
              <w:tabs>
                <w:tab w:val="left" w:pos="674"/>
                <w:tab w:val="left" w:pos="6300"/>
              </w:tabs>
              <w:adjustRightInd w:val="0"/>
              <w:snapToGrid w:val="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2.73E-06</w:t>
            </w:r>
          </w:p>
        </w:tc>
        <w:tc>
          <w:tcPr>
            <w:tcW w:w="1143" w:type="dxa"/>
            <w:tcBorders>
              <w:tl2br w:val="nil"/>
              <w:tr2bl w:val="nil"/>
            </w:tcBorders>
            <w:noWrap w:val="0"/>
            <w:vAlign w:val="center"/>
          </w:tcPr>
          <w:p w14:paraId="6BB666D5">
            <w:pPr>
              <w:tabs>
                <w:tab w:val="left" w:pos="674"/>
                <w:tab w:val="left" w:pos="6300"/>
              </w:tabs>
              <w:adjustRightInd w:val="0"/>
              <w:snapToGrid w:val="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0.03</w:t>
            </w:r>
          </w:p>
        </w:tc>
      </w:tr>
      <w:tr w14:paraId="72B66E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3" w:type="dxa"/>
            <w:tcBorders>
              <w:tl2br w:val="nil"/>
              <w:tr2bl w:val="nil"/>
            </w:tcBorders>
            <w:noWrap w:val="0"/>
            <w:vAlign w:val="center"/>
          </w:tcPr>
          <w:p w14:paraId="6682DE47">
            <w:pPr>
              <w:tabs>
                <w:tab w:val="left" w:pos="674"/>
                <w:tab w:val="left" w:pos="6300"/>
              </w:tabs>
              <w:adjustRightInd w:val="0"/>
              <w:snapToGrid w:val="0"/>
              <w:jc w:val="center"/>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400</w:t>
            </w:r>
          </w:p>
        </w:tc>
        <w:tc>
          <w:tcPr>
            <w:tcW w:w="2409" w:type="dxa"/>
            <w:tcBorders>
              <w:tl2br w:val="nil"/>
              <w:tr2bl w:val="nil"/>
            </w:tcBorders>
            <w:noWrap w:val="0"/>
            <w:vAlign w:val="center"/>
          </w:tcPr>
          <w:p w14:paraId="6051FB77">
            <w:pPr>
              <w:tabs>
                <w:tab w:val="left" w:pos="674"/>
                <w:tab w:val="left" w:pos="6300"/>
              </w:tabs>
              <w:adjustRightInd w:val="0"/>
              <w:snapToGrid w:val="0"/>
              <w:jc w:val="center"/>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5.21E-05</w:t>
            </w:r>
          </w:p>
        </w:tc>
        <w:tc>
          <w:tcPr>
            <w:tcW w:w="1241" w:type="dxa"/>
            <w:tcBorders>
              <w:tl2br w:val="nil"/>
              <w:tr2bl w:val="nil"/>
            </w:tcBorders>
            <w:noWrap w:val="0"/>
            <w:vAlign w:val="center"/>
          </w:tcPr>
          <w:p w14:paraId="1E2419A5">
            <w:pPr>
              <w:tabs>
                <w:tab w:val="left" w:pos="674"/>
                <w:tab w:val="left" w:pos="6300"/>
              </w:tabs>
              <w:adjustRightInd w:val="0"/>
              <w:snapToGrid w:val="0"/>
              <w:jc w:val="center"/>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0.03</w:t>
            </w:r>
          </w:p>
        </w:tc>
        <w:tc>
          <w:tcPr>
            <w:tcW w:w="2400" w:type="dxa"/>
            <w:tcBorders>
              <w:tl2br w:val="nil"/>
              <w:tr2bl w:val="nil"/>
            </w:tcBorders>
            <w:noWrap w:val="0"/>
            <w:vAlign w:val="center"/>
          </w:tcPr>
          <w:p w14:paraId="3CEBACF2">
            <w:pPr>
              <w:tabs>
                <w:tab w:val="left" w:pos="674"/>
                <w:tab w:val="left" w:pos="6300"/>
              </w:tabs>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1.84E-06</w:t>
            </w:r>
          </w:p>
        </w:tc>
        <w:tc>
          <w:tcPr>
            <w:tcW w:w="1143" w:type="dxa"/>
            <w:tcBorders>
              <w:tl2br w:val="nil"/>
              <w:tr2bl w:val="nil"/>
            </w:tcBorders>
            <w:noWrap w:val="0"/>
            <w:vAlign w:val="center"/>
          </w:tcPr>
          <w:p w14:paraId="28CCF1EA">
            <w:pPr>
              <w:tabs>
                <w:tab w:val="left" w:pos="674"/>
                <w:tab w:val="left" w:pos="6300"/>
              </w:tabs>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0.02</w:t>
            </w:r>
          </w:p>
        </w:tc>
      </w:tr>
      <w:tr w14:paraId="078FE5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3" w:type="dxa"/>
            <w:tcBorders>
              <w:tl2br w:val="nil"/>
              <w:tr2bl w:val="nil"/>
            </w:tcBorders>
            <w:noWrap w:val="0"/>
            <w:vAlign w:val="center"/>
          </w:tcPr>
          <w:p w14:paraId="3C0DB2D9">
            <w:pPr>
              <w:tabs>
                <w:tab w:val="left" w:pos="674"/>
                <w:tab w:val="left" w:pos="6300"/>
              </w:tabs>
              <w:adjustRightInd w:val="0"/>
              <w:snapToGrid w:val="0"/>
              <w:jc w:val="center"/>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500</w:t>
            </w:r>
          </w:p>
        </w:tc>
        <w:tc>
          <w:tcPr>
            <w:tcW w:w="2409" w:type="dxa"/>
            <w:tcBorders>
              <w:tl2br w:val="nil"/>
              <w:tr2bl w:val="nil"/>
            </w:tcBorders>
            <w:noWrap w:val="0"/>
            <w:vAlign w:val="center"/>
          </w:tcPr>
          <w:p w14:paraId="0748486A">
            <w:pPr>
              <w:tabs>
                <w:tab w:val="left" w:pos="674"/>
                <w:tab w:val="left" w:pos="6300"/>
              </w:tabs>
              <w:adjustRightInd w:val="0"/>
              <w:snapToGrid w:val="0"/>
              <w:jc w:val="center"/>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3.85E-05</w:t>
            </w:r>
          </w:p>
        </w:tc>
        <w:tc>
          <w:tcPr>
            <w:tcW w:w="1241" w:type="dxa"/>
            <w:tcBorders>
              <w:tl2br w:val="nil"/>
              <w:tr2bl w:val="nil"/>
            </w:tcBorders>
            <w:noWrap w:val="0"/>
            <w:vAlign w:val="center"/>
          </w:tcPr>
          <w:p w14:paraId="34F31CF6">
            <w:pPr>
              <w:tabs>
                <w:tab w:val="left" w:pos="674"/>
                <w:tab w:val="left" w:pos="6300"/>
              </w:tabs>
              <w:adjustRightInd w:val="0"/>
              <w:snapToGrid w:val="0"/>
              <w:jc w:val="center"/>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0.02</w:t>
            </w:r>
          </w:p>
        </w:tc>
        <w:tc>
          <w:tcPr>
            <w:tcW w:w="2400" w:type="dxa"/>
            <w:tcBorders>
              <w:tl2br w:val="nil"/>
              <w:tr2bl w:val="nil"/>
            </w:tcBorders>
            <w:noWrap w:val="0"/>
            <w:vAlign w:val="center"/>
          </w:tcPr>
          <w:p w14:paraId="6E555A66">
            <w:pPr>
              <w:tabs>
                <w:tab w:val="left" w:pos="674"/>
                <w:tab w:val="left" w:pos="6300"/>
              </w:tabs>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1.36E-06</w:t>
            </w:r>
          </w:p>
        </w:tc>
        <w:tc>
          <w:tcPr>
            <w:tcW w:w="1143" w:type="dxa"/>
            <w:tcBorders>
              <w:tl2br w:val="nil"/>
              <w:tr2bl w:val="nil"/>
            </w:tcBorders>
            <w:noWrap w:val="0"/>
            <w:vAlign w:val="center"/>
          </w:tcPr>
          <w:p w14:paraId="5136CFA9">
            <w:pPr>
              <w:tabs>
                <w:tab w:val="left" w:pos="674"/>
                <w:tab w:val="left" w:pos="6300"/>
              </w:tabs>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0.01</w:t>
            </w:r>
          </w:p>
        </w:tc>
      </w:tr>
      <w:tr w14:paraId="0DBB76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3" w:type="dxa"/>
            <w:tcBorders>
              <w:tl2br w:val="nil"/>
              <w:tr2bl w:val="nil"/>
            </w:tcBorders>
            <w:noWrap w:val="0"/>
            <w:vAlign w:val="center"/>
          </w:tcPr>
          <w:p w14:paraId="46067A9D">
            <w:pPr>
              <w:tabs>
                <w:tab w:val="left" w:pos="674"/>
                <w:tab w:val="left" w:pos="6300"/>
              </w:tabs>
              <w:adjustRightInd w:val="0"/>
              <w:snapToGrid w:val="0"/>
              <w:jc w:val="center"/>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1000</w:t>
            </w:r>
          </w:p>
        </w:tc>
        <w:tc>
          <w:tcPr>
            <w:tcW w:w="2409" w:type="dxa"/>
            <w:tcBorders>
              <w:tl2br w:val="nil"/>
              <w:tr2bl w:val="nil"/>
            </w:tcBorders>
            <w:noWrap w:val="0"/>
            <w:vAlign w:val="center"/>
          </w:tcPr>
          <w:p w14:paraId="7671348F">
            <w:pPr>
              <w:tabs>
                <w:tab w:val="left" w:pos="674"/>
                <w:tab w:val="left" w:pos="6300"/>
              </w:tabs>
              <w:adjustRightInd w:val="0"/>
              <w:snapToGrid w:val="0"/>
              <w:jc w:val="center"/>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1.50E-05</w:t>
            </w:r>
          </w:p>
        </w:tc>
        <w:tc>
          <w:tcPr>
            <w:tcW w:w="1241" w:type="dxa"/>
            <w:tcBorders>
              <w:tl2br w:val="nil"/>
              <w:tr2bl w:val="nil"/>
            </w:tcBorders>
            <w:noWrap w:val="0"/>
            <w:vAlign w:val="center"/>
          </w:tcPr>
          <w:p w14:paraId="61E6CE4A">
            <w:pPr>
              <w:tabs>
                <w:tab w:val="left" w:pos="674"/>
                <w:tab w:val="left" w:pos="6300"/>
              </w:tabs>
              <w:adjustRightInd w:val="0"/>
              <w:snapToGrid w:val="0"/>
              <w:jc w:val="center"/>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0.01</w:t>
            </w:r>
          </w:p>
        </w:tc>
        <w:tc>
          <w:tcPr>
            <w:tcW w:w="2400" w:type="dxa"/>
            <w:tcBorders>
              <w:tl2br w:val="nil"/>
              <w:tr2bl w:val="nil"/>
            </w:tcBorders>
            <w:noWrap w:val="0"/>
            <w:vAlign w:val="center"/>
          </w:tcPr>
          <w:p w14:paraId="0F2328A2">
            <w:pPr>
              <w:tabs>
                <w:tab w:val="left" w:pos="674"/>
                <w:tab w:val="left" w:pos="6300"/>
              </w:tabs>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5.29E-07</w:t>
            </w:r>
          </w:p>
        </w:tc>
        <w:tc>
          <w:tcPr>
            <w:tcW w:w="1143" w:type="dxa"/>
            <w:tcBorders>
              <w:tl2br w:val="nil"/>
              <w:tr2bl w:val="nil"/>
            </w:tcBorders>
            <w:noWrap w:val="0"/>
            <w:vAlign w:val="center"/>
          </w:tcPr>
          <w:p w14:paraId="0B3DC41C">
            <w:pPr>
              <w:tabs>
                <w:tab w:val="left" w:pos="674"/>
                <w:tab w:val="left" w:pos="6300"/>
              </w:tabs>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0.01</w:t>
            </w:r>
          </w:p>
        </w:tc>
      </w:tr>
      <w:tr w14:paraId="5BC9E6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3" w:type="dxa"/>
            <w:tcBorders>
              <w:tl2br w:val="nil"/>
              <w:tr2bl w:val="nil"/>
            </w:tcBorders>
            <w:noWrap w:val="0"/>
            <w:vAlign w:val="center"/>
          </w:tcPr>
          <w:p w14:paraId="2983840A">
            <w:pPr>
              <w:tabs>
                <w:tab w:val="left" w:pos="674"/>
                <w:tab w:val="left" w:pos="6300"/>
              </w:tabs>
              <w:adjustRightInd w:val="0"/>
              <w:snapToGrid w:val="0"/>
              <w:jc w:val="center"/>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1500</w:t>
            </w:r>
          </w:p>
        </w:tc>
        <w:tc>
          <w:tcPr>
            <w:tcW w:w="2409" w:type="dxa"/>
            <w:tcBorders>
              <w:tl2br w:val="nil"/>
              <w:tr2bl w:val="nil"/>
            </w:tcBorders>
            <w:noWrap w:val="0"/>
            <w:vAlign w:val="center"/>
          </w:tcPr>
          <w:p w14:paraId="4F7655AF">
            <w:pPr>
              <w:tabs>
                <w:tab w:val="left" w:pos="674"/>
                <w:tab w:val="left" w:pos="6300"/>
              </w:tabs>
              <w:adjustRightInd w:val="0"/>
              <w:snapToGrid w:val="0"/>
              <w:jc w:val="center"/>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8.74E-06</w:t>
            </w:r>
          </w:p>
        </w:tc>
        <w:tc>
          <w:tcPr>
            <w:tcW w:w="1241" w:type="dxa"/>
            <w:tcBorders>
              <w:tl2br w:val="nil"/>
              <w:tr2bl w:val="nil"/>
            </w:tcBorders>
            <w:noWrap w:val="0"/>
            <w:vAlign w:val="center"/>
          </w:tcPr>
          <w:p w14:paraId="45AD9F36">
            <w:pPr>
              <w:tabs>
                <w:tab w:val="left" w:pos="674"/>
                <w:tab w:val="left" w:pos="6300"/>
              </w:tabs>
              <w:adjustRightInd w:val="0"/>
              <w:snapToGrid w:val="0"/>
              <w:jc w:val="center"/>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0.00</w:t>
            </w:r>
          </w:p>
        </w:tc>
        <w:tc>
          <w:tcPr>
            <w:tcW w:w="2400" w:type="dxa"/>
            <w:tcBorders>
              <w:tl2br w:val="nil"/>
              <w:tr2bl w:val="nil"/>
            </w:tcBorders>
            <w:noWrap w:val="0"/>
            <w:vAlign w:val="center"/>
          </w:tcPr>
          <w:p w14:paraId="31E5309B">
            <w:pPr>
              <w:tabs>
                <w:tab w:val="left" w:pos="674"/>
                <w:tab w:val="left" w:pos="6300"/>
              </w:tabs>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3.09E-07</w:t>
            </w:r>
          </w:p>
        </w:tc>
        <w:tc>
          <w:tcPr>
            <w:tcW w:w="1143" w:type="dxa"/>
            <w:tcBorders>
              <w:tl2br w:val="nil"/>
              <w:tr2bl w:val="nil"/>
            </w:tcBorders>
            <w:noWrap w:val="0"/>
            <w:vAlign w:val="center"/>
          </w:tcPr>
          <w:p w14:paraId="27E5D2C2">
            <w:pPr>
              <w:tabs>
                <w:tab w:val="left" w:pos="674"/>
                <w:tab w:val="left" w:pos="6300"/>
              </w:tabs>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0.00</w:t>
            </w:r>
          </w:p>
        </w:tc>
      </w:tr>
      <w:tr w14:paraId="7056BE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3" w:type="dxa"/>
            <w:tcBorders>
              <w:tl2br w:val="nil"/>
              <w:tr2bl w:val="nil"/>
            </w:tcBorders>
            <w:noWrap w:val="0"/>
            <w:vAlign w:val="center"/>
          </w:tcPr>
          <w:p w14:paraId="258735F2">
            <w:pPr>
              <w:tabs>
                <w:tab w:val="left" w:pos="674"/>
                <w:tab w:val="left" w:pos="6300"/>
              </w:tabs>
              <w:adjustRightInd w:val="0"/>
              <w:snapToGrid w:val="0"/>
              <w:jc w:val="center"/>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2000</w:t>
            </w:r>
          </w:p>
        </w:tc>
        <w:tc>
          <w:tcPr>
            <w:tcW w:w="2409" w:type="dxa"/>
            <w:tcBorders>
              <w:tl2br w:val="nil"/>
              <w:tr2bl w:val="nil"/>
            </w:tcBorders>
            <w:noWrap w:val="0"/>
            <w:vAlign w:val="center"/>
          </w:tcPr>
          <w:p w14:paraId="3E6435D4">
            <w:pPr>
              <w:tabs>
                <w:tab w:val="left" w:pos="674"/>
                <w:tab w:val="left" w:pos="6300"/>
              </w:tabs>
              <w:adjustRightInd w:val="0"/>
              <w:snapToGrid w:val="0"/>
              <w:jc w:val="center"/>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6.20E-06</w:t>
            </w:r>
          </w:p>
        </w:tc>
        <w:tc>
          <w:tcPr>
            <w:tcW w:w="1241" w:type="dxa"/>
            <w:tcBorders>
              <w:tl2br w:val="nil"/>
              <w:tr2bl w:val="nil"/>
            </w:tcBorders>
            <w:noWrap w:val="0"/>
            <w:vAlign w:val="center"/>
          </w:tcPr>
          <w:p w14:paraId="41556904">
            <w:pPr>
              <w:tabs>
                <w:tab w:val="left" w:pos="674"/>
                <w:tab w:val="left" w:pos="6300"/>
              </w:tabs>
              <w:adjustRightInd w:val="0"/>
              <w:snapToGrid w:val="0"/>
              <w:jc w:val="center"/>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0.00</w:t>
            </w:r>
          </w:p>
        </w:tc>
        <w:tc>
          <w:tcPr>
            <w:tcW w:w="2400" w:type="dxa"/>
            <w:tcBorders>
              <w:tl2br w:val="nil"/>
              <w:tr2bl w:val="nil"/>
            </w:tcBorders>
            <w:noWrap w:val="0"/>
            <w:vAlign w:val="center"/>
          </w:tcPr>
          <w:p w14:paraId="133622A1">
            <w:pPr>
              <w:tabs>
                <w:tab w:val="left" w:pos="674"/>
                <w:tab w:val="left" w:pos="6300"/>
              </w:tabs>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2.19E-07</w:t>
            </w:r>
          </w:p>
        </w:tc>
        <w:tc>
          <w:tcPr>
            <w:tcW w:w="1143" w:type="dxa"/>
            <w:tcBorders>
              <w:tl2br w:val="nil"/>
              <w:tr2bl w:val="nil"/>
            </w:tcBorders>
            <w:noWrap w:val="0"/>
            <w:vAlign w:val="center"/>
          </w:tcPr>
          <w:p w14:paraId="4E864762">
            <w:pPr>
              <w:tabs>
                <w:tab w:val="left" w:pos="674"/>
                <w:tab w:val="left" w:pos="6300"/>
              </w:tabs>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0.00</w:t>
            </w:r>
          </w:p>
        </w:tc>
      </w:tr>
      <w:tr w14:paraId="301213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3" w:type="dxa"/>
            <w:tcBorders>
              <w:tl2br w:val="nil"/>
              <w:tr2bl w:val="nil"/>
            </w:tcBorders>
            <w:noWrap w:val="0"/>
            <w:vAlign w:val="center"/>
          </w:tcPr>
          <w:p w14:paraId="32C0CC49">
            <w:pPr>
              <w:tabs>
                <w:tab w:val="left" w:pos="674"/>
                <w:tab w:val="left" w:pos="6300"/>
              </w:tabs>
              <w:adjustRightInd w:val="0"/>
              <w:snapToGrid w:val="0"/>
              <w:jc w:val="center"/>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2500</w:t>
            </w:r>
          </w:p>
        </w:tc>
        <w:tc>
          <w:tcPr>
            <w:tcW w:w="2409" w:type="dxa"/>
            <w:tcBorders>
              <w:tl2br w:val="nil"/>
              <w:tr2bl w:val="nil"/>
            </w:tcBorders>
            <w:noWrap w:val="0"/>
            <w:vAlign w:val="center"/>
          </w:tcPr>
          <w:p w14:paraId="3F5FECDB">
            <w:pPr>
              <w:tabs>
                <w:tab w:val="left" w:pos="674"/>
                <w:tab w:val="left" w:pos="6300"/>
              </w:tabs>
              <w:adjustRightInd w:val="0"/>
              <w:snapToGrid w:val="0"/>
              <w:jc w:val="center"/>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4.58E-06</w:t>
            </w:r>
          </w:p>
        </w:tc>
        <w:tc>
          <w:tcPr>
            <w:tcW w:w="1241" w:type="dxa"/>
            <w:tcBorders>
              <w:tl2br w:val="nil"/>
              <w:tr2bl w:val="nil"/>
            </w:tcBorders>
            <w:noWrap w:val="0"/>
            <w:vAlign w:val="center"/>
          </w:tcPr>
          <w:p w14:paraId="68293F0D">
            <w:pPr>
              <w:tabs>
                <w:tab w:val="left" w:pos="674"/>
                <w:tab w:val="left" w:pos="6300"/>
              </w:tabs>
              <w:adjustRightInd w:val="0"/>
              <w:snapToGrid w:val="0"/>
              <w:jc w:val="center"/>
              <w:rPr>
                <w:rFonts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0.00</w:t>
            </w:r>
          </w:p>
        </w:tc>
        <w:tc>
          <w:tcPr>
            <w:tcW w:w="2400" w:type="dxa"/>
            <w:tcBorders>
              <w:tl2br w:val="nil"/>
              <w:tr2bl w:val="nil"/>
            </w:tcBorders>
            <w:noWrap w:val="0"/>
            <w:vAlign w:val="center"/>
          </w:tcPr>
          <w:p w14:paraId="5483C4C9">
            <w:pPr>
              <w:tabs>
                <w:tab w:val="left" w:pos="674"/>
                <w:tab w:val="left" w:pos="6300"/>
              </w:tabs>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1.62E-07</w:t>
            </w:r>
          </w:p>
        </w:tc>
        <w:tc>
          <w:tcPr>
            <w:tcW w:w="1143" w:type="dxa"/>
            <w:tcBorders>
              <w:tl2br w:val="nil"/>
              <w:tr2bl w:val="nil"/>
            </w:tcBorders>
            <w:noWrap w:val="0"/>
            <w:vAlign w:val="center"/>
          </w:tcPr>
          <w:p w14:paraId="51B2309B">
            <w:pPr>
              <w:tabs>
                <w:tab w:val="left" w:pos="674"/>
                <w:tab w:val="left" w:pos="6300"/>
              </w:tabs>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0.00</w:t>
            </w:r>
          </w:p>
        </w:tc>
      </w:tr>
      <w:tr w14:paraId="042FB6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3" w:type="dxa"/>
            <w:tcBorders>
              <w:tl2br w:val="nil"/>
              <w:tr2bl w:val="nil"/>
            </w:tcBorders>
            <w:noWrap w:val="0"/>
            <w:vAlign w:val="center"/>
          </w:tcPr>
          <w:p w14:paraId="6BA57D00">
            <w:pPr>
              <w:tabs>
                <w:tab w:val="left" w:pos="674"/>
                <w:tab w:val="left" w:pos="6300"/>
              </w:tabs>
              <w:adjustRightInd w:val="0"/>
              <w:snapToGrid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下风向最大质量浓度及占标率/%</w:t>
            </w:r>
          </w:p>
        </w:tc>
        <w:tc>
          <w:tcPr>
            <w:tcW w:w="2409" w:type="dxa"/>
            <w:tcBorders>
              <w:tl2br w:val="nil"/>
              <w:tr2bl w:val="nil"/>
            </w:tcBorders>
            <w:noWrap w:val="0"/>
            <w:vAlign w:val="center"/>
          </w:tcPr>
          <w:p w14:paraId="7A261402">
            <w:pPr>
              <w:tabs>
                <w:tab w:val="left" w:pos="674"/>
                <w:tab w:val="left" w:pos="6300"/>
              </w:tabs>
              <w:adjustRightInd w:val="0"/>
              <w:snapToGrid w:val="0"/>
              <w:jc w:val="center"/>
              <w:rPr>
                <w:rFonts w:ascii="Times New Roman" w:hAnsi="Times New Roman" w:cs="Times New Roman"/>
                <w:color w:val="auto"/>
                <w:sz w:val="21"/>
                <w:szCs w:val="21"/>
                <w:highlight w:val="none"/>
                <w:lang w:eastAsia="zh-CN"/>
              </w:rPr>
            </w:pPr>
            <w:r>
              <w:rPr>
                <w:rFonts w:hint="eastAsia" w:ascii="Times New Roman" w:hAnsi="Times New Roman" w:cs="Times New Roman"/>
                <w:b/>
                <w:bCs/>
                <w:color w:val="auto"/>
                <w:sz w:val="21"/>
                <w:szCs w:val="21"/>
                <w:highlight w:val="none"/>
                <w:lang w:val="en-US" w:eastAsia="zh-CN"/>
              </w:rPr>
              <w:t>2.94E-03</w:t>
            </w:r>
          </w:p>
        </w:tc>
        <w:tc>
          <w:tcPr>
            <w:tcW w:w="1241" w:type="dxa"/>
            <w:tcBorders>
              <w:tl2br w:val="nil"/>
              <w:tr2bl w:val="nil"/>
            </w:tcBorders>
            <w:noWrap w:val="0"/>
            <w:vAlign w:val="center"/>
          </w:tcPr>
          <w:p w14:paraId="754DD653">
            <w:pPr>
              <w:tabs>
                <w:tab w:val="left" w:pos="674"/>
                <w:tab w:val="left" w:pos="6300"/>
              </w:tabs>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1.47</w:t>
            </w:r>
          </w:p>
        </w:tc>
        <w:tc>
          <w:tcPr>
            <w:tcW w:w="2400" w:type="dxa"/>
            <w:tcBorders>
              <w:tl2br w:val="nil"/>
              <w:tr2bl w:val="nil"/>
            </w:tcBorders>
            <w:noWrap w:val="0"/>
            <w:vAlign w:val="center"/>
          </w:tcPr>
          <w:p w14:paraId="01AA64FD">
            <w:pPr>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1.04E-04</w:t>
            </w:r>
          </w:p>
        </w:tc>
        <w:tc>
          <w:tcPr>
            <w:tcW w:w="1143" w:type="dxa"/>
            <w:tcBorders>
              <w:tl2br w:val="nil"/>
              <w:tr2bl w:val="nil"/>
            </w:tcBorders>
            <w:noWrap w:val="0"/>
            <w:vAlign w:val="center"/>
          </w:tcPr>
          <w:p w14:paraId="0E45EC5C">
            <w:pPr>
              <w:tabs>
                <w:tab w:val="left" w:pos="674"/>
                <w:tab w:val="left" w:pos="6300"/>
              </w:tabs>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1.04</w:t>
            </w:r>
          </w:p>
        </w:tc>
      </w:tr>
      <w:tr w14:paraId="16ED8A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93" w:type="dxa"/>
            <w:tcBorders>
              <w:tl2br w:val="nil"/>
              <w:tr2bl w:val="nil"/>
            </w:tcBorders>
            <w:noWrap w:val="0"/>
            <w:vAlign w:val="center"/>
          </w:tcPr>
          <w:p w14:paraId="5736E904">
            <w:pPr>
              <w:tabs>
                <w:tab w:val="left" w:pos="674"/>
                <w:tab w:val="left" w:pos="6300"/>
              </w:tabs>
              <w:adjustRightInd w:val="0"/>
              <w:snapToGrid w:val="0"/>
              <w:jc w:val="center"/>
              <w:rPr>
                <w:rFonts w:hint="eastAsia"/>
                <w:color w:val="auto"/>
                <w:highlight w:val="none"/>
                <w:lang w:val="en-US" w:eastAsia="zh-CN"/>
              </w:rPr>
            </w:pPr>
            <w:r>
              <w:rPr>
                <w:rFonts w:hint="eastAsia"/>
                <w:color w:val="auto"/>
                <w:highlight w:val="none"/>
                <w:lang w:val="en-US" w:eastAsia="zh-CN"/>
              </w:rPr>
              <w:t>D</w:t>
            </w:r>
            <w:r>
              <w:rPr>
                <w:rFonts w:hint="eastAsia"/>
                <w:color w:val="auto"/>
                <w:highlight w:val="none"/>
                <w:vertAlign w:val="subscript"/>
                <w:lang w:val="en-US" w:eastAsia="zh-CN"/>
              </w:rPr>
              <w:t>10</w:t>
            </w:r>
            <w:r>
              <w:rPr>
                <w:rFonts w:hint="eastAsia"/>
                <w:color w:val="auto"/>
                <w:highlight w:val="none"/>
                <w:lang w:val="en-US" w:eastAsia="zh-CN"/>
              </w:rPr>
              <w:t>%最远距离/m</w:t>
            </w:r>
          </w:p>
        </w:tc>
        <w:tc>
          <w:tcPr>
            <w:tcW w:w="3650" w:type="dxa"/>
            <w:gridSpan w:val="2"/>
            <w:tcBorders>
              <w:tl2br w:val="nil"/>
              <w:tr2bl w:val="nil"/>
            </w:tcBorders>
            <w:noWrap w:val="0"/>
            <w:vAlign w:val="center"/>
          </w:tcPr>
          <w:p w14:paraId="079A260B">
            <w:pPr>
              <w:tabs>
                <w:tab w:val="left" w:pos="674"/>
                <w:tab w:val="left" w:pos="6300"/>
              </w:tabs>
              <w:adjustRightInd w:val="0"/>
              <w:snapToGrid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c>
          <w:tcPr>
            <w:tcW w:w="3543" w:type="dxa"/>
            <w:gridSpan w:val="2"/>
            <w:tcBorders>
              <w:tl2br w:val="nil"/>
              <w:tr2bl w:val="nil"/>
            </w:tcBorders>
            <w:noWrap w:val="0"/>
            <w:vAlign w:val="center"/>
          </w:tcPr>
          <w:p w14:paraId="3EF7E77A">
            <w:pPr>
              <w:tabs>
                <w:tab w:val="left" w:pos="674"/>
                <w:tab w:val="left" w:pos="6300"/>
              </w:tabs>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bl>
    <w:p w14:paraId="54101CE6">
      <w:pPr>
        <w:keepNext w:val="0"/>
        <w:keepLines w:val="0"/>
        <w:pageBreakBefore w:val="0"/>
        <w:widowControl w:val="0"/>
        <w:tabs>
          <w:tab w:val="left" w:pos="674"/>
          <w:tab w:val="left" w:pos="6300"/>
        </w:tabs>
        <w:kinsoku/>
        <w:wordWrap/>
        <w:overflowPunct/>
        <w:topLinePunct w:val="0"/>
        <w:autoSpaceDE/>
        <w:autoSpaceDN/>
        <w:bidi w:val="0"/>
        <w:adjustRightInd w:val="0"/>
        <w:snapToGrid w:val="0"/>
        <w:spacing w:line="240" w:lineRule="auto"/>
        <w:ind w:right="0" w:rightChars="0" w:firstLine="480" w:firstLineChars="200"/>
        <w:jc w:val="both"/>
        <w:textAlignment w:val="auto"/>
        <w:outlineLvl w:val="9"/>
        <w:rPr>
          <w:rFonts w:ascii="Times New Roman" w:hAnsi="Times New Roman" w:cs="Times New Roman"/>
          <w:b w:val="0"/>
          <w:bCs w:val="0"/>
          <w:color w:val="auto"/>
          <w:sz w:val="24"/>
          <w:szCs w:val="24"/>
          <w:highlight w:val="none"/>
          <w:lang w:eastAsia="zh-CN"/>
        </w:rPr>
      </w:pPr>
    </w:p>
    <w:p w14:paraId="5D48B360">
      <w:pPr>
        <w:keepNext w:val="0"/>
        <w:keepLines w:val="0"/>
        <w:pageBreakBefore w:val="0"/>
        <w:widowControl w:val="0"/>
        <w:tabs>
          <w:tab w:val="left" w:pos="674"/>
          <w:tab w:val="left" w:pos="6300"/>
        </w:tabs>
        <w:kinsoku/>
        <w:wordWrap/>
        <w:overflowPunct/>
        <w:topLinePunct w:val="0"/>
        <w:autoSpaceDE/>
        <w:autoSpaceDN/>
        <w:bidi w:val="0"/>
        <w:adjustRightInd w:val="0"/>
        <w:snapToGrid w:val="0"/>
        <w:spacing w:line="360" w:lineRule="auto"/>
        <w:ind w:right="0" w:rightChars="0" w:firstLine="480" w:firstLineChars="200"/>
        <w:jc w:val="both"/>
        <w:textAlignment w:val="auto"/>
        <w:outlineLvl w:val="9"/>
        <w:rPr>
          <w:rFonts w:ascii="Times New Roman" w:hAnsi="Times New Roman" w:cs="Times New Roman"/>
          <w:b w:val="0"/>
          <w:bCs w:val="0"/>
          <w:color w:val="auto"/>
          <w:sz w:val="24"/>
          <w:szCs w:val="24"/>
          <w:highlight w:val="none"/>
          <w:lang w:eastAsia="zh-CN"/>
        </w:rPr>
      </w:pPr>
      <w:r>
        <w:rPr>
          <w:rFonts w:ascii="Times New Roman" w:hAnsi="Times New Roman" w:cs="Times New Roman"/>
          <w:b w:val="0"/>
          <w:bCs w:val="0"/>
          <w:color w:val="auto"/>
          <w:sz w:val="24"/>
          <w:szCs w:val="24"/>
          <w:highlight w:val="none"/>
          <w:lang w:eastAsia="zh-CN"/>
        </w:rPr>
        <w:t>由</w:t>
      </w:r>
      <w:r>
        <w:rPr>
          <w:rFonts w:hint="eastAsia" w:ascii="Times New Roman" w:hAnsi="Times New Roman" w:cs="Times New Roman"/>
          <w:b w:val="0"/>
          <w:bCs w:val="0"/>
          <w:color w:val="auto"/>
          <w:sz w:val="24"/>
          <w:szCs w:val="24"/>
          <w:highlight w:val="none"/>
          <w:lang w:eastAsia="zh-CN"/>
        </w:rPr>
        <w:t>上表</w:t>
      </w:r>
      <w:r>
        <w:rPr>
          <w:rFonts w:ascii="Times New Roman" w:hAnsi="Times New Roman" w:cs="Times New Roman"/>
          <w:b w:val="0"/>
          <w:bCs w:val="0"/>
          <w:color w:val="auto"/>
          <w:sz w:val="24"/>
          <w:szCs w:val="24"/>
          <w:highlight w:val="none"/>
          <w:lang w:eastAsia="zh-CN"/>
        </w:rPr>
        <w:t>估算结果可知，</w:t>
      </w:r>
      <w:r>
        <w:rPr>
          <w:rFonts w:hint="eastAsia" w:ascii="Times New Roman" w:hAnsi="Times New Roman" w:cs="Times New Roman"/>
          <w:b w:val="0"/>
          <w:bCs w:val="0"/>
          <w:color w:val="auto"/>
          <w:sz w:val="24"/>
          <w:szCs w:val="24"/>
          <w:highlight w:val="none"/>
          <w:lang w:eastAsia="zh-CN"/>
        </w:rPr>
        <w:t>无组织恶臭气体中</w:t>
      </w:r>
      <w:r>
        <w:rPr>
          <w:rFonts w:hint="eastAsia" w:ascii="Times New Roman" w:hAnsi="Times New Roman" w:cs="Times New Roman"/>
          <w:b w:val="0"/>
          <w:bCs w:val="0"/>
          <w:color w:val="auto"/>
          <w:sz w:val="24"/>
          <w:szCs w:val="24"/>
          <w:highlight w:val="none"/>
          <w:lang w:val="en-US" w:eastAsia="zh-CN"/>
        </w:rPr>
        <w:t>NH</w:t>
      </w:r>
      <w:r>
        <w:rPr>
          <w:rFonts w:hint="eastAsia" w:ascii="Times New Roman" w:hAnsi="Times New Roman" w:cs="Times New Roman"/>
          <w:b w:val="0"/>
          <w:bCs w:val="0"/>
          <w:color w:val="auto"/>
          <w:sz w:val="24"/>
          <w:szCs w:val="24"/>
          <w:highlight w:val="none"/>
          <w:vertAlign w:val="subscript"/>
          <w:lang w:val="en-US" w:eastAsia="zh-CN"/>
        </w:rPr>
        <w:t>3</w:t>
      </w:r>
      <w:r>
        <w:rPr>
          <w:rFonts w:ascii="Times New Roman" w:hAnsi="Times New Roman" w:cs="Times New Roman"/>
          <w:b w:val="0"/>
          <w:bCs w:val="0"/>
          <w:color w:val="auto"/>
          <w:sz w:val="24"/>
          <w:szCs w:val="24"/>
          <w:highlight w:val="none"/>
          <w:lang w:eastAsia="zh-CN"/>
        </w:rPr>
        <w:t>下风向最大浓度</w:t>
      </w:r>
      <w:r>
        <w:rPr>
          <w:rFonts w:hint="eastAsia" w:cs="Times New Roman"/>
          <w:b w:val="0"/>
          <w:bCs w:val="0"/>
          <w:color w:val="auto"/>
          <w:sz w:val="24"/>
          <w:szCs w:val="24"/>
          <w:highlight w:val="none"/>
          <w:lang w:val="en-US" w:eastAsia="zh-CN"/>
        </w:rPr>
        <w:t>2.94</w:t>
      </w:r>
      <w:r>
        <w:rPr>
          <w:rFonts w:hint="eastAsia" w:ascii="Times New Roman" w:hAnsi="Times New Roman" w:cs="Times New Roman"/>
          <w:b w:val="0"/>
          <w:bCs w:val="0"/>
          <w:color w:val="auto"/>
          <w:sz w:val="24"/>
          <w:szCs w:val="24"/>
          <w:highlight w:val="none"/>
          <w:lang w:val="en-US" w:eastAsia="zh-CN"/>
        </w:rPr>
        <w:t>E-03</w:t>
      </w:r>
      <w:r>
        <w:rPr>
          <w:rFonts w:ascii="Times New Roman" w:hAnsi="Times New Roman" w:cs="Times New Roman"/>
          <w:b w:val="0"/>
          <w:bCs w:val="0"/>
          <w:color w:val="auto"/>
          <w:sz w:val="24"/>
          <w:szCs w:val="24"/>
          <w:highlight w:val="none"/>
          <w:lang w:eastAsia="zh-CN"/>
        </w:rPr>
        <w:t>mg/m</w:t>
      </w:r>
      <w:r>
        <w:rPr>
          <w:rFonts w:ascii="Times New Roman" w:hAnsi="Times New Roman" w:cs="Times New Roman"/>
          <w:b w:val="0"/>
          <w:bCs w:val="0"/>
          <w:color w:val="auto"/>
          <w:sz w:val="24"/>
          <w:szCs w:val="24"/>
          <w:highlight w:val="none"/>
          <w:vertAlign w:val="superscript"/>
          <w:lang w:eastAsia="zh-CN"/>
        </w:rPr>
        <w:t>3</w:t>
      </w:r>
      <w:r>
        <w:rPr>
          <w:rFonts w:ascii="Times New Roman" w:hAnsi="Times New Roman" w:cs="Times New Roman"/>
          <w:b w:val="0"/>
          <w:bCs w:val="0"/>
          <w:color w:val="auto"/>
          <w:sz w:val="24"/>
          <w:szCs w:val="24"/>
          <w:highlight w:val="none"/>
          <w:lang w:eastAsia="zh-CN"/>
        </w:rPr>
        <w:t>，占标率为</w:t>
      </w:r>
      <w:r>
        <w:rPr>
          <w:rFonts w:hint="eastAsia" w:cs="Times New Roman"/>
          <w:b w:val="0"/>
          <w:bCs w:val="0"/>
          <w:color w:val="auto"/>
          <w:sz w:val="24"/>
          <w:szCs w:val="24"/>
          <w:highlight w:val="none"/>
          <w:lang w:val="en-US" w:eastAsia="zh-CN"/>
        </w:rPr>
        <w:t>1.47</w:t>
      </w:r>
      <w:r>
        <w:rPr>
          <w:rFonts w:ascii="Times New Roman" w:hAnsi="Times New Roman" w:cs="Times New Roman"/>
          <w:b w:val="0"/>
          <w:bCs w:val="0"/>
          <w:color w:val="auto"/>
          <w:sz w:val="24"/>
          <w:szCs w:val="24"/>
          <w:highlight w:val="none"/>
          <w:lang w:eastAsia="zh-CN"/>
        </w:rPr>
        <w:t>%</w:t>
      </w:r>
      <w:r>
        <w:rPr>
          <w:rFonts w:hint="eastAsia" w:ascii="Times New Roman" w:hAnsi="Times New Roman" w:cs="Times New Roman"/>
          <w:b w:val="0"/>
          <w:bCs w:val="0"/>
          <w:color w:val="auto"/>
          <w:sz w:val="24"/>
          <w:szCs w:val="24"/>
          <w:highlight w:val="none"/>
          <w:lang w:eastAsia="zh-CN"/>
        </w:rPr>
        <w:t>；</w:t>
      </w:r>
      <w:r>
        <w:rPr>
          <w:rFonts w:hint="eastAsia" w:cs="Times New Roman"/>
          <w:b w:val="0"/>
          <w:bCs w:val="0"/>
          <w:color w:val="auto"/>
          <w:sz w:val="24"/>
          <w:szCs w:val="24"/>
          <w:highlight w:val="none"/>
          <w:lang w:val="en-US" w:eastAsia="zh-CN"/>
        </w:rPr>
        <w:t>H</w:t>
      </w:r>
      <w:r>
        <w:rPr>
          <w:rFonts w:hint="eastAsia" w:cs="Times New Roman"/>
          <w:b w:val="0"/>
          <w:bCs w:val="0"/>
          <w:color w:val="auto"/>
          <w:sz w:val="24"/>
          <w:szCs w:val="24"/>
          <w:highlight w:val="none"/>
          <w:vertAlign w:val="subscript"/>
          <w:lang w:val="en-US" w:eastAsia="zh-CN"/>
        </w:rPr>
        <w:t>2</w:t>
      </w:r>
      <w:r>
        <w:rPr>
          <w:rFonts w:hint="eastAsia" w:cs="Times New Roman"/>
          <w:b w:val="0"/>
          <w:bCs w:val="0"/>
          <w:color w:val="auto"/>
          <w:sz w:val="24"/>
          <w:szCs w:val="24"/>
          <w:highlight w:val="none"/>
          <w:lang w:val="en-US" w:eastAsia="zh-CN"/>
        </w:rPr>
        <w:t>S</w:t>
      </w:r>
      <w:r>
        <w:rPr>
          <w:rFonts w:ascii="Times New Roman" w:hAnsi="Times New Roman" w:cs="Times New Roman"/>
          <w:b w:val="0"/>
          <w:bCs w:val="0"/>
          <w:color w:val="auto"/>
          <w:sz w:val="24"/>
          <w:szCs w:val="24"/>
          <w:highlight w:val="none"/>
          <w:lang w:eastAsia="zh-CN"/>
        </w:rPr>
        <w:t>下风向最大浓度</w:t>
      </w:r>
      <w:r>
        <w:rPr>
          <w:rFonts w:hint="eastAsia" w:cs="Times New Roman"/>
          <w:b w:val="0"/>
          <w:bCs w:val="0"/>
          <w:color w:val="auto"/>
          <w:sz w:val="24"/>
          <w:szCs w:val="24"/>
          <w:highlight w:val="none"/>
          <w:lang w:val="en-US" w:eastAsia="zh-CN"/>
        </w:rPr>
        <w:t>1.04</w:t>
      </w:r>
      <w:r>
        <w:rPr>
          <w:rFonts w:hint="eastAsia" w:ascii="Times New Roman" w:hAnsi="Times New Roman" w:cs="Times New Roman"/>
          <w:b w:val="0"/>
          <w:bCs w:val="0"/>
          <w:color w:val="auto"/>
          <w:sz w:val="24"/>
          <w:szCs w:val="24"/>
          <w:highlight w:val="none"/>
          <w:lang w:val="en-US" w:eastAsia="zh-CN"/>
        </w:rPr>
        <w:t>E-0</w:t>
      </w:r>
      <w:r>
        <w:rPr>
          <w:rFonts w:hint="eastAsia" w:cs="Times New Roman"/>
          <w:b w:val="0"/>
          <w:bCs w:val="0"/>
          <w:color w:val="auto"/>
          <w:sz w:val="24"/>
          <w:szCs w:val="24"/>
          <w:highlight w:val="none"/>
          <w:lang w:val="en-US" w:eastAsia="zh-CN"/>
        </w:rPr>
        <w:t>4</w:t>
      </w:r>
      <w:r>
        <w:rPr>
          <w:rFonts w:ascii="Times New Roman" w:hAnsi="Times New Roman" w:cs="Times New Roman"/>
          <w:b w:val="0"/>
          <w:bCs w:val="0"/>
          <w:color w:val="auto"/>
          <w:sz w:val="24"/>
          <w:szCs w:val="24"/>
          <w:highlight w:val="none"/>
          <w:lang w:eastAsia="zh-CN"/>
        </w:rPr>
        <w:t>mg/m</w:t>
      </w:r>
      <w:r>
        <w:rPr>
          <w:rFonts w:ascii="Times New Roman" w:hAnsi="Times New Roman" w:cs="Times New Roman"/>
          <w:b w:val="0"/>
          <w:bCs w:val="0"/>
          <w:color w:val="auto"/>
          <w:sz w:val="24"/>
          <w:szCs w:val="24"/>
          <w:highlight w:val="none"/>
          <w:vertAlign w:val="superscript"/>
          <w:lang w:eastAsia="zh-CN"/>
        </w:rPr>
        <w:t>3</w:t>
      </w:r>
      <w:r>
        <w:rPr>
          <w:rFonts w:ascii="Times New Roman" w:hAnsi="Times New Roman" w:cs="Times New Roman"/>
          <w:b w:val="0"/>
          <w:bCs w:val="0"/>
          <w:color w:val="auto"/>
          <w:sz w:val="24"/>
          <w:szCs w:val="24"/>
          <w:highlight w:val="none"/>
          <w:lang w:eastAsia="zh-CN"/>
        </w:rPr>
        <w:t>，占标率为</w:t>
      </w:r>
      <w:r>
        <w:rPr>
          <w:rFonts w:hint="eastAsia" w:cs="Times New Roman"/>
          <w:b w:val="0"/>
          <w:bCs w:val="0"/>
          <w:color w:val="auto"/>
          <w:sz w:val="24"/>
          <w:szCs w:val="24"/>
          <w:highlight w:val="none"/>
          <w:lang w:val="en-US" w:eastAsia="zh-CN"/>
        </w:rPr>
        <w:t>1.04</w:t>
      </w:r>
      <w:r>
        <w:rPr>
          <w:rFonts w:ascii="Times New Roman" w:hAnsi="Times New Roman" w:cs="Times New Roman"/>
          <w:b w:val="0"/>
          <w:bCs w:val="0"/>
          <w:color w:val="auto"/>
          <w:sz w:val="24"/>
          <w:szCs w:val="24"/>
          <w:highlight w:val="none"/>
          <w:lang w:eastAsia="zh-CN"/>
        </w:rPr>
        <w:t>%</w:t>
      </w:r>
      <w:r>
        <w:rPr>
          <w:rFonts w:hint="eastAsia" w:ascii="Times New Roman" w:hAnsi="Times New Roman" w:cs="Times New Roman"/>
          <w:b w:val="0"/>
          <w:bCs w:val="0"/>
          <w:color w:val="auto"/>
          <w:sz w:val="24"/>
          <w:szCs w:val="24"/>
          <w:highlight w:val="none"/>
          <w:lang w:eastAsia="zh-CN"/>
        </w:rPr>
        <w:t>。最大地面浓度</w:t>
      </w:r>
      <w:r>
        <w:rPr>
          <w:rFonts w:ascii="Times New Roman" w:hAnsi="Times New Roman" w:cs="Times New Roman"/>
          <w:b w:val="0"/>
          <w:bCs w:val="0"/>
          <w:color w:val="auto"/>
          <w:sz w:val="24"/>
          <w:szCs w:val="24"/>
          <w:highlight w:val="none"/>
          <w:lang w:eastAsia="zh-CN"/>
        </w:rPr>
        <w:t>出现在下风向</w:t>
      </w:r>
      <w:r>
        <w:rPr>
          <w:rFonts w:hint="eastAsia" w:cs="Times New Roman"/>
          <w:b w:val="0"/>
          <w:bCs w:val="0"/>
          <w:color w:val="auto"/>
          <w:sz w:val="24"/>
          <w:szCs w:val="24"/>
          <w:highlight w:val="none"/>
          <w:lang w:val="en-US" w:eastAsia="zh-CN"/>
        </w:rPr>
        <w:t>4</w:t>
      </w:r>
      <w:r>
        <w:rPr>
          <w:rFonts w:hint="eastAsia" w:ascii="Times New Roman" w:hAnsi="Times New Roman" w:cs="Times New Roman"/>
          <w:b w:val="0"/>
          <w:bCs w:val="0"/>
          <w:color w:val="auto"/>
          <w:sz w:val="24"/>
          <w:szCs w:val="24"/>
          <w:highlight w:val="none"/>
          <w:lang w:val="en-US" w:eastAsia="zh-CN"/>
        </w:rPr>
        <w:t>m</w:t>
      </w:r>
      <w:r>
        <w:rPr>
          <w:rFonts w:ascii="Times New Roman" w:hAnsi="Times New Roman" w:cs="Times New Roman"/>
          <w:b w:val="0"/>
          <w:bCs w:val="0"/>
          <w:color w:val="auto"/>
          <w:sz w:val="24"/>
          <w:szCs w:val="24"/>
          <w:highlight w:val="none"/>
          <w:lang w:eastAsia="zh-CN"/>
        </w:rPr>
        <w:t>处</w:t>
      </w:r>
      <w:r>
        <w:rPr>
          <w:rFonts w:hint="eastAsia"/>
          <w:b w:val="0"/>
          <w:bCs w:val="0"/>
          <w:color w:val="auto"/>
          <w:sz w:val="24"/>
          <w:szCs w:val="24"/>
          <w:highlight w:val="none"/>
          <w:lang w:eastAsia="zh-CN"/>
        </w:rPr>
        <w:t>，</w:t>
      </w:r>
      <w:r>
        <w:rPr>
          <w:rFonts w:ascii="Times New Roman" w:hAnsi="Times New Roman" w:cs="Times New Roman"/>
          <w:b w:val="0"/>
          <w:bCs w:val="0"/>
          <w:color w:val="auto"/>
          <w:sz w:val="24"/>
          <w:szCs w:val="24"/>
          <w:highlight w:val="none"/>
          <w:lang w:eastAsia="zh-CN"/>
        </w:rPr>
        <w:t>可见本项目大气</w:t>
      </w:r>
      <w:r>
        <w:rPr>
          <w:rFonts w:hint="eastAsia" w:ascii="Times New Roman" w:hAnsi="Times New Roman" w:cs="Times New Roman"/>
          <w:b w:val="0"/>
          <w:bCs w:val="0"/>
          <w:color w:val="auto"/>
          <w:sz w:val="24"/>
          <w:szCs w:val="24"/>
          <w:highlight w:val="none"/>
          <w:lang w:eastAsia="zh-CN"/>
        </w:rPr>
        <w:t>无组织排放</w:t>
      </w:r>
      <w:r>
        <w:rPr>
          <w:rFonts w:ascii="Times New Roman" w:hAnsi="Times New Roman" w:cs="Times New Roman"/>
          <w:b w:val="0"/>
          <w:bCs w:val="0"/>
          <w:color w:val="auto"/>
          <w:sz w:val="24"/>
          <w:szCs w:val="24"/>
          <w:highlight w:val="none"/>
          <w:lang w:eastAsia="zh-CN"/>
        </w:rPr>
        <w:t>污染因子的污染贡献值均小于10%，占标率较小，对周围大气环境质量影响不大</w:t>
      </w:r>
      <w:r>
        <w:rPr>
          <w:rFonts w:hint="eastAsia" w:ascii="Times New Roman" w:hAnsi="Times New Roman" w:cs="Times New Roman"/>
          <w:b w:val="0"/>
          <w:bCs w:val="0"/>
          <w:color w:val="auto"/>
          <w:sz w:val="24"/>
          <w:szCs w:val="24"/>
          <w:highlight w:val="none"/>
          <w:lang w:eastAsia="zh-CN"/>
        </w:rPr>
        <w:t>，无需设置大气环境防护距离</w:t>
      </w:r>
      <w:r>
        <w:rPr>
          <w:rFonts w:ascii="Times New Roman" w:hAnsi="Times New Roman" w:cs="Times New Roman"/>
          <w:b w:val="0"/>
          <w:bCs w:val="0"/>
          <w:color w:val="auto"/>
          <w:sz w:val="24"/>
          <w:szCs w:val="24"/>
          <w:highlight w:val="none"/>
          <w:lang w:eastAsia="zh-CN"/>
        </w:rPr>
        <w:t>。</w:t>
      </w:r>
    </w:p>
    <w:p w14:paraId="306E56C4">
      <w:pPr>
        <w:pStyle w:val="31"/>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本项目各大气污染物排放情况汇总如下表所示：</w:t>
      </w:r>
    </w:p>
    <w:p w14:paraId="3266C206">
      <w:pPr>
        <w:pStyle w:val="3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outlineLvl w:val="9"/>
        <w:rPr>
          <w:rFonts w:hint="eastAsia" w:ascii="Times New Roman" w:hAnsi="Times New Roman" w:cs="Times New Roman"/>
          <w:color w:val="auto"/>
          <w:sz w:val="21"/>
          <w:szCs w:val="21"/>
          <w:highlight w:val="none"/>
          <w:lang w:eastAsia="zh-CN"/>
        </w:rPr>
      </w:pPr>
      <w:r>
        <w:rPr>
          <w:rFonts w:hint="eastAsia" w:ascii="Times New Roman" w:hAnsi="Times New Roman" w:eastAsia="宋体" w:cs="Times New Roman"/>
          <w:b/>
          <w:bCs/>
          <w:color w:val="auto"/>
          <w:kern w:val="2"/>
          <w:sz w:val="21"/>
          <w:szCs w:val="21"/>
          <w:highlight w:val="none"/>
          <w:vertAlign w:val="baseline"/>
          <w:lang w:val="en-US" w:eastAsia="zh-CN" w:bidi="ar-SA"/>
        </w:rPr>
        <w:t>表</w:t>
      </w:r>
      <w:r>
        <w:rPr>
          <w:rFonts w:hint="eastAsia" w:eastAsia="宋体" w:cs="Times New Roman"/>
          <w:b/>
          <w:bCs/>
          <w:color w:val="auto"/>
          <w:kern w:val="2"/>
          <w:sz w:val="21"/>
          <w:szCs w:val="21"/>
          <w:highlight w:val="none"/>
          <w:vertAlign w:val="baseline"/>
          <w:lang w:val="en-US" w:eastAsia="zh-CN" w:bidi="ar-SA"/>
        </w:rPr>
        <w:t>35</w:t>
      </w:r>
      <w:r>
        <w:rPr>
          <w:rFonts w:hint="eastAsia" w:ascii="Times New Roman" w:hAnsi="Times New Roman" w:eastAsia="宋体" w:cs="Times New Roman"/>
          <w:b/>
          <w:bCs/>
          <w:color w:val="auto"/>
          <w:kern w:val="2"/>
          <w:sz w:val="21"/>
          <w:szCs w:val="21"/>
          <w:highlight w:val="none"/>
          <w:vertAlign w:val="baseline"/>
          <w:lang w:val="en-US" w:eastAsia="zh-CN" w:bidi="ar-SA"/>
        </w:rPr>
        <w:t xml:space="preserve">        </w:t>
      </w:r>
      <w:r>
        <w:rPr>
          <w:rFonts w:hint="eastAsia" w:eastAsia="宋体" w:cs="Times New Roman"/>
          <w:b/>
          <w:bCs/>
          <w:color w:val="auto"/>
          <w:kern w:val="2"/>
          <w:sz w:val="21"/>
          <w:szCs w:val="21"/>
          <w:highlight w:val="none"/>
          <w:vertAlign w:val="baseline"/>
          <w:lang w:val="en-US" w:eastAsia="zh-CN" w:bidi="ar-SA"/>
        </w:rPr>
        <w:t xml:space="preserve">                </w:t>
      </w:r>
      <w:r>
        <w:rPr>
          <w:rFonts w:hint="eastAsia" w:ascii="Times New Roman" w:hAnsi="Times New Roman" w:eastAsia="宋体" w:cs="Times New Roman"/>
          <w:b/>
          <w:bCs/>
          <w:color w:val="auto"/>
          <w:kern w:val="2"/>
          <w:sz w:val="21"/>
          <w:szCs w:val="21"/>
          <w:highlight w:val="none"/>
          <w:vertAlign w:val="baseline"/>
          <w:lang w:val="en-US" w:eastAsia="zh-CN" w:bidi="ar-SA"/>
        </w:rPr>
        <w:t>大气污染物年排放量核算表</w:t>
      </w:r>
    </w:p>
    <w:tbl>
      <w:tblPr>
        <w:tblStyle w:val="25"/>
        <w:tblW w:w="92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095"/>
        <w:gridCol w:w="3096"/>
        <w:gridCol w:w="3095"/>
      </w:tblGrid>
      <w:tr w14:paraId="284D9B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095" w:type="dxa"/>
            <w:tcBorders>
              <w:tl2br w:val="nil"/>
              <w:tr2bl w:val="nil"/>
            </w:tcBorders>
            <w:noWrap w:val="0"/>
            <w:vAlign w:val="center"/>
          </w:tcPr>
          <w:p w14:paraId="2D44D11D">
            <w:pPr>
              <w:pStyle w:val="31"/>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序号</w:t>
            </w:r>
          </w:p>
        </w:tc>
        <w:tc>
          <w:tcPr>
            <w:tcW w:w="3096" w:type="dxa"/>
            <w:tcBorders>
              <w:tl2br w:val="nil"/>
              <w:tr2bl w:val="nil"/>
            </w:tcBorders>
            <w:noWrap w:val="0"/>
            <w:vAlign w:val="center"/>
          </w:tcPr>
          <w:p w14:paraId="3968FA84">
            <w:pPr>
              <w:pStyle w:val="31"/>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污染物</w:t>
            </w:r>
          </w:p>
        </w:tc>
        <w:tc>
          <w:tcPr>
            <w:tcW w:w="3095" w:type="dxa"/>
            <w:tcBorders>
              <w:tl2br w:val="nil"/>
              <w:tr2bl w:val="nil"/>
            </w:tcBorders>
            <w:noWrap w:val="0"/>
            <w:vAlign w:val="center"/>
          </w:tcPr>
          <w:p w14:paraId="5915C2DF">
            <w:pPr>
              <w:pStyle w:val="31"/>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eastAsia="zh-CN"/>
              </w:rPr>
              <w:t>年排放量</w:t>
            </w:r>
            <w:r>
              <w:rPr>
                <w:rFonts w:hint="default" w:ascii="Times New Roman" w:hAnsi="Times New Roman" w:eastAsia="宋体" w:cs="Times New Roman"/>
                <w:color w:val="auto"/>
                <w:sz w:val="21"/>
                <w:szCs w:val="21"/>
                <w:highlight w:val="none"/>
                <w:vertAlign w:val="baseline"/>
                <w:lang w:val="en-US" w:eastAsia="zh-CN"/>
              </w:rPr>
              <w:t>/(</w:t>
            </w:r>
            <w:r>
              <w:rPr>
                <w:rFonts w:hint="eastAsia" w:eastAsia="宋体" w:cs="Times New Roman"/>
                <w:color w:val="auto"/>
                <w:sz w:val="21"/>
                <w:szCs w:val="21"/>
                <w:highlight w:val="none"/>
                <w:vertAlign w:val="baseline"/>
                <w:lang w:val="en-US" w:eastAsia="zh-CN"/>
              </w:rPr>
              <w:t>kg</w:t>
            </w:r>
            <w:r>
              <w:rPr>
                <w:rFonts w:hint="default" w:ascii="Times New Roman" w:hAnsi="Times New Roman" w:eastAsia="宋体" w:cs="Times New Roman"/>
                <w:color w:val="auto"/>
                <w:sz w:val="21"/>
                <w:szCs w:val="21"/>
                <w:highlight w:val="none"/>
                <w:vertAlign w:val="baseline"/>
                <w:lang w:val="en-US" w:eastAsia="zh-CN"/>
              </w:rPr>
              <w:t>/a)</w:t>
            </w:r>
          </w:p>
        </w:tc>
      </w:tr>
      <w:tr w14:paraId="6801C2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095" w:type="dxa"/>
            <w:tcBorders>
              <w:tl2br w:val="nil"/>
              <w:tr2bl w:val="nil"/>
            </w:tcBorders>
            <w:noWrap w:val="0"/>
            <w:vAlign w:val="center"/>
          </w:tcPr>
          <w:p w14:paraId="254579FC">
            <w:pPr>
              <w:pStyle w:val="31"/>
              <w:jc w:val="center"/>
              <w:rPr>
                <w:rFonts w:hint="eastAsia"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w:t>
            </w:r>
          </w:p>
        </w:tc>
        <w:tc>
          <w:tcPr>
            <w:tcW w:w="3096" w:type="dxa"/>
            <w:tcBorders>
              <w:tl2br w:val="nil"/>
              <w:tr2bl w:val="nil"/>
            </w:tcBorders>
            <w:noWrap w:val="0"/>
            <w:vAlign w:val="center"/>
          </w:tcPr>
          <w:p w14:paraId="34953F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color w:val="auto"/>
                <w:sz w:val="21"/>
                <w:szCs w:val="21"/>
                <w:highlight w:val="none"/>
                <w:vertAlign w:val="baseline"/>
                <w:lang w:eastAsia="zh-CN"/>
              </w:rPr>
            </w:pPr>
            <w:r>
              <w:rPr>
                <w:rFonts w:hint="default" w:ascii="Times New Roman" w:hAnsi="Times New Roman" w:cs="Times New Roman"/>
                <w:i w:val="0"/>
                <w:caps w:val="0"/>
                <w:color w:val="auto"/>
                <w:spacing w:val="0"/>
                <w:sz w:val="21"/>
                <w:szCs w:val="21"/>
                <w:highlight w:val="none"/>
                <w:shd w:val="clear" w:fill="FFFFFF"/>
                <w:lang w:val="en-US" w:eastAsia="zh-CN"/>
              </w:rPr>
              <w:t>NH</w:t>
            </w:r>
            <w:r>
              <w:rPr>
                <w:rFonts w:hint="default" w:ascii="Times New Roman" w:hAnsi="Times New Roman" w:cs="Times New Roman"/>
                <w:i w:val="0"/>
                <w:caps w:val="0"/>
                <w:color w:val="auto"/>
                <w:spacing w:val="0"/>
                <w:sz w:val="21"/>
                <w:szCs w:val="21"/>
                <w:highlight w:val="none"/>
                <w:shd w:val="clear" w:fill="FFFFFF"/>
                <w:vertAlign w:val="subscript"/>
                <w:lang w:val="en-US" w:eastAsia="zh-CN"/>
              </w:rPr>
              <w:t>3</w:t>
            </w:r>
          </w:p>
        </w:tc>
        <w:tc>
          <w:tcPr>
            <w:tcW w:w="3095" w:type="dxa"/>
            <w:tcBorders>
              <w:tl2br w:val="nil"/>
              <w:tr2bl w:val="nil"/>
            </w:tcBorders>
            <w:noWrap w:val="0"/>
            <w:vAlign w:val="center"/>
          </w:tcPr>
          <w:p w14:paraId="0DBAC318">
            <w:pPr>
              <w:jc w:val="center"/>
              <w:rPr>
                <w:rFonts w:hint="eastAsia"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9.38</w:t>
            </w:r>
          </w:p>
        </w:tc>
      </w:tr>
      <w:tr w14:paraId="7E1DA4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095" w:type="dxa"/>
            <w:tcBorders>
              <w:tl2br w:val="nil"/>
              <w:tr2bl w:val="nil"/>
            </w:tcBorders>
            <w:noWrap w:val="0"/>
            <w:vAlign w:val="center"/>
          </w:tcPr>
          <w:p w14:paraId="5CB8311A">
            <w:pPr>
              <w:pStyle w:val="31"/>
              <w:jc w:val="center"/>
              <w:rPr>
                <w:rFonts w:hint="eastAsia"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w:t>
            </w:r>
          </w:p>
        </w:tc>
        <w:tc>
          <w:tcPr>
            <w:tcW w:w="3096" w:type="dxa"/>
            <w:tcBorders>
              <w:tl2br w:val="nil"/>
              <w:tr2bl w:val="nil"/>
            </w:tcBorders>
            <w:noWrap w:val="0"/>
            <w:vAlign w:val="center"/>
          </w:tcPr>
          <w:p w14:paraId="4535E6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cs="Times New Roman"/>
                <w:color w:val="auto"/>
                <w:sz w:val="21"/>
                <w:szCs w:val="21"/>
                <w:highlight w:val="none"/>
                <w:vertAlign w:val="baseline"/>
                <w:lang w:eastAsia="zh-CN"/>
              </w:rPr>
            </w:pPr>
            <w:r>
              <w:rPr>
                <w:rFonts w:hint="default" w:ascii="Times New Roman" w:hAnsi="Times New Roman" w:cs="Times New Roman"/>
                <w:i w:val="0"/>
                <w:caps w:val="0"/>
                <w:color w:val="auto"/>
                <w:spacing w:val="0"/>
                <w:sz w:val="21"/>
                <w:szCs w:val="21"/>
                <w:highlight w:val="none"/>
                <w:shd w:val="clear" w:fill="FFFFFF"/>
                <w:lang w:val="en-US" w:eastAsia="zh-CN"/>
              </w:rPr>
              <w:t>H</w:t>
            </w:r>
            <w:r>
              <w:rPr>
                <w:rFonts w:hint="default" w:ascii="Times New Roman" w:hAnsi="Times New Roman" w:cs="Times New Roman"/>
                <w:i w:val="0"/>
                <w:caps w:val="0"/>
                <w:color w:val="auto"/>
                <w:spacing w:val="0"/>
                <w:sz w:val="21"/>
                <w:szCs w:val="21"/>
                <w:highlight w:val="none"/>
                <w:shd w:val="clear" w:fill="FFFFFF"/>
                <w:vertAlign w:val="subscript"/>
                <w:lang w:val="en-US" w:eastAsia="zh-CN"/>
              </w:rPr>
              <w:t>2</w:t>
            </w:r>
            <w:r>
              <w:rPr>
                <w:rFonts w:hint="default" w:ascii="Times New Roman" w:hAnsi="Times New Roman" w:cs="Times New Roman"/>
                <w:i w:val="0"/>
                <w:caps w:val="0"/>
                <w:color w:val="auto"/>
                <w:spacing w:val="0"/>
                <w:sz w:val="21"/>
                <w:szCs w:val="21"/>
                <w:highlight w:val="none"/>
                <w:shd w:val="clear" w:fill="FFFFFF"/>
                <w:lang w:val="en-US" w:eastAsia="zh-CN"/>
              </w:rPr>
              <w:t>S</w:t>
            </w:r>
          </w:p>
        </w:tc>
        <w:tc>
          <w:tcPr>
            <w:tcW w:w="3095" w:type="dxa"/>
            <w:tcBorders>
              <w:tl2br w:val="nil"/>
              <w:tr2bl w:val="nil"/>
            </w:tcBorders>
            <w:noWrap w:val="0"/>
            <w:vAlign w:val="center"/>
          </w:tcPr>
          <w:p w14:paraId="21E180C5">
            <w:pPr>
              <w:jc w:val="center"/>
              <w:rPr>
                <w:rFonts w:hint="eastAsia" w:ascii="Times New Roman" w:hAnsi="Times New Roman" w:cs="Times New Roman"/>
                <w:color w:val="auto"/>
                <w:sz w:val="21"/>
                <w:szCs w:val="21"/>
                <w:highlight w:val="none"/>
                <w:vertAlign w:val="baseline"/>
                <w:lang w:val="en-US" w:eastAsia="zh-CN"/>
              </w:rPr>
            </w:pPr>
            <w:r>
              <w:rPr>
                <w:rFonts w:hint="eastAsia"/>
                <w:color w:val="auto"/>
                <w:sz w:val="21"/>
                <w:szCs w:val="21"/>
                <w:highlight w:val="none"/>
                <w:lang w:val="en-US" w:eastAsia="zh-CN"/>
              </w:rPr>
              <w:t>0.33</w:t>
            </w:r>
          </w:p>
        </w:tc>
      </w:tr>
    </w:tbl>
    <w:p w14:paraId="0454FB7F">
      <w:pPr>
        <w:adjustRightInd w:val="0"/>
        <w:snapToGrid w:val="0"/>
        <w:spacing w:line="360" w:lineRule="auto"/>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2水环境影响分析</w:t>
      </w:r>
    </w:p>
    <w:p w14:paraId="78D8E4D1">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2.1评价等级</w:t>
      </w:r>
    </w:p>
    <w:p w14:paraId="6645E94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highlight w:val="none"/>
          <w:lang w:val="en-US" w:eastAsia="zh-CN"/>
        </w:rPr>
      </w:pPr>
      <w:r>
        <w:rPr>
          <w:rFonts w:hint="eastAsia" w:ascii="Times New Roman" w:hAnsi="Times New Roman" w:cs="Times New Roman"/>
          <w:color w:val="auto"/>
          <w:sz w:val="24"/>
          <w:szCs w:val="24"/>
          <w:highlight w:val="none"/>
          <w:lang w:val="en-US" w:eastAsia="zh-CN"/>
        </w:rPr>
        <w:t>本项目医疗废水、生活污水经处理后排入</w:t>
      </w:r>
      <w:r>
        <w:rPr>
          <w:rFonts w:hint="default" w:ascii="Times New Roman" w:hAnsi="Times New Roman" w:cs="Times New Roman"/>
          <w:color w:val="auto"/>
          <w:sz w:val="24"/>
          <w:szCs w:val="24"/>
          <w:highlight w:val="none"/>
          <w:lang w:val="en-US" w:eastAsia="zh-CN"/>
        </w:rPr>
        <w:t>本溪市污水处理厂</w:t>
      </w:r>
      <w:r>
        <w:rPr>
          <w:rFonts w:hint="eastAsia" w:ascii="Times New Roman" w:hAnsi="Times New Roman" w:cs="Times New Roman"/>
          <w:color w:val="auto"/>
          <w:sz w:val="24"/>
          <w:szCs w:val="24"/>
          <w:highlight w:val="none"/>
          <w:lang w:val="en-US" w:eastAsia="zh-CN"/>
        </w:rPr>
        <w:t>，为间接排放建设项目，根据《环境影响评价技术导则 地表水环境》（HJ2.3-2018），本项目地表水评价等级为三级B。</w:t>
      </w:r>
    </w:p>
    <w:p w14:paraId="164B8EE9">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2.2评价范围</w:t>
      </w:r>
    </w:p>
    <w:p w14:paraId="52AEF246">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本项目地表水评价等级为三级B，根据《环境影响评价技术导则 地表水环境</w:t>
      </w:r>
    </w:p>
    <w:p w14:paraId="1F3F6B18">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（HJ2.3-2018），评价范围应满足其依托污水处理设施环境可行性分析的要求，故本项目地表水评价范围为</w:t>
      </w:r>
      <w:r>
        <w:rPr>
          <w:rFonts w:hint="default"/>
          <w:color w:val="auto"/>
          <w:sz w:val="24"/>
          <w:szCs w:val="24"/>
          <w:highlight w:val="none"/>
        </w:rPr>
        <w:t>本溪市污水处理厂</w:t>
      </w:r>
      <w:r>
        <w:rPr>
          <w:rFonts w:hint="eastAsia" w:ascii="Times New Roman" w:hAnsi="Times New Roman" w:cs="Times New Roman"/>
          <w:color w:val="auto"/>
          <w:sz w:val="24"/>
          <w:szCs w:val="24"/>
          <w:highlight w:val="none"/>
          <w:lang w:val="en-US" w:eastAsia="zh-CN"/>
        </w:rPr>
        <w:t>出口上游500m到下游1000m。</w:t>
      </w:r>
    </w:p>
    <w:p w14:paraId="2C88A0E9">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default"/>
          <w:b/>
          <w:bCs/>
          <w:color w:val="auto"/>
          <w:highlight w:val="none"/>
          <w:lang w:val="en-US" w:eastAsia="zh-CN"/>
        </w:rPr>
      </w:pPr>
      <w:r>
        <w:rPr>
          <w:rFonts w:hint="eastAsia" w:ascii="Times New Roman" w:hAnsi="Times New Roman" w:cs="Times New Roman"/>
          <w:b/>
          <w:bCs/>
          <w:color w:val="auto"/>
          <w:sz w:val="24"/>
          <w:szCs w:val="24"/>
          <w:highlight w:val="none"/>
          <w:lang w:val="en-US" w:eastAsia="zh-CN"/>
        </w:rPr>
        <w:t>2.3影响分析</w:t>
      </w:r>
    </w:p>
    <w:p w14:paraId="00C77CDF">
      <w:pPr>
        <w:adjustRightInd w:val="0"/>
        <w:snapToGrid w:val="0"/>
        <w:spacing w:line="360" w:lineRule="auto"/>
        <w:ind w:firstLine="480" w:firstLineChars="200"/>
        <w:jc w:val="left"/>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eastAsia="zh-CN"/>
        </w:rPr>
        <w:t>本项目不设置化验室，化验委托本溪市第一人民医院进行，不产生</w:t>
      </w:r>
      <w:r>
        <w:rPr>
          <w:rFonts w:hint="eastAsia"/>
          <w:color w:val="auto"/>
          <w:sz w:val="24"/>
          <w:szCs w:val="24"/>
          <w:highlight w:val="none"/>
          <w:lang w:eastAsia="zh-CN"/>
        </w:rPr>
        <w:t>酸性污水、含氰污水、含汞污水、含铬污水等特殊医疗废水。采用电脑自动成像技术，不使用水洗洗片工艺，无洗印污水、放射性废水产生</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医院</w:t>
      </w:r>
      <w:r>
        <w:rPr>
          <w:rFonts w:hint="default" w:ascii="Times New Roman" w:hAnsi="Times New Roman" w:cs="Times New Roman"/>
          <w:color w:val="auto"/>
          <w:sz w:val="24"/>
          <w:szCs w:val="24"/>
          <w:highlight w:val="none"/>
        </w:rPr>
        <w:t>排水主要包括门诊部、</w:t>
      </w:r>
      <w:r>
        <w:rPr>
          <w:rFonts w:hint="eastAsia" w:cs="Times New Roman"/>
          <w:color w:val="auto"/>
          <w:sz w:val="24"/>
          <w:szCs w:val="24"/>
          <w:highlight w:val="none"/>
          <w:lang w:eastAsia="zh-CN"/>
        </w:rPr>
        <w:t>病房</w:t>
      </w:r>
      <w:r>
        <w:rPr>
          <w:rFonts w:hint="default" w:ascii="Times New Roman" w:hAnsi="Times New Roman" w:cs="Times New Roman"/>
          <w:color w:val="auto"/>
          <w:sz w:val="24"/>
          <w:szCs w:val="24"/>
          <w:highlight w:val="none"/>
          <w:lang w:eastAsia="zh-CN"/>
        </w:rPr>
        <w:t>、</w:t>
      </w:r>
      <w:r>
        <w:rPr>
          <w:rFonts w:hint="eastAsia" w:cs="Times New Roman"/>
          <w:color w:val="auto"/>
          <w:sz w:val="24"/>
          <w:szCs w:val="24"/>
          <w:highlight w:val="none"/>
          <w:lang w:eastAsia="zh-CN"/>
        </w:rPr>
        <w:t>药浴、医务人员及</w:t>
      </w:r>
      <w:r>
        <w:rPr>
          <w:rFonts w:hint="default" w:ascii="Times New Roman" w:hAnsi="Times New Roman" w:cs="Times New Roman"/>
          <w:color w:val="auto"/>
          <w:sz w:val="24"/>
          <w:szCs w:val="24"/>
          <w:highlight w:val="none"/>
        </w:rPr>
        <w:t>公建设施清洁</w:t>
      </w:r>
      <w:r>
        <w:rPr>
          <w:rFonts w:hint="default" w:ascii="Times New Roman" w:hAnsi="Times New Roman" w:cs="Times New Roman"/>
          <w:color w:val="auto"/>
          <w:sz w:val="24"/>
          <w:szCs w:val="24"/>
          <w:highlight w:val="none"/>
          <w:lang w:eastAsia="zh-CN"/>
        </w:rPr>
        <w:t>等</w:t>
      </w:r>
      <w:r>
        <w:rPr>
          <w:rFonts w:hint="default" w:ascii="Times New Roman" w:hAnsi="Times New Roman" w:cs="Times New Roman"/>
          <w:color w:val="auto"/>
          <w:sz w:val="24"/>
          <w:szCs w:val="24"/>
          <w:highlight w:val="none"/>
        </w:rPr>
        <w:t>污水</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主要包括生活污水和医疗废水</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项目</w:t>
      </w:r>
      <w:r>
        <w:rPr>
          <w:rFonts w:hint="default" w:ascii="Times New Roman" w:hAnsi="Times New Roman" w:cs="Times New Roman"/>
          <w:color w:val="auto"/>
          <w:sz w:val="24"/>
          <w:szCs w:val="24"/>
          <w:highlight w:val="none"/>
          <w:lang w:eastAsia="zh-CN"/>
        </w:rPr>
        <w:t>医疗</w:t>
      </w:r>
      <w:r>
        <w:rPr>
          <w:rFonts w:hint="default" w:ascii="Times New Roman" w:hAnsi="Times New Roman" w:cs="Times New Roman"/>
          <w:color w:val="auto"/>
          <w:sz w:val="24"/>
          <w:szCs w:val="24"/>
          <w:highlight w:val="none"/>
        </w:rPr>
        <w:t>废水产生量为</w:t>
      </w:r>
      <w:r>
        <w:rPr>
          <w:rFonts w:hint="eastAsia" w:cs="Times New Roman"/>
          <w:color w:val="auto"/>
          <w:sz w:val="24"/>
          <w:szCs w:val="24"/>
          <w:highlight w:val="none"/>
          <w:lang w:val="en-US" w:eastAsia="zh-CN"/>
        </w:rPr>
        <w:t>6453.2</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default" w:ascii="Times New Roman" w:hAnsi="Times New Roman" w:cs="Times New Roman"/>
          <w:color w:val="auto"/>
          <w:sz w:val="24"/>
          <w:szCs w:val="24"/>
          <w:highlight w:val="none"/>
          <w:lang w:eastAsia="zh-CN"/>
        </w:rPr>
        <w:t>生活污水产生量为</w:t>
      </w:r>
      <w:r>
        <w:rPr>
          <w:rFonts w:hint="eastAsia" w:cs="Times New Roman"/>
          <w:color w:val="auto"/>
          <w:sz w:val="24"/>
          <w:szCs w:val="24"/>
          <w:highlight w:val="none"/>
          <w:lang w:val="en-US" w:eastAsia="zh-CN"/>
        </w:rPr>
        <w:t>4796.1</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主要污染物为COD、SS、NH</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-N、粪大肠菌群</w:t>
      </w:r>
      <w:r>
        <w:rPr>
          <w:rFonts w:hint="eastAsia" w:ascii="Times New Roman" w:hAnsi="Times New Roman" w:cs="Times New Roman"/>
          <w:color w:val="auto"/>
          <w:sz w:val="24"/>
          <w:szCs w:val="24"/>
          <w:highlight w:val="none"/>
          <w:lang w:eastAsia="zh-CN"/>
        </w:rPr>
        <w:t>。</w:t>
      </w:r>
      <w:r>
        <w:rPr>
          <w:rFonts w:hint="eastAsia" w:cs="Times New Roman"/>
          <w:color w:val="auto"/>
          <w:sz w:val="24"/>
          <w:szCs w:val="24"/>
          <w:highlight w:val="none"/>
          <w:lang w:eastAsia="zh-CN"/>
        </w:rPr>
        <w:t>本项目医疗废水及生活污水分类收集，根据本项目工程分析，医疗废水污染物产生量分别为：</w:t>
      </w:r>
      <w:r>
        <w:rPr>
          <w:rFonts w:hint="default" w:ascii="Times New Roman" w:hAnsi="Times New Roman" w:cs="Times New Roman"/>
          <w:color w:val="auto"/>
          <w:sz w:val="24"/>
          <w:szCs w:val="24"/>
          <w:highlight w:val="none"/>
        </w:rPr>
        <w:t>COD</w:t>
      </w:r>
      <w:r>
        <w:rPr>
          <w:rFonts w:hint="eastAsia" w:ascii="Times New Roman" w:hAnsi="Times New Roman" w:cs="Times New Roman"/>
          <w:color w:val="auto"/>
          <w:sz w:val="24"/>
          <w:szCs w:val="24"/>
          <w:highlight w:val="none"/>
          <w:lang w:val="en-US" w:eastAsia="zh-CN"/>
        </w:rPr>
        <w:t xml:space="preserve"> </w:t>
      </w:r>
      <w:r>
        <w:rPr>
          <w:rFonts w:hint="eastAsia" w:cs="Times New Roman"/>
          <w:color w:val="auto"/>
          <w:sz w:val="24"/>
          <w:szCs w:val="24"/>
          <w:highlight w:val="none"/>
          <w:lang w:val="en-US" w:eastAsia="zh-CN"/>
        </w:rPr>
        <w:t>1.61</w:t>
      </w:r>
      <w:r>
        <w:rPr>
          <w:rFonts w:hint="eastAsia" w:ascii="Times New Roman" w:hAnsi="Times New Roman" w:cs="Times New Roman"/>
          <w:color w:val="auto"/>
          <w:sz w:val="24"/>
          <w:szCs w:val="24"/>
          <w:highlight w:val="none"/>
          <w:lang w:val="en-US" w:eastAsia="zh-CN"/>
        </w:rPr>
        <w:t xml:space="preserve">t/a、SS </w:t>
      </w:r>
      <w:r>
        <w:rPr>
          <w:rFonts w:hint="eastAsia" w:cs="Times New Roman"/>
          <w:color w:val="auto"/>
          <w:sz w:val="24"/>
          <w:szCs w:val="24"/>
          <w:highlight w:val="none"/>
          <w:lang w:val="en-US" w:eastAsia="zh-CN"/>
        </w:rPr>
        <w:t>0.65</w:t>
      </w:r>
      <w:r>
        <w:rPr>
          <w:rFonts w:hint="eastAsia" w:ascii="Times New Roman" w:hAnsi="Times New Roman" w:cs="Times New Roman"/>
          <w:color w:val="auto"/>
          <w:sz w:val="24"/>
          <w:szCs w:val="24"/>
          <w:highlight w:val="none"/>
          <w:lang w:val="en-US" w:eastAsia="zh-CN"/>
        </w:rPr>
        <w:t xml:space="preserve">t/a、氨氮 </w:t>
      </w:r>
      <w:r>
        <w:rPr>
          <w:rFonts w:hint="eastAsia" w:cs="Times New Roman"/>
          <w:color w:val="auto"/>
          <w:sz w:val="24"/>
          <w:szCs w:val="24"/>
          <w:highlight w:val="none"/>
          <w:lang w:val="en-US" w:eastAsia="zh-CN"/>
        </w:rPr>
        <w:t>0.18</w:t>
      </w:r>
      <w:r>
        <w:rPr>
          <w:rFonts w:hint="eastAsia" w:ascii="Times New Roman" w:hAnsi="Times New Roman" w:cs="Times New Roman"/>
          <w:color w:val="auto"/>
          <w:sz w:val="24"/>
          <w:szCs w:val="24"/>
          <w:highlight w:val="none"/>
          <w:lang w:val="en-US" w:eastAsia="zh-CN"/>
        </w:rPr>
        <w:t>t/a、</w:t>
      </w:r>
      <w:r>
        <w:rPr>
          <w:rFonts w:hint="default" w:ascii="Times New Roman" w:hAnsi="Times New Roman" w:cs="Times New Roman"/>
          <w:color w:val="auto"/>
          <w:sz w:val="24"/>
          <w:szCs w:val="24"/>
          <w:highlight w:val="none"/>
          <w:lang w:eastAsia="zh-CN"/>
        </w:rPr>
        <w:t>粪大肠菌群数</w:t>
      </w:r>
      <w:r>
        <w:rPr>
          <w:rFonts w:hint="eastAsia"/>
          <w:color w:val="auto"/>
          <w:sz w:val="24"/>
          <w:szCs w:val="24"/>
          <w:highlight w:val="none"/>
          <w:vertAlign w:val="baseline"/>
          <w:lang w:val="en-US" w:eastAsia="zh-CN"/>
        </w:rPr>
        <w:t>6.45</w:t>
      </w:r>
      <w:r>
        <w:rPr>
          <w:rFonts w:hint="default"/>
          <w:color w:val="auto"/>
          <w:sz w:val="24"/>
          <w:szCs w:val="24"/>
          <w:highlight w:val="none"/>
          <w:vertAlign w:val="baseline"/>
          <w:lang w:val="en-US" w:eastAsia="zh-CN"/>
        </w:rPr>
        <w:t>×10</w:t>
      </w:r>
      <w:r>
        <w:rPr>
          <w:rFonts w:hint="default"/>
          <w:color w:val="auto"/>
          <w:sz w:val="24"/>
          <w:szCs w:val="24"/>
          <w:highlight w:val="none"/>
          <w:vertAlign w:val="superscript"/>
          <w:lang w:val="en-US" w:eastAsia="zh-CN"/>
        </w:rPr>
        <w:t>12</w:t>
      </w:r>
      <w:r>
        <w:rPr>
          <w:rFonts w:hint="eastAsia"/>
          <w:color w:val="auto"/>
          <w:sz w:val="24"/>
          <w:szCs w:val="24"/>
          <w:highlight w:val="none"/>
          <w:vertAlign w:val="baseline"/>
          <w:lang w:val="en-US" w:eastAsia="zh-CN"/>
        </w:rPr>
        <w:t>个</w:t>
      </w:r>
      <w:r>
        <w:rPr>
          <w:rFonts w:hint="default"/>
          <w:color w:val="auto"/>
          <w:sz w:val="24"/>
          <w:szCs w:val="24"/>
          <w:highlight w:val="none"/>
          <w:vertAlign w:val="baseline"/>
          <w:lang w:val="en-US" w:eastAsia="zh-CN"/>
        </w:rPr>
        <w:t>/</w:t>
      </w:r>
      <w:r>
        <w:rPr>
          <w:rFonts w:hint="eastAsia"/>
          <w:color w:val="auto"/>
          <w:sz w:val="24"/>
          <w:szCs w:val="24"/>
          <w:highlight w:val="none"/>
          <w:vertAlign w:val="baseline"/>
          <w:lang w:val="en-US" w:eastAsia="zh-CN"/>
        </w:rPr>
        <w:t>a；生活污水污染物产生量分别为：</w:t>
      </w:r>
      <w:r>
        <w:rPr>
          <w:rFonts w:hint="default" w:ascii="Times New Roman" w:hAnsi="Times New Roman" w:cs="Times New Roman"/>
          <w:color w:val="auto"/>
          <w:sz w:val="24"/>
          <w:szCs w:val="24"/>
          <w:highlight w:val="none"/>
        </w:rPr>
        <w:t>COD</w:t>
      </w:r>
      <w:r>
        <w:rPr>
          <w:rFonts w:hint="eastAsia" w:ascii="Times New Roman" w:hAnsi="Times New Roman" w:cs="Times New Roman"/>
          <w:color w:val="auto"/>
          <w:sz w:val="24"/>
          <w:szCs w:val="24"/>
          <w:highlight w:val="none"/>
          <w:lang w:val="en-US" w:eastAsia="zh-CN"/>
        </w:rPr>
        <w:t xml:space="preserve"> </w:t>
      </w:r>
      <w:r>
        <w:rPr>
          <w:rFonts w:hint="eastAsia" w:cs="Times New Roman"/>
          <w:color w:val="auto"/>
          <w:sz w:val="24"/>
          <w:szCs w:val="24"/>
          <w:highlight w:val="none"/>
          <w:lang w:val="en-US" w:eastAsia="zh-CN"/>
        </w:rPr>
        <w:t>1.34</w:t>
      </w:r>
      <w:r>
        <w:rPr>
          <w:rFonts w:hint="eastAsia" w:ascii="Times New Roman" w:hAnsi="Times New Roman" w:cs="Times New Roman"/>
          <w:color w:val="auto"/>
          <w:sz w:val="24"/>
          <w:szCs w:val="24"/>
          <w:highlight w:val="none"/>
          <w:lang w:val="en-US" w:eastAsia="zh-CN"/>
        </w:rPr>
        <w:t xml:space="preserve">t/a、SS </w:t>
      </w:r>
      <w:r>
        <w:rPr>
          <w:rFonts w:hint="eastAsia" w:cs="Times New Roman"/>
          <w:color w:val="auto"/>
          <w:sz w:val="24"/>
          <w:szCs w:val="24"/>
          <w:highlight w:val="none"/>
          <w:lang w:val="en-US" w:eastAsia="zh-CN"/>
        </w:rPr>
        <w:t>1.06</w:t>
      </w:r>
      <w:r>
        <w:rPr>
          <w:rFonts w:hint="eastAsia" w:ascii="Times New Roman" w:hAnsi="Times New Roman" w:cs="Times New Roman"/>
          <w:color w:val="auto"/>
          <w:sz w:val="24"/>
          <w:szCs w:val="24"/>
          <w:highlight w:val="none"/>
          <w:lang w:val="en-US" w:eastAsia="zh-CN"/>
        </w:rPr>
        <w:t xml:space="preserve">t/a、氨氮 </w:t>
      </w:r>
      <w:r>
        <w:rPr>
          <w:rFonts w:hint="eastAsia" w:cs="Times New Roman"/>
          <w:color w:val="auto"/>
          <w:sz w:val="24"/>
          <w:szCs w:val="24"/>
          <w:highlight w:val="none"/>
          <w:lang w:val="en-US" w:eastAsia="zh-CN"/>
        </w:rPr>
        <w:t>0.14</w:t>
      </w:r>
      <w:r>
        <w:rPr>
          <w:rFonts w:hint="eastAsia" w:ascii="Times New Roman" w:hAnsi="Times New Roman" w:cs="Times New Roman"/>
          <w:color w:val="auto"/>
          <w:sz w:val="24"/>
          <w:szCs w:val="24"/>
          <w:highlight w:val="none"/>
          <w:lang w:val="en-US" w:eastAsia="zh-CN"/>
        </w:rPr>
        <w:t>t/a</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医疗废水经消毒接触池处理后，出口控制因子为总余氯，消毒接触池的接触时间为1.5h，控制药物投放量，接触池出口总余氯为6mg/L左右。</w:t>
      </w:r>
      <w:r>
        <w:rPr>
          <w:rFonts w:hint="default" w:ascii="Times New Roman" w:hAnsi="Times New Roman" w:cs="Times New Roman"/>
          <w:color w:val="auto"/>
          <w:sz w:val="24"/>
          <w:szCs w:val="24"/>
          <w:highlight w:val="none"/>
          <w:lang w:val="en-US" w:eastAsia="zh-CN"/>
        </w:rPr>
        <w:t xml:space="preserve"> </w:t>
      </w:r>
    </w:p>
    <w:p w14:paraId="37B49AF9">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根据该医院的规模、性质和处理污水排放去向，将生活污水与医疗废水分别排放，生活污水进入小区内设的化粪池，</w:t>
      </w:r>
      <w:r>
        <w:rPr>
          <w:rFonts w:hint="eastAsia" w:ascii="宋体" w:hAnsi="宋体" w:cs="宋体"/>
          <w:color w:val="auto"/>
          <w:sz w:val="24"/>
          <w:szCs w:val="24"/>
          <w:highlight w:val="none"/>
          <w:lang w:eastAsia="zh-CN"/>
        </w:rPr>
        <w:t>化粪池对污染物的去除效率分别为</w:t>
      </w:r>
      <w:r>
        <w:rPr>
          <w:rFonts w:ascii="Times New Roman" w:hAnsi="Times New Roman" w:cs="Times New Roman"/>
          <w:color w:val="auto"/>
          <w:sz w:val="24"/>
          <w:szCs w:val="24"/>
          <w:highlight w:val="none"/>
        </w:rPr>
        <w:t xml:space="preserve">COD </w:t>
      </w:r>
      <w:r>
        <w:rPr>
          <w:rFonts w:hint="eastAsia" w:cs="Times New Roman"/>
          <w:color w:val="auto"/>
          <w:sz w:val="24"/>
          <w:szCs w:val="24"/>
          <w:highlight w:val="none"/>
          <w:lang w:val="en-US" w:eastAsia="zh-CN"/>
        </w:rPr>
        <w:t>15</w:t>
      </w:r>
      <w:r>
        <w:rPr>
          <w:rFonts w:ascii="Times New Roman" w:hAnsi="Times New Roman" w:cs="Times New Roman"/>
          <w:color w:val="auto"/>
          <w:sz w:val="24"/>
          <w:szCs w:val="24"/>
          <w:highlight w:val="none"/>
        </w:rPr>
        <w:t>%，SS</w:t>
      </w:r>
      <w:r>
        <w:rPr>
          <w:rFonts w:hint="eastAsia" w:cs="Times New Roman"/>
          <w:color w:val="auto"/>
          <w:sz w:val="24"/>
          <w:szCs w:val="24"/>
          <w:highlight w:val="none"/>
          <w:lang w:val="en-US" w:eastAsia="zh-CN"/>
        </w:rPr>
        <w:t>50</w:t>
      </w:r>
      <w:r>
        <w:rPr>
          <w:rFonts w:ascii="Times New Roman" w:hAnsi="Times New Roman" w:cs="Times New Roman"/>
          <w:color w:val="auto"/>
          <w:sz w:val="24"/>
          <w:szCs w:val="24"/>
          <w:highlight w:val="none"/>
        </w:rPr>
        <w:t>%、NH</w:t>
      </w:r>
      <w:r>
        <w:rPr>
          <w:rFonts w:ascii="Times New Roman" w:hAnsi="Times New Roman" w:cs="Times New Roman"/>
          <w:color w:val="auto"/>
          <w:sz w:val="24"/>
          <w:szCs w:val="24"/>
          <w:highlight w:val="none"/>
          <w:vertAlign w:val="subscript"/>
        </w:rPr>
        <w:t>3</w:t>
      </w:r>
      <w:r>
        <w:rPr>
          <w:rFonts w:ascii="Times New Roman" w:hAnsi="Times New Roman" w:cs="Times New Roman"/>
          <w:color w:val="auto"/>
          <w:sz w:val="24"/>
          <w:szCs w:val="24"/>
          <w:highlight w:val="none"/>
        </w:rPr>
        <w:t>-N3%</w:t>
      </w:r>
      <w:r>
        <w:rPr>
          <w:rFonts w:hint="eastAsia" w:cs="Times New Roman"/>
          <w:color w:val="auto"/>
          <w:sz w:val="24"/>
          <w:szCs w:val="24"/>
          <w:highlight w:val="none"/>
          <w:lang w:eastAsia="zh-CN"/>
        </w:rPr>
        <w:t>，</w:t>
      </w:r>
      <w:r>
        <w:rPr>
          <w:rFonts w:hint="eastAsia" w:ascii="宋体" w:hAnsi="宋体" w:cs="宋体"/>
          <w:color w:val="auto"/>
          <w:sz w:val="24"/>
          <w:szCs w:val="24"/>
          <w:highlight w:val="none"/>
        </w:rPr>
        <w:t>经过预处理后进入城市污水管网</w:t>
      </w:r>
      <w:r>
        <w:rPr>
          <w:rFonts w:hint="eastAsia" w:ascii="宋体" w:hAnsi="宋体" w:cs="宋体"/>
          <w:color w:val="auto"/>
          <w:sz w:val="24"/>
          <w:szCs w:val="24"/>
          <w:highlight w:val="none"/>
          <w:lang w:eastAsia="zh-CN"/>
        </w:rPr>
        <w:t>，生活污水污染物排放浓度为</w:t>
      </w:r>
      <w:r>
        <w:rPr>
          <w:rFonts w:hint="default" w:ascii="Times New Roman" w:hAnsi="Times New Roman" w:cs="Times New Roman"/>
          <w:color w:val="auto"/>
          <w:sz w:val="24"/>
          <w:szCs w:val="24"/>
          <w:highlight w:val="none"/>
        </w:rPr>
        <w:t>COD</w:t>
      </w:r>
      <w:r>
        <w:rPr>
          <w:rFonts w:hint="eastAsia" w:ascii="Times New Roman" w:hAnsi="Times New Roman" w:cs="Times New Roman"/>
          <w:color w:val="auto"/>
          <w:sz w:val="24"/>
          <w:szCs w:val="24"/>
          <w:highlight w:val="none"/>
          <w:lang w:val="en-US" w:eastAsia="zh-CN"/>
        </w:rPr>
        <w:t xml:space="preserve"> </w:t>
      </w:r>
      <w:r>
        <w:rPr>
          <w:rFonts w:hint="eastAsia" w:cs="Times New Roman"/>
          <w:color w:val="auto"/>
          <w:sz w:val="24"/>
          <w:szCs w:val="24"/>
          <w:highlight w:val="none"/>
          <w:lang w:val="en-US" w:eastAsia="zh-CN"/>
        </w:rPr>
        <w:t>238</w:t>
      </w:r>
      <w:r>
        <w:rPr>
          <w:rFonts w:hint="eastAsia"/>
          <w:color w:val="auto"/>
          <w:sz w:val="21"/>
          <w:szCs w:val="21"/>
          <w:highlight w:val="none"/>
          <w:vertAlign w:val="baseline"/>
          <w:lang w:val="en-US" w:eastAsia="zh-CN"/>
        </w:rPr>
        <w:t>mg</w:t>
      </w:r>
      <w:r>
        <w:rPr>
          <w:rFonts w:hint="default"/>
          <w:color w:val="auto"/>
          <w:sz w:val="21"/>
          <w:szCs w:val="21"/>
          <w:highlight w:val="none"/>
          <w:vertAlign w:val="baseline"/>
          <w:lang w:val="en-US" w:eastAsia="zh-CN"/>
        </w:rPr>
        <w:t>/L</w:t>
      </w:r>
      <w:r>
        <w:rPr>
          <w:rFonts w:hint="eastAsia" w:ascii="Times New Roman" w:hAnsi="Times New Roman" w:cs="Times New Roman"/>
          <w:color w:val="auto"/>
          <w:sz w:val="24"/>
          <w:szCs w:val="24"/>
          <w:highlight w:val="none"/>
          <w:lang w:val="en-US" w:eastAsia="zh-CN"/>
        </w:rPr>
        <w:t xml:space="preserve">、SS </w:t>
      </w:r>
      <w:r>
        <w:rPr>
          <w:rFonts w:hint="eastAsia" w:cs="Times New Roman"/>
          <w:color w:val="auto"/>
          <w:sz w:val="24"/>
          <w:szCs w:val="24"/>
          <w:highlight w:val="none"/>
          <w:lang w:val="en-US" w:eastAsia="zh-CN"/>
        </w:rPr>
        <w:t>110</w:t>
      </w:r>
      <w:r>
        <w:rPr>
          <w:rFonts w:hint="eastAsia"/>
          <w:color w:val="auto"/>
          <w:sz w:val="21"/>
          <w:szCs w:val="21"/>
          <w:highlight w:val="none"/>
          <w:vertAlign w:val="baseline"/>
          <w:lang w:val="en-US" w:eastAsia="zh-CN"/>
        </w:rPr>
        <w:t>mg</w:t>
      </w:r>
      <w:r>
        <w:rPr>
          <w:rFonts w:hint="default"/>
          <w:color w:val="auto"/>
          <w:sz w:val="21"/>
          <w:szCs w:val="21"/>
          <w:highlight w:val="none"/>
          <w:vertAlign w:val="baseline"/>
          <w:lang w:val="en-US" w:eastAsia="zh-CN"/>
        </w:rPr>
        <w:t>/L</w:t>
      </w:r>
      <w:r>
        <w:rPr>
          <w:rFonts w:hint="eastAsia" w:ascii="Times New Roman" w:hAnsi="Times New Roman" w:cs="Times New Roman"/>
          <w:color w:val="auto"/>
          <w:sz w:val="24"/>
          <w:szCs w:val="24"/>
          <w:highlight w:val="none"/>
          <w:lang w:val="en-US" w:eastAsia="zh-CN"/>
        </w:rPr>
        <w:t xml:space="preserve">、氨氮 </w:t>
      </w:r>
      <w:r>
        <w:rPr>
          <w:rFonts w:hint="eastAsia" w:cs="Times New Roman"/>
          <w:color w:val="auto"/>
          <w:sz w:val="24"/>
          <w:szCs w:val="24"/>
          <w:highlight w:val="none"/>
          <w:lang w:val="en-US" w:eastAsia="zh-CN"/>
        </w:rPr>
        <w:t>29.1</w:t>
      </w:r>
      <w:r>
        <w:rPr>
          <w:rFonts w:hint="eastAsia"/>
          <w:color w:val="auto"/>
          <w:sz w:val="21"/>
          <w:szCs w:val="21"/>
          <w:highlight w:val="none"/>
          <w:vertAlign w:val="baseline"/>
          <w:lang w:val="en-US" w:eastAsia="zh-CN"/>
        </w:rPr>
        <w:t>mg</w:t>
      </w:r>
      <w:r>
        <w:rPr>
          <w:rFonts w:hint="default"/>
          <w:color w:val="auto"/>
          <w:sz w:val="21"/>
          <w:szCs w:val="21"/>
          <w:highlight w:val="none"/>
          <w:vertAlign w:val="baseline"/>
          <w:lang w:val="en-US" w:eastAsia="zh-CN"/>
        </w:rPr>
        <w:t>/L</w:t>
      </w:r>
      <w:r>
        <w:rPr>
          <w:rFonts w:hint="eastAsia"/>
          <w:color w:val="auto"/>
          <w:sz w:val="21"/>
          <w:szCs w:val="21"/>
          <w:highlight w:val="none"/>
          <w:vertAlign w:val="baseline"/>
          <w:lang w:val="en-US" w:eastAsia="zh-CN"/>
        </w:rPr>
        <w:t>，</w:t>
      </w:r>
      <w:r>
        <w:rPr>
          <w:rFonts w:hint="eastAsia"/>
          <w:color w:val="auto"/>
          <w:sz w:val="24"/>
          <w:szCs w:val="24"/>
          <w:highlight w:val="none"/>
          <w:vertAlign w:val="baseline"/>
          <w:lang w:val="en-US" w:eastAsia="zh-CN"/>
        </w:rPr>
        <w:t>排放量为</w:t>
      </w:r>
      <w:r>
        <w:rPr>
          <w:rFonts w:hint="default" w:ascii="Times New Roman" w:hAnsi="Times New Roman" w:cs="Times New Roman"/>
          <w:color w:val="auto"/>
          <w:sz w:val="24"/>
          <w:szCs w:val="24"/>
          <w:highlight w:val="none"/>
        </w:rPr>
        <w:t>COD</w:t>
      </w:r>
      <w:r>
        <w:rPr>
          <w:rFonts w:hint="eastAsia" w:ascii="Times New Roman" w:hAnsi="Times New Roman" w:cs="Times New Roman"/>
          <w:color w:val="auto"/>
          <w:sz w:val="24"/>
          <w:szCs w:val="24"/>
          <w:highlight w:val="none"/>
          <w:lang w:val="en-US" w:eastAsia="zh-CN"/>
        </w:rPr>
        <w:t xml:space="preserve"> </w:t>
      </w:r>
      <w:r>
        <w:rPr>
          <w:rFonts w:hint="eastAsia" w:cs="Times New Roman"/>
          <w:color w:val="auto"/>
          <w:sz w:val="24"/>
          <w:szCs w:val="24"/>
          <w:highlight w:val="none"/>
          <w:lang w:val="en-US" w:eastAsia="zh-CN"/>
        </w:rPr>
        <w:t>1.14</w:t>
      </w:r>
      <w:r>
        <w:rPr>
          <w:rFonts w:hint="eastAsia" w:ascii="Times New Roman" w:hAnsi="Times New Roman" w:cs="Times New Roman"/>
          <w:color w:val="auto"/>
          <w:sz w:val="24"/>
          <w:szCs w:val="24"/>
          <w:highlight w:val="none"/>
          <w:lang w:val="en-US" w:eastAsia="zh-CN"/>
        </w:rPr>
        <w:t xml:space="preserve">t/a、SS </w:t>
      </w:r>
      <w:r>
        <w:rPr>
          <w:rFonts w:hint="eastAsia" w:cs="Times New Roman"/>
          <w:color w:val="auto"/>
          <w:sz w:val="24"/>
          <w:szCs w:val="24"/>
          <w:highlight w:val="none"/>
          <w:lang w:val="en-US" w:eastAsia="zh-CN"/>
        </w:rPr>
        <w:t>0.53</w:t>
      </w:r>
      <w:r>
        <w:rPr>
          <w:rFonts w:hint="eastAsia" w:ascii="Times New Roman" w:hAnsi="Times New Roman" w:cs="Times New Roman"/>
          <w:color w:val="auto"/>
          <w:sz w:val="24"/>
          <w:szCs w:val="24"/>
          <w:highlight w:val="none"/>
          <w:lang w:val="en-US" w:eastAsia="zh-CN"/>
        </w:rPr>
        <w:t xml:space="preserve">t/a、氨氮 </w:t>
      </w:r>
      <w:r>
        <w:rPr>
          <w:rFonts w:hint="eastAsia" w:cs="Times New Roman"/>
          <w:color w:val="auto"/>
          <w:sz w:val="24"/>
          <w:szCs w:val="24"/>
          <w:highlight w:val="none"/>
          <w:lang w:val="en-US" w:eastAsia="zh-CN"/>
        </w:rPr>
        <w:t>0.136</w:t>
      </w:r>
      <w:r>
        <w:rPr>
          <w:rFonts w:hint="eastAsia" w:ascii="Times New Roman" w:hAnsi="Times New Roman" w:cs="Times New Roman"/>
          <w:color w:val="auto"/>
          <w:sz w:val="24"/>
          <w:szCs w:val="24"/>
          <w:highlight w:val="none"/>
          <w:lang w:val="en-US" w:eastAsia="zh-CN"/>
        </w:rPr>
        <w:t>t/a</w:t>
      </w:r>
      <w:r>
        <w:rPr>
          <w:rFonts w:hint="eastAsia" w:cs="Times New Roman"/>
          <w:color w:val="auto"/>
          <w:sz w:val="24"/>
          <w:szCs w:val="24"/>
          <w:highlight w:val="none"/>
          <w:lang w:val="en-US" w:eastAsia="zh-CN"/>
        </w:rPr>
        <w:t>，</w:t>
      </w:r>
      <w:r>
        <w:rPr>
          <w:rFonts w:hint="eastAsia" w:ascii="宋体" w:hAnsi="宋体" w:cs="宋体"/>
          <w:color w:val="auto"/>
          <w:sz w:val="24"/>
          <w:szCs w:val="24"/>
          <w:highlight w:val="none"/>
          <w:lang w:eastAsia="zh-CN"/>
        </w:rPr>
        <w:t>生活污水排放浓度满足</w:t>
      </w:r>
      <w:r>
        <w:rPr>
          <w:rFonts w:hint="default" w:ascii="Times New Roman" w:hAnsi="Times New Roman" w:cs="Times New Roman"/>
          <w:smallCaps/>
          <w:color w:val="auto"/>
          <w:sz w:val="24"/>
          <w:szCs w:val="24"/>
          <w:highlight w:val="none"/>
        </w:rPr>
        <w:t>《辽宁省污水综合排放标准》(DB21/1627-2008)表</w:t>
      </w:r>
      <w:r>
        <w:rPr>
          <w:rFonts w:hint="eastAsia" w:cs="Times New Roman"/>
          <w:smallCaps/>
          <w:color w:val="auto"/>
          <w:sz w:val="24"/>
          <w:szCs w:val="24"/>
          <w:highlight w:val="none"/>
          <w:lang w:val="en-US" w:eastAsia="zh-CN"/>
        </w:rPr>
        <w:t>2</w:t>
      </w:r>
      <w:r>
        <w:rPr>
          <w:rFonts w:hint="default" w:ascii="Times New Roman" w:hAnsi="Times New Roman" w:cs="Times New Roman"/>
          <w:smallCaps/>
          <w:color w:val="auto"/>
          <w:sz w:val="24"/>
          <w:szCs w:val="24"/>
          <w:highlight w:val="none"/>
        </w:rPr>
        <w:t>标准</w:t>
      </w:r>
      <w:r>
        <w:rPr>
          <w:rFonts w:hint="eastAsia" w:cs="Times New Roman"/>
          <w:smallCaps/>
          <w:color w:val="auto"/>
          <w:sz w:val="24"/>
          <w:szCs w:val="24"/>
          <w:highlight w:val="none"/>
          <w:lang w:eastAsia="zh-CN"/>
        </w:rPr>
        <w:t>要求</w:t>
      </w:r>
      <w:r>
        <w:rPr>
          <w:rFonts w:hint="eastAsia" w:ascii="宋体" w:hAnsi="宋体" w:cs="宋体"/>
          <w:color w:val="auto"/>
          <w:sz w:val="24"/>
          <w:szCs w:val="24"/>
          <w:highlight w:val="none"/>
        </w:rPr>
        <w:t>。医疗废水</w:t>
      </w:r>
      <w:r>
        <w:rPr>
          <w:rFonts w:ascii="Times New Roman" w:hAnsi="Times New Roman" w:cs="Times New Roman"/>
          <w:color w:val="auto"/>
          <w:sz w:val="24"/>
          <w:szCs w:val="24"/>
          <w:highlight w:val="none"/>
        </w:rPr>
        <w:t>采用</w:t>
      </w:r>
      <w:r>
        <w:rPr>
          <w:rFonts w:hint="eastAsia" w:cs="Times New Roman"/>
          <w:color w:val="auto"/>
          <w:sz w:val="24"/>
          <w:szCs w:val="24"/>
          <w:highlight w:val="none"/>
          <w:lang w:eastAsia="zh-CN"/>
        </w:rPr>
        <w:t>“</w:t>
      </w:r>
      <w:r>
        <w:rPr>
          <w:rFonts w:hint="eastAsia" w:ascii="Times New Roman" w:hAnsi="Times New Roman" w:cs="Times New Roman"/>
          <w:color w:val="auto"/>
          <w:sz w:val="24"/>
          <w:szCs w:val="24"/>
          <w:highlight w:val="none"/>
        </w:rPr>
        <w:t>格栅+调节池+絮凝沉淀+消毒</w:t>
      </w:r>
      <w:r>
        <w:rPr>
          <w:rFonts w:hint="eastAsia" w:cs="Times New Roman"/>
          <w:color w:val="auto"/>
          <w:sz w:val="24"/>
          <w:szCs w:val="24"/>
          <w:highlight w:val="none"/>
          <w:lang w:eastAsia="zh-CN"/>
        </w:rPr>
        <w:t>”</w:t>
      </w:r>
      <w:r>
        <w:rPr>
          <w:rFonts w:ascii="Times New Roman" w:hAnsi="Times New Roman" w:cs="Times New Roman"/>
          <w:color w:val="auto"/>
          <w:sz w:val="24"/>
          <w:szCs w:val="24"/>
          <w:highlight w:val="none"/>
        </w:rPr>
        <w:t>工艺进行处理</w:t>
      </w:r>
      <w:r>
        <w:rPr>
          <w:rFonts w:hint="eastAsia" w:ascii="Times New Roman" w:hAnsi="Times New Roman" w:cs="Times New Roman"/>
          <w:color w:val="auto"/>
          <w:sz w:val="24"/>
          <w:szCs w:val="24"/>
          <w:highlight w:val="none"/>
          <w:lang w:eastAsia="zh-CN"/>
        </w:rPr>
        <w:t>，</w:t>
      </w:r>
      <w:r>
        <w:rPr>
          <w:rFonts w:hint="eastAsia" w:cs="Times New Roman"/>
          <w:color w:val="auto"/>
          <w:sz w:val="24"/>
          <w:szCs w:val="24"/>
          <w:highlight w:val="none"/>
          <w:lang w:eastAsia="zh-CN"/>
        </w:rPr>
        <w:t>该套处理工艺为《医院污水处理工程技术规范》（</w:t>
      </w:r>
      <w:r>
        <w:rPr>
          <w:rFonts w:hint="eastAsia" w:cs="Times New Roman"/>
          <w:color w:val="auto"/>
          <w:sz w:val="24"/>
          <w:szCs w:val="24"/>
          <w:highlight w:val="none"/>
          <w:lang w:val="en-US" w:eastAsia="zh-CN"/>
        </w:rPr>
        <w:t>HJ2029-2013</w:t>
      </w:r>
      <w:r>
        <w:rPr>
          <w:rFonts w:hint="eastAsia" w:cs="Times New Roman"/>
          <w:color w:val="auto"/>
          <w:sz w:val="24"/>
          <w:szCs w:val="24"/>
          <w:highlight w:val="none"/>
          <w:lang w:eastAsia="zh-CN"/>
        </w:rPr>
        <w:t>）中推荐的出水排入城市污水管网的非传染病医院污水处理工艺，</w:t>
      </w:r>
      <w:r>
        <w:rPr>
          <w:rFonts w:hint="eastAsia" w:cs="Times New Roman"/>
          <w:color w:val="auto"/>
          <w:sz w:val="24"/>
          <w:szCs w:val="24"/>
          <w:highlight w:val="none"/>
          <w:lang w:val="en-US" w:eastAsia="zh-CN"/>
        </w:rPr>
        <w:t>该套工艺对污染物的去除效率分别为</w:t>
      </w:r>
      <w:r>
        <w:rPr>
          <w:rFonts w:ascii="Times New Roman" w:hAnsi="Times New Roman" w:cs="Times New Roman"/>
          <w:color w:val="auto"/>
          <w:sz w:val="24"/>
          <w:szCs w:val="24"/>
          <w:highlight w:val="none"/>
        </w:rPr>
        <w:t>COD 2</w:t>
      </w:r>
      <w:r>
        <w:rPr>
          <w:rFonts w:hint="eastAsia" w:ascii="Times New Roman" w:hAnsi="Times New Roman" w:cs="Times New Roman"/>
          <w:color w:val="auto"/>
          <w:sz w:val="24"/>
          <w:szCs w:val="24"/>
          <w:highlight w:val="none"/>
        </w:rPr>
        <w:t>0</w:t>
      </w:r>
      <w:r>
        <w:rPr>
          <w:rFonts w:ascii="Times New Roman" w:hAnsi="Times New Roman" w:cs="Times New Roman"/>
          <w:color w:val="auto"/>
          <w:sz w:val="24"/>
          <w:szCs w:val="24"/>
          <w:highlight w:val="none"/>
        </w:rPr>
        <w:t>%，SS7</w:t>
      </w:r>
      <w:r>
        <w:rPr>
          <w:rFonts w:hint="eastAsia" w:ascii="Times New Roman" w:hAnsi="Times New Roman" w:cs="Times New Roman"/>
          <w:color w:val="auto"/>
          <w:sz w:val="24"/>
          <w:szCs w:val="24"/>
          <w:highlight w:val="none"/>
        </w:rPr>
        <w:t>0</w:t>
      </w:r>
      <w:r>
        <w:rPr>
          <w:rFonts w:ascii="Times New Roman" w:hAnsi="Times New Roman" w:cs="Times New Roman"/>
          <w:color w:val="auto"/>
          <w:sz w:val="24"/>
          <w:szCs w:val="24"/>
          <w:highlight w:val="none"/>
        </w:rPr>
        <w:t>%、NH</w:t>
      </w:r>
      <w:r>
        <w:rPr>
          <w:rFonts w:ascii="Times New Roman" w:hAnsi="Times New Roman" w:cs="Times New Roman"/>
          <w:color w:val="auto"/>
          <w:sz w:val="24"/>
          <w:szCs w:val="24"/>
          <w:highlight w:val="none"/>
          <w:vertAlign w:val="subscript"/>
        </w:rPr>
        <w:t>3</w:t>
      </w:r>
      <w:r>
        <w:rPr>
          <w:rFonts w:ascii="Times New Roman" w:hAnsi="Times New Roman" w:cs="Times New Roman"/>
          <w:color w:val="auto"/>
          <w:sz w:val="24"/>
          <w:szCs w:val="24"/>
          <w:highlight w:val="none"/>
        </w:rPr>
        <w:t>-N3%，粪大肠菌群9</w:t>
      </w:r>
      <w:r>
        <w:rPr>
          <w:rFonts w:hint="eastAsia" w:cs="Times New Roman"/>
          <w:color w:val="auto"/>
          <w:sz w:val="24"/>
          <w:szCs w:val="24"/>
          <w:highlight w:val="none"/>
          <w:lang w:val="en-US" w:eastAsia="zh-CN"/>
        </w:rPr>
        <w:t>9.5</w:t>
      </w:r>
      <w:r>
        <w:rPr>
          <w:rFonts w:ascii="Times New Roman" w:hAnsi="Times New Roman" w:cs="Times New Roman"/>
          <w:color w:val="auto"/>
          <w:sz w:val="24"/>
          <w:szCs w:val="24"/>
          <w:highlight w:val="none"/>
        </w:rPr>
        <w:t>%以上</w:t>
      </w:r>
      <w:r>
        <w:rPr>
          <w:rFonts w:hint="eastAsia" w:ascii="Times New Roman" w:hAnsi="Times New Roman" w:cs="Times New Roman"/>
          <w:color w:val="auto"/>
          <w:sz w:val="24"/>
          <w:szCs w:val="24"/>
          <w:highlight w:val="none"/>
          <w:lang w:eastAsia="zh-CN"/>
        </w:rPr>
        <w:t>，</w:t>
      </w:r>
      <w:r>
        <w:rPr>
          <w:rFonts w:hint="eastAsia" w:ascii="宋体" w:hAnsi="宋体" w:cs="宋体"/>
          <w:color w:val="auto"/>
          <w:sz w:val="24"/>
          <w:szCs w:val="24"/>
          <w:highlight w:val="none"/>
        </w:rPr>
        <w:t>经过处理后</w:t>
      </w:r>
      <w:r>
        <w:rPr>
          <w:rFonts w:hint="eastAsia" w:ascii="宋体" w:hAnsi="宋体" w:cs="宋体"/>
          <w:color w:val="auto"/>
          <w:sz w:val="24"/>
          <w:szCs w:val="24"/>
          <w:highlight w:val="none"/>
          <w:lang w:eastAsia="zh-CN"/>
        </w:rPr>
        <w:t>的医疗废水</w:t>
      </w:r>
      <w:r>
        <w:rPr>
          <w:rFonts w:hint="eastAsia" w:ascii="宋体" w:hAnsi="宋体" w:cs="宋体"/>
          <w:color w:val="auto"/>
          <w:sz w:val="24"/>
          <w:szCs w:val="24"/>
          <w:highlight w:val="none"/>
        </w:rPr>
        <w:t>进入城市污水管网。</w:t>
      </w:r>
      <w:r>
        <w:rPr>
          <w:rFonts w:hint="eastAsia" w:cs="Times New Roman"/>
          <w:color w:val="auto"/>
          <w:sz w:val="24"/>
          <w:szCs w:val="24"/>
          <w:highlight w:val="none"/>
          <w:lang w:eastAsia="zh-CN"/>
        </w:rPr>
        <w:t>污水排放浓度</w:t>
      </w:r>
      <w:r>
        <w:rPr>
          <w:rFonts w:hint="default" w:ascii="Times New Roman" w:hAnsi="Times New Roman" w:cs="Times New Roman"/>
          <w:color w:val="auto"/>
          <w:sz w:val="24"/>
          <w:szCs w:val="24"/>
          <w:highlight w:val="none"/>
        </w:rPr>
        <w:t>可以达到《医疗机构水污染物排放标准》（GB18466-2005）</w:t>
      </w:r>
      <w:r>
        <w:rPr>
          <w:rFonts w:hint="eastAsia" w:cs="Times New Roman"/>
          <w:color w:val="auto"/>
          <w:sz w:val="24"/>
          <w:szCs w:val="24"/>
          <w:highlight w:val="none"/>
          <w:lang w:eastAsia="zh-CN"/>
        </w:rPr>
        <w:t>表</w:t>
      </w:r>
      <w:r>
        <w:rPr>
          <w:rFonts w:hint="eastAsia" w:cs="Times New Roman"/>
          <w:color w:val="auto"/>
          <w:sz w:val="24"/>
          <w:szCs w:val="24"/>
          <w:highlight w:val="none"/>
          <w:lang w:val="en-US" w:eastAsia="zh-CN"/>
        </w:rPr>
        <w:t>2排放限值要求。</w:t>
      </w:r>
      <w:r>
        <w:rPr>
          <w:rFonts w:hint="eastAsia" w:cs="Times New Roman"/>
          <w:color w:val="auto"/>
          <w:sz w:val="24"/>
          <w:szCs w:val="24"/>
          <w:highlight w:val="none"/>
          <w:lang w:eastAsia="zh-CN"/>
        </w:rPr>
        <w:t>具体</w:t>
      </w:r>
      <w:r>
        <w:rPr>
          <w:rFonts w:hint="eastAsia" w:ascii="宋体" w:hAnsi="宋体" w:cs="宋体"/>
          <w:color w:val="auto"/>
          <w:sz w:val="24"/>
          <w:szCs w:val="24"/>
          <w:highlight w:val="none"/>
        </w:rPr>
        <w:t>工艺说明如下：</w:t>
      </w:r>
    </w:p>
    <w:p w14:paraId="0BDF3F32">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格栅：截留、去除可能会堵塞、卡住污水处理设施机械设备的大颗粒物。</w:t>
      </w:r>
    </w:p>
    <w:p w14:paraId="23D68111">
      <w:pPr>
        <w:keepNext w:val="0"/>
        <w:keepLines w:val="0"/>
        <w:pageBreakBefore w:val="0"/>
        <w:kinsoku/>
        <w:overflowPunct/>
        <w:topLinePunct w:val="0"/>
        <w:autoSpaceDE/>
        <w:autoSpaceDN/>
        <w:bidi w:val="0"/>
        <w:adjustRightInd w:val="0"/>
        <w:snapToGrid w:val="0"/>
        <w:spacing w:line="360" w:lineRule="auto"/>
        <w:ind w:firstLine="480" w:firstLineChars="200"/>
        <w:textAlignment w:val="auto"/>
        <w:outlineLvl w:val="9"/>
        <w:rPr>
          <w:rFonts w:ascii="Times New Roman" w:hAnsi="Times New Roman" w:eastAsia="宋体" w:cs="Times New Roman"/>
          <w:color w:val="auto"/>
          <w:kern w:val="2"/>
          <w:sz w:val="24"/>
          <w:szCs w:val="24"/>
          <w:highlight w:val="none"/>
          <w:lang w:val="en-US" w:eastAsia="zh-CN" w:bidi="ar-SA"/>
        </w:rPr>
      </w:pPr>
      <w:r>
        <w:rPr>
          <w:rFonts w:ascii="Times New Roman" w:hAnsi="Times New Roman" w:cs="Times New Roman"/>
          <w:color w:val="auto"/>
          <w:sz w:val="24"/>
          <w:szCs w:val="24"/>
          <w:highlight w:val="none"/>
        </w:rPr>
        <w:t>调节池：充分平衡水质、水量，</w:t>
      </w:r>
      <w:r>
        <w:rPr>
          <w:rFonts w:hint="eastAsia" w:ascii="Times New Roman" w:hAnsi="Times New Roman" w:cs="Times New Roman"/>
          <w:color w:val="auto"/>
          <w:sz w:val="24"/>
          <w:szCs w:val="24"/>
          <w:highlight w:val="none"/>
        </w:rPr>
        <w:t>使</w:t>
      </w:r>
      <w:r>
        <w:rPr>
          <w:rFonts w:ascii="Times New Roman" w:hAnsi="Times New Roman" w:cs="Times New Roman"/>
          <w:color w:val="auto"/>
          <w:sz w:val="24"/>
          <w:szCs w:val="24"/>
          <w:highlight w:val="none"/>
        </w:rPr>
        <w:t>污水能比较均匀的进入后续处理单元</w:t>
      </w:r>
      <w:r>
        <w:rPr>
          <w:rFonts w:hint="eastAsia" w:cs="Times New Roman"/>
          <w:color w:val="auto"/>
          <w:sz w:val="24"/>
          <w:szCs w:val="24"/>
          <w:highlight w:val="none"/>
          <w:lang w:eastAsia="zh-CN"/>
        </w:rPr>
        <w:t>，</w:t>
      </w:r>
      <w:r>
        <w:rPr>
          <w:rFonts w:hint="eastAsia"/>
          <w:color w:val="auto"/>
          <w:sz w:val="24"/>
          <w:szCs w:val="24"/>
          <w:highlight w:val="none"/>
          <w:lang w:val="en-US" w:eastAsia="zh-CN"/>
        </w:rPr>
        <w:t>有效容积2m</w:t>
      </w:r>
      <w:r>
        <w:rPr>
          <w:rFonts w:hint="eastAsia"/>
          <w:color w:val="auto"/>
          <w:sz w:val="24"/>
          <w:szCs w:val="24"/>
          <w:highlight w:val="none"/>
          <w:vertAlign w:val="superscript"/>
          <w:lang w:val="en-US" w:eastAsia="zh-CN"/>
        </w:rPr>
        <w:t>3</w:t>
      </w:r>
      <w:r>
        <w:rPr>
          <w:rFonts w:hint="eastAsia"/>
          <w:color w:val="auto"/>
          <w:sz w:val="24"/>
          <w:szCs w:val="24"/>
          <w:highlight w:val="none"/>
          <w:vertAlign w:val="baseline"/>
          <w:lang w:val="en-US" w:eastAsia="zh-CN"/>
        </w:rPr>
        <w:t>。</w:t>
      </w:r>
    </w:p>
    <w:p w14:paraId="0824C595">
      <w:pPr>
        <w:adjustRightInd w:val="0"/>
        <w:snapToGrid w:val="0"/>
        <w:spacing w:line="36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沉淀池：去除悬浮于污水中可沉淀的物质</w:t>
      </w:r>
      <w:r>
        <w:rPr>
          <w:rFonts w:hint="eastAsia" w:cs="Times New Roman"/>
          <w:color w:val="auto"/>
          <w:sz w:val="24"/>
          <w:szCs w:val="24"/>
          <w:highlight w:val="none"/>
          <w:lang w:eastAsia="zh-CN"/>
        </w:rPr>
        <w:t>，</w:t>
      </w:r>
      <w:r>
        <w:rPr>
          <w:rFonts w:hint="eastAsia"/>
          <w:color w:val="auto"/>
          <w:sz w:val="24"/>
          <w:szCs w:val="24"/>
          <w:highlight w:val="none"/>
          <w:lang w:val="en-US" w:eastAsia="zh-CN"/>
        </w:rPr>
        <w:t>有效容积2m</w:t>
      </w:r>
      <w:r>
        <w:rPr>
          <w:rFonts w:hint="eastAsia"/>
          <w:color w:val="auto"/>
          <w:sz w:val="24"/>
          <w:szCs w:val="24"/>
          <w:highlight w:val="none"/>
          <w:vertAlign w:val="superscript"/>
          <w:lang w:val="en-US" w:eastAsia="zh-CN"/>
        </w:rPr>
        <w:t>3</w:t>
      </w:r>
      <w:r>
        <w:rPr>
          <w:rFonts w:hint="eastAsia"/>
          <w:color w:val="auto"/>
          <w:sz w:val="24"/>
          <w:szCs w:val="24"/>
          <w:highlight w:val="none"/>
          <w:vertAlign w:val="baseline"/>
          <w:lang w:val="en-US" w:eastAsia="zh-CN"/>
        </w:rPr>
        <w:t>。</w:t>
      </w:r>
    </w:p>
    <w:p w14:paraId="673150C2">
      <w:pPr>
        <w:adjustRightInd w:val="0"/>
        <w:snapToGrid w:val="0"/>
        <w:spacing w:line="36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消毒</w:t>
      </w:r>
      <w:r>
        <w:rPr>
          <w:rFonts w:hint="eastAsia" w:ascii="Times New Roman" w:hAnsi="Times New Roman" w:cs="Times New Roman"/>
          <w:color w:val="auto"/>
          <w:sz w:val="24"/>
          <w:szCs w:val="24"/>
          <w:highlight w:val="none"/>
          <w:lang w:eastAsia="zh-CN"/>
        </w:rPr>
        <w:t>接触</w:t>
      </w:r>
      <w:r>
        <w:rPr>
          <w:rFonts w:ascii="Times New Roman" w:hAnsi="Times New Roman" w:cs="Times New Roman"/>
          <w:color w:val="auto"/>
          <w:sz w:val="24"/>
          <w:szCs w:val="24"/>
          <w:highlight w:val="none"/>
        </w:rPr>
        <w:t>池：污水中的有毒有害病菌、病原微生物得到有效去除。该项目采用二氧化氯发生器产生的消毒剂进行消毒。污水在消毒接触池中停留一定的时间，使药剂与污水充分反应，处理达标后的污水在保持一定余氯量的基础上排放</w:t>
      </w:r>
      <w:r>
        <w:rPr>
          <w:rFonts w:hint="eastAsia" w:cs="Times New Roman"/>
          <w:color w:val="auto"/>
          <w:sz w:val="24"/>
          <w:szCs w:val="24"/>
          <w:highlight w:val="none"/>
          <w:lang w:eastAsia="zh-CN"/>
        </w:rPr>
        <w:t>，</w:t>
      </w:r>
      <w:r>
        <w:rPr>
          <w:rFonts w:hint="eastAsia"/>
          <w:color w:val="auto"/>
          <w:sz w:val="24"/>
          <w:szCs w:val="24"/>
          <w:highlight w:val="none"/>
          <w:lang w:val="en-US" w:eastAsia="zh-CN"/>
        </w:rPr>
        <w:t>有效容积1m</w:t>
      </w:r>
      <w:r>
        <w:rPr>
          <w:rFonts w:hint="eastAsia"/>
          <w:color w:val="auto"/>
          <w:sz w:val="24"/>
          <w:szCs w:val="24"/>
          <w:highlight w:val="none"/>
          <w:vertAlign w:val="superscript"/>
          <w:lang w:val="en-US" w:eastAsia="zh-CN"/>
        </w:rPr>
        <w:t>3</w:t>
      </w:r>
      <w:r>
        <w:rPr>
          <w:rFonts w:ascii="Times New Roman" w:hAnsi="Times New Roman" w:cs="Times New Roman"/>
          <w:color w:val="auto"/>
          <w:sz w:val="24"/>
          <w:szCs w:val="24"/>
          <w:highlight w:val="none"/>
        </w:rPr>
        <w:t>。二氧化氯具有高效氧化剂、消毒剂以及漂白剂的功能。作为强化氧化剂，它所氧化的产物中无有机氯化物；作为消毒剂，它具有广谱性的消毒效果。二氧化氯消毒工艺具有强烈的氧化作用，不产生有机氯化物(THMs)；投放简单方便；不受pH影响等优点，较Cl</w:t>
      </w:r>
      <w:r>
        <w:rPr>
          <w:rFonts w:ascii="Times New Roman" w:hAnsi="Times New Roman" w:cs="Times New Roman"/>
          <w:color w:val="auto"/>
          <w:sz w:val="24"/>
          <w:szCs w:val="24"/>
          <w:highlight w:val="none"/>
          <w:vertAlign w:val="subscript"/>
        </w:rPr>
        <w:t>2</w:t>
      </w:r>
      <w:r>
        <w:rPr>
          <w:rFonts w:ascii="Times New Roman" w:hAnsi="Times New Roman" w:cs="Times New Roman"/>
          <w:color w:val="auto"/>
          <w:sz w:val="24"/>
          <w:szCs w:val="24"/>
          <w:highlight w:val="none"/>
        </w:rPr>
        <w:t>杀菌效果好，是医院污水消毒中常用的方式之一。</w:t>
      </w:r>
    </w:p>
    <w:p w14:paraId="48A1495C">
      <w:pPr>
        <w:pStyle w:val="2"/>
        <w:keepNext w:val="0"/>
        <w:keepLines w:val="0"/>
        <w:pageBreakBefore w:val="0"/>
        <w:widowControl w:val="0"/>
        <w:kinsoku/>
        <w:wordWrap/>
        <w:overflowPunct/>
        <w:topLinePunct w:val="0"/>
        <w:autoSpaceDE/>
        <w:autoSpaceDN/>
        <w:bidi w:val="0"/>
        <w:adjustRightInd w:val="0"/>
        <w:snapToGrid w:val="0"/>
        <w:spacing w:after="0" w:line="360" w:lineRule="auto"/>
        <w:textAlignment w:val="auto"/>
        <w:outlineLvl w:val="9"/>
        <w:rPr>
          <w:rFonts w:hint="eastAsia" w:cs="Times New Roman"/>
          <w:color w:val="auto"/>
          <w:sz w:val="24"/>
          <w:szCs w:val="24"/>
          <w:highlight w:val="none"/>
          <w:lang w:eastAsia="zh-CN"/>
        </w:rPr>
      </w:pPr>
      <w:r>
        <w:rPr>
          <w:rFonts w:ascii="Times New Roman" w:hAnsi="Times New Roman" w:cs="Times New Roman"/>
          <w:color w:val="auto"/>
          <w:sz w:val="24"/>
          <w:szCs w:val="24"/>
          <w:highlight w:val="none"/>
        </w:rPr>
        <w:t>沉淀单元排出的污泥回流到</w:t>
      </w:r>
      <w:r>
        <w:rPr>
          <w:rFonts w:hint="eastAsia" w:ascii="Times New Roman" w:hAnsi="Times New Roman" w:cs="Times New Roman"/>
          <w:color w:val="auto"/>
          <w:sz w:val="24"/>
          <w:szCs w:val="24"/>
          <w:highlight w:val="none"/>
        </w:rPr>
        <w:t>污泥</w:t>
      </w:r>
      <w:r>
        <w:rPr>
          <w:rFonts w:ascii="Times New Roman" w:hAnsi="Times New Roman" w:cs="Times New Roman"/>
          <w:color w:val="auto"/>
          <w:sz w:val="24"/>
          <w:szCs w:val="24"/>
          <w:highlight w:val="none"/>
        </w:rPr>
        <w:t>池，产生量极少，只需每年清掏一次即可，</w:t>
      </w:r>
      <w:r>
        <w:rPr>
          <w:rFonts w:hint="eastAsia" w:cs="Times New Roman"/>
          <w:color w:val="auto"/>
          <w:sz w:val="24"/>
          <w:szCs w:val="24"/>
          <w:highlight w:val="none"/>
          <w:lang w:eastAsia="zh-CN"/>
        </w:rPr>
        <w:t>消毒后</w:t>
      </w:r>
    </w:p>
    <w:p w14:paraId="56F40E75">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ascii="宋体" w:hAnsi="宋体" w:cs="宋体"/>
          <w:color w:val="auto"/>
          <w:sz w:val="24"/>
          <w:szCs w:val="24"/>
          <w:highlight w:val="none"/>
        </w:rPr>
      </w:pPr>
      <w:r>
        <w:rPr>
          <w:rFonts w:hint="eastAsia" w:cs="Times New Roman"/>
          <w:color w:val="auto"/>
          <w:sz w:val="24"/>
          <w:szCs w:val="24"/>
          <w:highlight w:val="none"/>
          <w:lang w:eastAsia="zh-CN"/>
        </w:rPr>
        <w:t>暂存于</w:t>
      </w:r>
      <w:r>
        <w:rPr>
          <w:rFonts w:hint="eastAsia" w:cs="Times New Roman"/>
          <w:color w:val="auto"/>
          <w:sz w:val="24"/>
          <w:highlight w:val="none"/>
          <w:lang w:eastAsia="zh-CN"/>
        </w:rPr>
        <w:t>医疗废物</w:t>
      </w:r>
      <w:r>
        <w:rPr>
          <w:rFonts w:hint="eastAsia" w:cs="Times New Roman"/>
          <w:color w:val="auto"/>
          <w:sz w:val="24"/>
          <w:szCs w:val="24"/>
          <w:highlight w:val="none"/>
          <w:lang w:eastAsia="zh-CN"/>
        </w:rPr>
        <w:t>暂存间，委托有资质单位处理</w:t>
      </w:r>
      <w:r>
        <w:rPr>
          <w:rFonts w:ascii="Times New Roman" w:hAnsi="Times New Roman" w:cs="Times New Roman"/>
          <w:color w:val="auto"/>
          <w:sz w:val="24"/>
          <w:szCs w:val="24"/>
          <w:highlight w:val="none"/>
        </w:rPr>
        <w:t>。</w:t>
      </w:r>
    </w:p>
    <w:p w14:paraId="2111CFB8">
      <w:pPr>
        <w:adjustRightInd w:val="0"/>
        <w:snapToGrid w:val="0"/>
        <w:spacing w:line="360" w:lineRule="auto"/>
        <w:ind w:firstLine="437"/>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项目污水处理设施为</w:t>
      </w:r>
      <w:r>
        <w:rPr>
          <w:rFonts w:hint="eastAsia" w:ascii="Times New Roman" w:hAnsi="Times New Roman" w:cs="Times New Roman"/>
          <w:color w:val="auto"/>
          <w:sz w:val="24"/>
          <w:szCs w:val="24"/>
          <w:highlight w:val="none"/>
        </w:rPr>
        <w:t>处理能力</w:t>
      </w:r>
      <w:r>
        <w:rPr>
          <w:rFonts w:hint="eastAsia" w:cs="Times New Roman"/>
          <w:color w:val="auto"/>
          <w:sz w:val="24"/>
          <w:szCs w:val="24"/>
          <w:highlight w:val="none"/>
          <w:lang w:val="en-US" w:eastAsia="zh-CN"/>
        </w:rPr>
        <w:t>20</w:t>
      </w:r>
      <w:r>
        <w:rPr>
          <w:rFonts w:ascii="Times New Roman" w:hAnsi="Times New Roman" w:cs="Times New Roman"/>
          <w:color w:val="auto"/>
          <w:sz w:val="24"/>
          <w:szCs w:val="24"/>
          <w:highlight w:val="none"/>
        </w:rPr>
        <w:t>m</w:t>
      </w:r>
      <w:r>
        <w:rPr>
          <w:rFonts w:ascii="Times New Roman" w:hAnsi="Times New Roman" w:cs="Times New Roman"/>
          <w:color w:val="auto"/>
          <w:sz w:val="24"/>
          <w:szCs w:val="24"/>
          <w:highlight w:val="none"/>
          <w:vertAlign w:val="superscript"/>
        </w:rPr>
        <w:t>3</w:t>
      </w:r>
      <w:r>
        <w:rPr>
          <w:rFonts w:ascii="Times New Roman" w:hAnsi="Times New Roman" w:cs="Times New Roman"/>
          <w:color w:val="auto"/>
          <w:sz w:val="24"/>
          <w:szCs w:val="24"/>
          <w:highlight w:val="none"/>
        </w:rPr>
        <w:t>/d一体化污水处理</w:t>
      </w:r>
      <w:r>
        <w:rPr>
          <w:rFonts w:hint="eastAsia" w:ascii="Times New Roman" w:hAnsi="Times New Roman" w:cs="Times New Roman"/>
          <w:color w:val="auto"/>
          <w:sz w:val="24"/>
          <w:szCs w:val="24"/>
          <w:highlight w:val="none"/>
        </w:rPr>
        <w:t>设施</w:t>
      </w:r>
      <w:r>
        <w:rPr>
          <w:rFonts w:ascii="Times New Roman" w:hAnsi="Times New Roman" w:cs="Times New Roman"/>
          <w:color w:val="auto"/>
          <w:sz w:val="24"/>
          <w:szCs w:val="24"/>
          <w:highlight w:val="none"/>
        </w:rPr>
        <w:t>，位于</w:t>
      </w:r>
      <w:r>
        <w:rPr>
          <w:rFonts w:hint="eastAsia" w:ascii="Times New Roman" w:hAnsi="Times New Roman" w:cs="Times New Roman"/>
          <w:color w:val="auto"/>
          <w:sz w:val="24"/>
          <w:szCs w:val="24"/>
          <w:highlight w:val="none"/>
          <w:lang w:eastAsia="zh-CN"/>
        </w:rPr>
        <w:t>医院</w:t>
      </w:r>
      <w:r>
        <w:rPr>
          <w:rFonts w:hint="eastAsia" w:cs="Times New Roman"/>
          <w:color w:val="auto"/>
          <w:sz w:val="24"/>
          <w:szCs w:val="24"/>
          <w:highlight w:val="none"/>
          <w:lang w:eastAsia="zh-CN"/>
        </w:rPr>
        <w:t>大楼</w:t>
      </w:r>
      <w:r>
        <w:rPr>
          <w:rFonts w:hint="eastAsia" w:cs="Times New Roman"/>
          <w:color w:val="auto"/>
          <w:sz w:val="24"/>
          <w:szCs w:val="24"/>
          <w:highlight w:val="none"/>
          <w:lang w:val="en-US" w:eastAsia="zh-CN"/>
        </w:rPr>
        <w:t>3</w:t>
      </w:r>
      <w:r>
        <w:rPr>
          <w:rFonts w:hint="eastAsia" w:ascii="Times New Roman" w:hAnsi="Times New Roman" w:cs="Times New Roman"/>
          <w:color w:val="auto"/>
          <w:sz w:val="24"/>
          <w:szCs w:val="24"/>
          <w:highlight w:val="none"/>
          <w:lang w:val="en-US" w:eastAsia="zh-CN"/>
        </w:rPr>
        <w:t>层东侧</w:t>
      </w:r>
      <w:r>
        <w:rPr>
          <w:rFonts w:ascii="Times New Roman" w:hAnsi="Times New Roman" w:cs="Times New Roman"/>
          <w:color w:val="auto"/>
          <w:sz w:val="24"/>
          <w:szCs w:val="24"/>
          <w:highlight w:val="none"/>
        </w:rPr>
        <w:t>，</w:t>
      </w:r>
      <w:r>
        <w:rPr>
          <w:rFonts w:hint="eastAsia"/>
          <w:color w:val="auto"/>
          <w:sz w:val="24"/>
          <w:highlight w:val="none"/>
          <w:lang w:eastAsia="zh-CN"/>
        </w:rPr>
        <w:t>污水处理区</w:t>
      </w:r>
      <w:r>
        <w:rPr>
          <w:rFonts w:hint="eastAsia" w:cs="Times New Roman"/>
          <w:color w:val="auto"/>
          <w:sz w:val="24"/>
          <w:highlight w:val="none"/>
          <w:lang w:val="en-US" w:eastAsia="zh-CN"/>
        </w:rPr>
        <w:t>占地6m</w:t>
      </w:r>
      <w:r>
        <w:rPr>
          <w:rFonts w:hint="eastAsia" w:cs="Times New Roman"/>
          <w:color w:val="auto"/>
          <w:sz w:val="24"/>
          <w:highlight w:val="none"/>
          <w:vertAlign w:val="superscript"/>
          <w:lang w:val="en-US" w:eastAsia="zh-CN"/>
        </w:rPr>
        <w:t>2</w:t>
      </w:r>
      <w:r>
        <w:rPr>
          <w:rFonts w:hint="default" w:ascii="Times New Roman" w:hAnsi="Times New Roman" w:cs="Times New Roman"/>
          <w:color w:val="auto"/>
          <w:sz w:val="24"/>
          <w:highlight w:val="none"/>
          <w:vertAlign w:val="baseline"/>
          <w:lang w:eastAsia="zh-CN"/>
        </w:rPr>
        <w:t>，</w:t>
      </w:r>
      <w:r>
        <w:rPr>
          <w:rFonts w:ascii="Times New Roman" w:hAnsi="Times New Roman" w:cs="Times New Roman"/>
          <w:color w:val="auto"/>
          <w:sz w:val="24"/>
          <w:szCs w:val="24"/>
          <w:highlight w:val="none"/>
        </w:rPr>
        <w:t>用于处理</w:t>
      </w:r>
      <w:r>
        <w:rPr>
          <w:rFonts w:hint="eastAsia" w:cs="Times New Roman"/>
          <w:color w:val="auto"/>
          <w:sz w:val="24"/>
          <w:szCs w:val="24"/>
          <w:highlight w:val="none"/>
          <w:lang w:eastAsia="zh-CN"/>
        </w:rPr>
        <w:t>医疗</w:t>
      </w:r>
      <w:r>
        <w:rPr>
          <w:rFonts w:hint="eastAsia" w:ascii="Times New Roman" w:hAnsi="Times New Roman" w:cs="Times New Roman"/>
          <w:color w:val="auto"/>
          <w:sz w:val="24"/>
          <w:szCs w:val="24"/>
          <w:highlight w:val="none"/>
          <w:lang w:eastAsia="zh-CN"/>
        </w:rPr>
        <w:t>废水</w:t>
      </w:r>
      <w:r>
        <w:rPr>
          <w:rFonts w:ascii="Times New Roman" w:hAnsi="Times New Roman" w:cs="Times New Roman"/>
          <w:color w:val="auto"/>
          <w:sz w:val="24"/>
          <w:szCs w:val="24"/>
          <w:highlight w:val="none"/>
        </w:rPr>
        <w:t>。本项目入住率为100%时</w:t>
      </w:r>
      <w:r>
        <w:rPr>
          <w:rFonts w:hint="eastAsia" w:ascii="Times New Roman" w:hAnsi="Times New Roman" w:cs="Times New Roman"/>
          <w:color w:val="auto"/>
          <w:sz w:val="24"/>
          <w:szCs w:val="24"/>
          <w:highlight w:val="none"/>
          <w:lang w:eastAsia="zh-CN"/>
        </w:rPr>
        <w:t>医疗废水</w:t>
      </w:r>
      <w:r>
        <w:rPr>
          <w:rFonts w:ascii="Times New Roman" w:hAnsi="Times New Roman" w:cs="Times New Roman"/>
          <w:color w:val="auto"/>
          <w:sz w:val="24"/>
          <w:szCs w:val="24"/>
          <w:highlight w:val="none"/>
        </w:rPr>
        <w:t>产生量为</w:t>
      </w:r>
      <w:r>
        <w:rPr>
          <w:rFonts w:hint="eastAsia" w:cs="Times New Roman"/>
          <w:color w:val="auto"/>
          <w:sz w:val="24"/>
          <w:szCs w:val="24"/>
          <w:highlight w:val="none"/>
          <w:lang w:val="en-US" w:eastAsia="zh-CN"/>
        </w:rPr>
        <w:t>17.68</w:t>
      </w:r>
      <w:r>
        <w:rPr>
          <w:rFonts w:ascii="Times New Roman" w:hAnsi="Times New Roman" w:cs="Times New Roman"/>
          <w:color w:val="auto"/>
          <w:sz w:val="24"/>
          <w:szCs w:val="24"/>
          <w:highlight w:val="none"/>
        </w:rPr>
        <w:t>m³/d，所以本项目</w:t>
      </w:r>
      <w:r>
        <w:rPr>
          <w:rFonts w:hint="eastAsia" w:ascii="Times New Roman" w:hAnsi="Times New Roman" w:cs="Times New Roman"/>
          <w:color w:val="auto"/>
          <w:sz w:val="24"/>
          <w:szCs w:val="24"/>
          <w:highlight w:val="none"/>
        </w:rPr>
        <w:t>建设处理能力为</w:t>
      </w:r>
      <w:r>
        <w:rPr>
          <w:rFonts w:hint="eastAsia" w:cs="Times New Roman"/>
          <w:color w:val="auto"/>
          <w:sz w:val="24"/>
          <w:szCs w:val="24"/>
          <w:highlight w:val="none"/>
          <w:lang w:val="en-US" w:eastAsia="zh-CN"/>
        </w:rPr>
        <w:t>20</w:t>
      </w:r>
      <w:r>
        <w:rPr>
          <w:rFonts w:ascii="Times New Roman" w:hAnsi="Times New Roman" w:cs="Times New Roman"/>
          <w:color w:val="auto"/>
          <w:sz w:val="24"/>
          <w:szCs w:val="24"/>
          <w:highlight w:val="none"/>
        </w:rPr>
        <w:t>m</w:t>
      </w:r>
      <w:r>
        <w:rPr>
          <w:rFonts w:ascii="Times New Roman" w:hAnsi="Times New Roman" w:cs="Times New Roman"/>
          <w:color w:val="auto"/>
          <w:sz w:val="24"/>
          <w:szCs w:val="24"/>
          <w:highlight w:val="none"/>
          <w:vertAlign w:val="superscript"/>
        </w:rPr>
        <w:t>3</w:t>
      </w:r>
      <w:r>
        <w:rPr>
          <w:rFonts w:ascii="Times New Roman" w:hAnsi="Times New Roman" w:cs="Times New Roman"/>
          <w:color w:val="auto"/>
          <w:sz w:val="24"/>
          <w:szCs w:val="24"/>
          <w:highlight w:val="none"/>
        </w:rPr>
        <w:t>/d的污水处理设施可以满足医院的需求。</w:t>
      </w:r>
    </w:p>
    <w:p w14:paraId="3D0F3DBF">
      <w:pPr>
        <w:pStyle w:val="2"/>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color w:val="auto"/>
          <w:highlight w:val="none"/>
        </w:rPr>
      </w:pPr>
      <w:r>
        <w:rPr>
          <w:rFonts w:ascii="Times New Roman" w:hAnsi="Times New Roman" w:cs="Times New Roman"/>
          <w:color w:val="auto"/>
          <w:sz w:val="24"/>
          <w:szCs w:val="24"/>
          <w:highlight w:val="none"/>
        </w:rPr>
        <w:t>污水处理站工艺流程示意图</w:t>
      </w:r>
      <w:r>
        <w:rPr>
          <w:rFonts w:hint="eastAsia" w:ascii="Times New Roman" w:hAnsi="Times New Roman" w:cs="Times New Roman"/>
          <w:color w:val="auto"/>
          <w:sz w:val="24"/>
          <w:szCs w:val="24"/>
          <w:highlight w:val="none"/>
          <w:lang w:eastAsia="zh-CN"/>
        </w:rPr>
        <w:t>见图</w:t>
      </w:r>
      <w:r>
        <w:rPr>
          <w:rFonts w:hint="eastAsia" w:cs="Times New Roman"/>
          <w:color w:val="auto"/>
          <w:sz w:val="24"/>
          <w:szCs w:val="24"/>
          <w:highlight w:val="none"/>
          <w:lang w:val="en-US" w:eastAsia="zh-CN"/>
        </w:rPr>
        <w:t>6</w:t>
      </w:r>
      <w:r>
        <w:rPr>
          <w:rFonts w:hint="eastAsia" w:ascii="Times New Roman" w:hAnsi="Times New Roman" w:cs="Times New Roman"/>
          <w:color w:val="auto"/>
          <w:sz w:val="24"/>
          <w:szCs w:val="24"/>
          <w:highlight w:val="none"/>
          <w:lang w:eastAsia="zh-CN"/>
        </w:rPr>
        <w:t>，废水污染物去除效率预测分析</w:t>
      </w:r>
      <w:r>
        <w:rPr>
          <w:rFonts w:hint="eastAsia" w:cs="Times New Roman"/>
          <w:color w:val="auto"/>
          <w:sz w:val="24"/>
          <w:szCs w:val="24"/>
          <w:highlight w:val="none"/>
          <w:lang w:eastAsia="zh-CN"/>
        </w:rPr>
        <w:t>见表</w:t>
      </w:r>
      <w:r>
        <w:rPr>
          <w:rFonts w:hint="eastAsia" w:cs="Times New Roman"/>
          <w:color w:val="auto"/>
          <w:sz w:val="24"/>
          <w:szCs w:val="24"/>
          <w:highlight w:val="none"/>
          <w:lang w:val="en-US" w:eastAsia="zh-CN"/>
        </w:rPr>
        <w:t>36</w:t>
      </w:r>
      <w:r>
        <w:rPr>
          <w:rFonts w:hint="eastAsia" w:cs="Times New Roman"/>
          <w:b/>
          <w:bCs/>
          <w:color w:val="auto"/>
          <w:sz w:val="21"/>
          <w:szCs w:val="21"/>
          <w:highlight w:val="none"/>
          <w:lang w:eastAsia="zh-CN"/>
        </w:rPr>
        <w:t>，</w:t>
      </w:r>
      <w:r>
        <w:rPr>
          <w:rFonts w:hint="default" w:ascii="Times New Roman" w:hAnsi="Times New Roman" w:cs="Times New Roman"/>
          <w:color w:val="auto"/>
          <w:sz w:val="24"/>
          <w:szCs w:val="24"/>
          <w:highlight w:val="none"/>
        </w:rPr>
        <w:t>污水处理设施处理效果及排放量</w:t>
      </w:r>
      <w:r>
        <w:rPr>
          <w:rFonts w:hint="eastAsia" w:ascii="Times New Roman" w:hAnsi="Times New Roman" w:cs="Times New Roman"/>
          <w:color w:val="auto"/>
          <w:sz w:val="24"/>
          <w:szCs w:val="24"/>
          <w:highlight w:val="none"/>
          <w:lang w:eastAsia="zh-CN"/>
        </w:rPr>
        <w:t>见表</w:t>
      </w:r>
      <w:r>
        <w:rPr>
          <w:rFonts w:hint="eastAsia" w:cs="Times New Roman"/>
          <w:color w:val="auto"/>
          <w:sz w:val="24"/>
          <w:szCs w:val="24"/>
          <w:highlight w:val="none"/>
          <w:lang w:val="en-US" w:eastAsia="zh-CN"/>
        </w:rPr>
        <w:t>37</w:t>
      </w:r>
      <w:r>
        <w:rPr>
          <w:rFonts w:hint="eastAsia" w:ascii="Times New Roman" w:hAnsi="Times New Roman" w:cs="Times New Roman"/>
          <w:color w:val="auto"/>
          <w:sz w:val="24"/>
          <w:szCs w:val="24"/>
          <w:highlight w:val="none"/>
          <w:lang w:eastAsia="zh-CN"/>
        </w:rPr>
        <w:t>。</w:t>
      </w:r>
    </w:p>
    <w:p w14:paraId="71CC4B36">
      <w:pPr>
        <w:pStyle w:val="2"/>
        <w:ind w:left="0" w:leftChars="0" w:firstLine="0" w:firstLineChars="0"/>
        <w:jc w:val="center"/>
        <w:rPr>
          <w:rFonts w:hint="eastAsia"/>
          <w:color w:val="auto"/>
          <w:highlight w:val="none"/>
          <w:lang w:eastAsia="zh-CN"/>
        </w:rPr>
      </w:pPr>
      <w:r>
        <w:rPr>
          <w:color w:val="auto"/>
          <w:highlight w:val="none"/>
        </w:rPr>
        <w:drawing>
          <wp:inline distT="0" distB="0" distL="114300" distR="114300">
            <wp:extent cx="5171440" cy="2609215"/>
            <wp:effectExtent l="0" t="0" r="10160"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9"/>
                    <a:stretch>
                      <a:fillRect/>
                    </a:stretch>
                  </pic:blipFill>
                  <pic:spPr>
                    <a:xfrm>
                      <a:off x="0" y="0"/>
                      <a:ext cx="5171440" cy="2609215"/>
                    </a:xfrm>
                    <a:prstGeom prst="rect">
                      <a:avLst/>
                    </a:prstGeom>
                    <a:noFill/>
                    <a:ln w="9525">
                      <a:noFill/>
                    </a:ln>
                  </pic:spPr>
                </pic:pic>
              </a:graphicData>
            </a:graphic>
          </wp:inline>
        </w:drawing>
      </w:r>
    </w:p>
    <w:p w14:paraId="7F4A183E">
      <w:pPr>
        <w:adjustRightInd w:val="0"/>
        <w:snapToGrid w:val="0"/>
        <w:spacing w:line="360" w:lineRule="auto"/>
        <w:jc w:val="center"/>
        <w:rPr>
          <w:color w:val="auto"/>
          <w:highlight w:val="none"/>
          <w:lang w:val="en-US"/>
        </w:rPr>
      </w:pPr>
      <w:r>
        <w:rPr>
          <w:rFonts w:ascii="Times New Roman" w:hAnsi="Times New Roman" w:cs="Times New Roman"/>
          <w:b/>
          <w:bCs/>
          <w:color w:val="auto"/>
          <w:highlight w:val="none"/>
        </w:rPr>
        <w:t>图</w:t>
      </w:r>
      <w:r>
        <w:rPr>
          <w:rFonts w:hint="eastAsia" w:cs="Times New Roman"/>
          <w:b/>
          <w:bCs/>
          <w:color w:val="auto"/>
          <w:highlight w:val="none"/>
          <w:lang w:val="en-US" w:eastAsia="zh-CN"/>
        </w:rPr>
        <w:t>6</w:t>
      </w:r>
      <w:r>
        <w:rPr>
          <w:rFonts w:ascii="Times New Roman" w:hAnsi="Times New Roman" w:cs="Times New Roman"/>
          <w:b/>
          <w:bCs/>
          <w:color w:val="auto"/>
          <w:highlight w:val="none"/>
        </w:rPr>
        <w:t>污水处理站工艺流程示意图</w:t>
      </w:r>
    </w:p>
    <w:p w14:paraId="2167AD31">
      <w:pPr>
        <w:spacing w:line="360" w:lineRule="auto"/>
        <w:jc w:val="both"/>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w:t>
      </w:r>
      <w:r>
        <w:rPr>
          <w:rFonts w:hint="eastAsia" w:cs="Times New Roman"/>
          <w:b/>
          <w:bCs/>
          <w:color w:val="auto"/>
          <w:highlight w:val="none"/>
          <w:lang w:val="en-US" w:eastAsia="zh-CN"/>
        </w:rPr>
        <w:t>36                         医疗</w:t>
      </w:r>
      <w:r>
        <w:rPr>
          <w:rFonts w:hint="eastAsia" w:ascii="Times New Roman" w:hAnsi="Times New Roman" w:cs="Times New Roman"/>
          <w:b/>
          <w:bCs/>
          <w:color w:val="auto"/>
          <w:sz w:val="21"/>
          <w:szCs w:val="21"/>
          <w:highlight w:val="none"/>
          <w:lang w:eastAsia="zh-CN"/>
        </w:rPr>
        <w:t>废水污染物去除效率预测分析</w:t>
      </w:r>
    </w:p>
    <w:tbl>
      <w:tblPr>
        <w:tblStyle w:val="25"/>
        <w:tblW w:w="9250"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261"/>
        <w:gridCol w:w="1"/>
        <w:gridCol w:w="1259"/>
        <w:gridCol w:w="1"/>
        <w:gridCol w:w="1154"/>
        <w:gridCol w:w="1"/>
        <w:gridCol w:w="1139"/>
        <w:gridCol w:w="1832"/>
        <w:gridCol w:w="1341"/>
        <w:gridCol w:w="1"/>
      </w:tblGrid>
      <w:tr w14:paraId="693179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 w:type="dxa"/>
        </w:trPr>
        <w:tc>
          <w:tcPr>
            <w:tcW w:w="2521" w:type="dxa"/>
            <w:gridSpan w:val="2"/>
            <w:tcBorders>
              <w:tl2br w:val="nil"/>
              <w:tr2bl w:val="nil"/>
            </w:tcBorders>
            <w:noWrap w:val="0"/>
            <w:vAlign w:val="center"/>
          </w:tcPr>
          <w:p w14:paraId="27416E63">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污染物</w:t>
            </w:r>
          </w:p>
        </w:tc>
        <w:tc>
          <w:tcPr>
            <w:tcW w:w="1260" w:type="dxa"/>
            <w:gridSpan w:val="2"/>
            <w:tcBorders>
              <w:tl2br w:val="nil"/>
              <w:tr2bl w:val="nil"/>
            </w:tcBorders>
            <w:noWrap w:val="0"/>
            <w:vAlign w:val="center"/>
          </w:tcPr>
          <w:p w14:paraId="1B1D0219">
            <w:pPr>
              <w:jc w:val="center"/>
              <w:rPr>
                <w:rFonts w:hint="eastAsia"/>
                <w:color w:val="auto"/>
                <w:spacing w:val="-17"/>
                <w:sz w:val="21"/>
                <w:szCs w:val="21"/>
                <w:highlight w:val="none"/>
                <w:vertAlign w:val="baseline"/>
                <w:lang w:val="en-US" w:eastAsia="zh-CN"/>
              </w:rPr>
            </w:pPr>
            <w:r>
              <w:rPr>
                <w:rFonts w:hint="eastAsia"/>
                <w:color w:val="auto"/>
                <w:sz w:val="21"/>
                <w:szCs w:val="21"/>
                <w:highlight w:val="none"/>
                <w:vertAlign w:val="baseline"/>
                <w:lang w:val="en-US" w:eastAsia="zh-CN"/>
              </w:rPr>
              <w:t>COD</w:t>
            </w:r>
          </w:p>
        </w:tc>
        <w:tc>
          <w:tcPr>
            <w:tcW w:w="1155" w:type="dxa"/>
            <w:gridSpan w:val="2"/>
            <w:tcBorders>
              <w:tl2br w:val="nil"/>
              <w:tr2bl w:val="nil"/>
            </w:tcBorders>
            <w:noWrap w:val="0"/>
            <w:vAlign w:val="center"/>
          </w:tcPr>
          <w:p w14:paraId="77998D28">
            <w:pPr>
              <w:jc w:val="center"/>
              <w:rPr>
                <w:rFonts w:hint="eastAsia"/>
                <w:color w:val="auto"/>
                <w:spacing w:val="-17"/>
                <w:sz w:val="21"/>
                <w:szCs w:val="21"/>
                <w:highlight w:val="none"/>
                <w:vertAlign w:val="baseline"/>
                <w:lang w:val="en-US" w:eastAsia="zh-CN"/>
              </w:rPr>
            </w:pPr>
            <w:r>
              <w:rPr>
                <w:rFonts w:hint="eastAsia"/>
                <w:color w:val="auto"/>
                <w:sz w:val="21"/>
                <w:szCs w:val="21"/>
                <w:highlight w:val="none"/>
                <w:vertAlign w:val="baseline"/>
                <w:lang w:val="en-US" w:eastAsia="zh-CN"/>
              </w:rPr>
              <w:t>SS</w:t>
            </w:r>
          </w:p>
        </w:tc>
        <w:tc>
          <w:tcPr>
            <w:tcW w:w="1140" w:type="dxa"/>
            <w:gridSpan w:val="2"/>
            <w:tcBorders>
              <w:tl2br w:val="nil"/>
              <w:tr2bl w:val="nil"/>
            </w:tcBorders>
            <w:noWrap w:val="0"/>
            <w:vAlign w:val="center"/>
          </w:tcPr>
          <w:p w14:paraId="0182FEF5">
            <w:pPr>
              <w:jc w:val="center"/>
              <w:rPr>
                <w:rFonts w:hint="eastAsia"/>
                <w:color w:val="auto"/>
                <w:spacing w:val="-17"/>
                <w:sz w:val="21"/>
                <w:szCs w:val="21"/>
                <w:highlight w:val="none"/>
                <w:vertAlign w:val="baseline"/>
                <w:lang w:val="en-US" w:eastAsia="zh-CN"/>
              </w:rPr>
            </w:pPr>
            <w:r>
              <w:rPr>
                <w:rFonts w:hint="eastAsia"/>
                <w:color w:val="auto"/>
                <w:sz w:val="21"/>
                <w:szCs w:val="21"/>
                <w:highlight w:val="none"/>
                <w:vertAlign w:val="baseline"/>
                <w:lang w:val="en-US" w:eastAsia="zh-CN"/>
              </w:rPr>
              <w:t>氨氮</w:t>
            </w:r>
          </w:p>
        </w:tc>
        <w:tc>
          <w:tcPr>
            <w:tcW w:w="1832" w:type="dxa"/>
            <w:tcBorders>
              <w:tl2br w:val="nil"/>
              <w:tr2bl w:val="nil"/>
            </w:tcBorders>
            <w:noWrap w:val="0"/>
            <w:vAlign w:val="center"/>
          </w:tcPr>
          <w:p w14:paraId="2108FC00">
            <w:pPr>
              <w:jc w:val="center"/>
              <w:rPr>
                <w:rFonts w:hint="eastAsia"/>
                <w:color w:val="auto"/>
                <w:spacing w:val="-17"/>
                <w:sz w:val="21"/>
                <w:szCs w:val="21"/>
                <w:highlight w:val="none"/>
                <w:vertAlign w:val="baseline"/>
                <w:lang w:val="en-US" w:eastAsia="zh-CN"/>
              </w:rPr>
            </w:pPr>
            <w:r>
              <w:rPr>
                <w:rFonts w:hint="default" w:ascii="Times New Roman" w:hAnsi="Times New Roman" w:cs="Times New Roman"/>
                <w:color w:val="auto"/>
                <w:sz w:val="21"/>
                <w:szCs w:val="21"/>
                <w:highlight w:val="none"/>
              </w:rPr>
              <w:t>粪大肠菌群数</w:t>
            </w:r>
          </w:p>
        </w:tc>
        <w:tc>
          <w:tcPr>
            <w:tcW w:w="1341" w:type="dxa"/>
            <w:tcBorders>
              <w:tl2br w:val="nil"/>
              <w:tr2bl w:val="nil"/>
            </w:tcBorders>
            <w:noWrap w:val="0"/>
            <w:vAlign w:val="center"/>
          </w:tcPr>
          <w:p w14:paraId="64731239">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highlight w:val="none"/>
              </w:rPr>
              <w:t>总余氯</w:t>
            </w:r>
          </w:p>
        </w:tc>
      </w:tr>
      <w:tr w14:paraId="0B9705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60" w:type="dxa"/>
            <w:vMerge w:val="restart"/>
            <w:tcBorders>
              <w:tl2br w:val="nil"/>
              <w:tr2bl w:val="nil"/>
            </w:tcBorders>
            <w:noWrap w:val="0"/>
            <w:vAlign w:val="center"/>
          </w:tcPr>
          <w:p w14:paraId="74019411">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调节及沉淀单元</w:t>
            </w:r>
          </w:p>
        </w:tc>
        <w:tc>
          <w:tcPr>
            <w:tcW w:w="1262" w:type="dxa"/>
            <w:gridSpan w:val="2"/>
            <w:tcBorders>
              <w:tl2br w:val="nil"/>
              <w:tr2bl w:val="nil"/>
            </w:tcBorders>
            <w:noWrap w:val="0"/>
            <w:vAlign w:val="center"/>
          </w:tcPr>
          <w:p w14:paraId="671E6406">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进水</w:t>
            </w:r>
          </w:p>
        </w:tc>
        <w:tc>
          <w:tcPr>
            <w:tcW w:w="1260" w:type="dxa"/>
            <w:gridSpan w:val="2"/>
            <w:tcBorders>
              <w:tl2br w:val="nil"/>
              <w:tr2bl w:val="nil"/>
            </w:tcBorders>
            <w:noWrap w:val="0"/>
            <w:vAlign w:val="center"/>
          </w:tcPr>
          <w:p w14:paraId="57A5D376">
            <w:pPr>
              <w:jc w:val="center"/>
              <w:rPr>
                <w:rFonts w:hint="eastAsia"/>
                <w:color w:val="auto"/>
                <w:spacing w:val="-17"/>
                <w:sz w:val="21"/>
                <w:szCs w:val="21"/>
                <w:highlight w:val="none"/>
                <w:vertAlign w:val="baseline"/>
                <w:lang w:val="en-US" w:eastAsia="zh-CN"/>
              </w:rPr>
            </w:pPr>
            <w:r>
              <w:rPr>
                <w:rFonts w:hint="eastAsia"/>
                <w:color w:val="auto"/>
                <w:sz w:val="21"/>
                <w:szCs w:val="21"/>
                <w:highlight w:val="none"/>
                <w:vertAlign w:val="baseline"/>
                <w:lang w:val="en-US" w:eastAsia="zh-CN"/>
              </w:rPr>
              <w:t>250mg</w:t>
            </w:r>
            <w:r>
              <w:rPr>
                <w:rFonts w:hint="default"/>
                <w:color w:val="auto"/>
                <w:sz w:val="21"/>
                <w:szCs w:val="21"/>
                <w:highlight w:val="none"/>
                <w:vertAlign w:val="baseline"/>
                <w:lang w:val="en-US" w:eastAsia="zh-CN"/>
              </w:rPr>
              <w:t>/L</w:t>
            </w:r>
          </w:p>
        </w:tc>
        <w:tc>
          <w:tcPr>
            <w:tcW w:w="1155" w:type="dxa"/>
            <w:gridSpan w:val="2"/>
            <w:tcBorders>
              <w:tl2br w:val="nil"/>
              <w:tr2bl w:val="nil"/>
            </w:tcBorders>
            <w:noWrap w:val="0"/>
            <w:vAlign w:val="center"/>
          </w:tcPr>
          <w:p w14:paraId="2372ACE6">
            <w:pPr>
              <w:jc w:val="center"/>
              <w:rPr>
                <w:rFonts w:hint="eastAsia"/>
                <w:color w:val="auto"/>
                <w:spacing w:val="0"/>
                <w:sz w:val="21"/>
                <w:szCs w:val="21"/>
                <w:highlight w:val="none"/>
                <w:vertAlign w:val="baseline"/>
                <w:lang w:val="en-US" w:eastAsia="zh-CN"/>
              </w:rPr>
            </w:pPr>
            <w:r>
              <w:rPr>
                <w:rFonts w:hint="eastAsia"/>
                <w:color w:val="auto"/>
                <w:spacing w:val="0"/>
                <w:sz w:val="21"/>
                <w:szCs w:val="21"/>
                <w:highlight w:val="none"/>
                <w:vertAlign w:val="baseline"/>
                <w:lang w:val="en-US" w:eastAsia="zh-CN"/>
              </w:rPr>
              <w:t>100</w:t>
            </w:r>
            <w:r>
              <w:rPr>
                <w:rFonts w:hint="eastAsia"/>
                <w:color w:val="auto"/>
                <w:sz w:val="21"/>
                <w:szCs w:val="21"/>
                <w:highlight w:val="none"/>
                <w:vertAlign w:val="baseline"/>
                <w:lang w:val="en-US" w:eastAsia="zh-CN"/>
              </w:rPr>
              <w:t>mg</w:t>
            </w:r>
            <w:r>
              <w:rPr>
                <w:rFonts w:hint="default"/>
                <w:color w:val="auto"/>
                <w:sz w:val="21"/>
                <w:szCs w:val="21"/>
                <w:highlight w:val="none"/>
                <w:vertAlign w:val="baseline"/>
                <w:lang w:val="en-US" w:eastAsia="zh-CN"/>
              </w:rPr>
              <w:t>/L</w:t>
            </w:r>
          </w:p>
        </w:tc>
        <w:tc>
          <w:tcPr>
            <w:tcW w:w="1139" w:type="dxa"/>
            <w:tcBorders>
              <w:tl2br w:val="nil"/>
              <w:tr2bl w:val="nil"/>
            </w:tcBorders>
            <w:noWrap w:val="0"/>
            <w:vAlign w:val="center"/>
          </w:tcPr>
          <w:p w14:paraId="539787FA">
            <w:pPr>
              <w:jc w:val="center"/>
              <w:rPr>
                <w:rFonts w:hint="eastAsia"/>
                <w:color w:val="auto"/>
                <w:spacing w:val="0"/>
                <w:sz w:val="21"/>
                <w:szCs w:val="21"/>
                <w:highlight w:val="none"/>
                <w:vertAlign w:val="baseline"/>
                <w:lang w:val="en-US" w:eastAsia="zh-CN"/>
              </w:rPr>
            </w:pPr>
            <w:r>
              <w:rPr>
                <w:rFonts w:hint="eastAsia"/>
                <w:color w:val="auto"/>
                <w:spacing w:val="0"/>
                <w:sz w:val="21"/>
                <w:szCs w:val="21"/>
                <w:highlight w:val="none"/>
                <w:vertAlign w:val="baseline"/>
                <w:lang w:val="en-US" w:eastAsia="zh-CN"/>
              </w:rPr>
              <w:t>28mg</w:t>
            </w:r>
            <w:r>
              <w:rPr>
                <w:rFonts w:hint="default"/>
                <w:color w:val="auto"/>
                <w:spacing w:val="0"/>
                <w:sz w:val="21"/>
                <w:szCs w:val="21"/>
                <w:highlight w:val="none"/>
                <w:vertAlign w:val="baseline"/>
                <w:lang w:val="en-US" w:eastAsia="zh-CN"/>
              </w:rPr>
              <w:t>/L</w:t>
            </w:r>
          </w:p>
        </w:tc>
        <w:tc>
          <w:tcPr>
            <w:tcW w:w="1832" w:type="dxa"/>
            <w:tcBorders>
              <w:tl2br w:val="nil"/>
              <w:tr2bl w:val="nil"/>
            </w:tcBorders>
            <w:noWrap w:val="0"/>
            <w:vAlign w:val="center"/>
          </w:tcPr>
          <w:p w14:paraId="4A5CEE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olor w:val="auto"/>
                <w:spacing w:val="-17"/>
                <w:sz w:val="21"/>
                <w:szCs w:val="21"/>
                <w:highlight w:val="none"/>
                <w:vertAlign w:val="baseline"/>
                <w:lang w:val="en-US" w:eastAsia="zh-CN"/>
              </w:rPr>
            </w:pPr>
            <w:r>
              <w:rPr>
                <w:rFonts w:hint="eastAsia"/>
                <w:color w:val="auto"/>
                <w:sz w:val="21"/>
                <w:szCs w:val="21"/>
                <w:highlight w:val="none"/>
                <w:vertAlign w:val="baseline"/>
                <w:lang w:val="en-US" w:eastAsia="zh-CN"/>
              </w:rPr>
              <w:t>1</w:t>
            </w:r>
            <w:r>
              <w:rPr>
                <w:rFonts w:hint="default" w:ascii="Arial" w:hAnsi="Arial" w:cs="Arial"/>
                <w:color w:val="auto"/>
                <w:sz w:val="21"/>
                <w:szCs w:val="21"/>
                <w:highlight w:val="none"/>
                <w:vertAlign w:val="baseline"/>
                <w:lang w:val="en-US" w:eastAsia="zh-CN"/>
              </w:rPr>
              <w:t>×</w:t>
            </w:r>
            <w:r>
              <w:rPr>
                <w:rFonts w:hint="default"/>
                <w:color w:val="auto"/>
                <w:sz w:val="21"/>
                <w:szCs w:val="21"/>
                <w:highlight w:val="none"/>
                <w:vertAlign w:val="baseline"/>
                <w:lang w:val="en-US" w:eastAsia="zh-CN"/>
              </w:rPr>
              <w:t>10</w:t>
            </w:r>
            <w:r>
              <w:rPr>
                <w:rFonts w:hint="eastAsia"/>
                <w:color w:val="auto"/>
                <w:sz w:val="21"/>
                <w:szCs w:val="21"/>
                <w:highlight w:val="none"/>
                <w:vertAlign w:val="superscript"/>
                <w:lang w:val="en-US" w:eastAsia="zh-CN"/>
              </w:rPr>
              <w:t>6</w:t>
            </w:r>
            <w:r>
              <w:rPr>
                <w:rFonts w:hint="default"/>
                <w:color w:val="auto"/>
                <w:sz w:val="21"/>
                <w:szCs w:val="21"/>
                <w:highlight w:val="none"/>
                <w:vertAlign w:val="baseline"/>
                <w:lang w:val="en-US" w:eastAsia="zh-CN"/>
              </w:rPr>
              <w:t>MPN/</w:t>
            </w:r>
            <w:r>
              <w:rPr>
                <w:rFonts w:hint="eastAsia"/>
                <w:color w:val="auto"/>
                <w:sz w:val="21"/>
                <w:szCs w:val="21"/>
                <w:highlight w:val="none"/>
                <w:vertAlign w:val="baseline"/>
                <w:lang w:val="en-US" w:eastAsia="zh-CN"/>
              </w:rPr>
              <w:t>L</w:t>
            </w:r>
          </w:p>
        </w:tc>
        <w:tc>
          <w:tcPr>
            <w:tcW w:w="1342" w:type="dxa"/>
            <w:gridSpan w:val="2"/>
            <w:tcBorders>
              <w:tl2br w:val="nil"/>
              <w:tr2bl w:val="nil"/>
            </w:tcBorders>
            <w:noWrap w:val="0"/>
            <w:vAlign w:val="center"/>
          </w:tcPr>
          <w:p w14:paraId="0BF284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w:t>
            </w:r>
          </w:p>
        </w:tc>
      </w:tr>
      <w:tr w14:paraId="7BC289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60" w:type="dxa"/>
            <w:vMerge w:val="continue"/>
            <w:tcBorders>
              <w:tl2br w:val="nil"/>
              <w:tr2bl w:val="nil"/>
            </w:tcBorders>
            <w:noWrap w:val="0"/>
            <w:vAlign w:val="center"/>
          </w:tcPr>
          <w:p w14:paraId="364552ED">
            <w:pPr>
              <w:jc w:val="center"/>
              <w:rPr>
                <w:rFonts w:hint="eastAsia"/>
                <w:color w:val="auto"/>
                <w:spacing w:val="-17"/>
                <w:sz w:val="21"/>
                <w:szCs w:val="21"/>
                <w:highlight w:val="none"/>
                <w:vertAlign w:val="baseline"/>
                <w:lang w:val="en-US" w:eastAsia="zh-CN"/>
              </w:rPr>
            </w:pPr>
          </w:p>
        </w:tc>
        <w:tc>
          <w:tcPr>
            <w:tcW w:w="1262" w:type="dxa"/>
            <w:gridSpan w:val="2"/>
            <w:tcBorders>
              <w:tl2br w:val="nil"/>
              <w:tr2bl w:val="nil"/>
            </w:tcBorders>
            <w:noWrap w:val="0"/>
            <w:vAlign w:val="center"/>
          </w:tcPr>
          <w:p w14:paraId="453BCF6F">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出水</w:t>
            </w:r>
          </w:p>
        </w:tc>
        <w:tc>
          <w:tcPr>
            <w:tcW w:w="1260" w:type="dxa"/>
            <w:gridSpan w:val="2"/>
            <w:tcBorders>
              <w:tl2br w:val="nil"/>
              <w:tr2bl w:val="nil"/>
            </w:tcBorders>
            <w:noWrap w:val="0"/>
            <w:vAlign w:val="center"/>
          </w:tcPr>
          <w:p w14:paraId="28E57EB5">
            <w:pPr>
              <w:jc w:val="center"/>
              <w:rPr>
                <w:rFonts w:hint="eastAsia"/>
                <w:color w:val="auto"/>
                <w:spacing w:val="-17"/>
                <w:sz w:val="21"/>
                <w:szCs w:val="21"/>
                <w:highlight w:val="none"/>
                <w:vertAlign w:val="baseline"/>
                <w:lang w:val="en-US" w:eastAsia="zh-CN"/>
              </w:rPr>
            </w:pPr>
            <w:r>
              <w:rPr>
                <w:rFonts w:hint="eastAsia"/>
                <w:color w:val="auto"/>
                <w:sz w:val="21"/>
                <w:szCs w:val="21"/>
                <w:highlight w:val="none"/>
                <w:vertAlign w:val="baseline"/>
                <w:lang w:val="en-US" w:eastAsia="zh-CN"/>
              </w:rPr>
              <w:t>200mg</w:t>
            </w:r>
            <w:r>
              <w:rPr>
                <w:rFonts w:hint="default"/>
                <w:color w:val="auto"/>
                <w:sz w:val="21"/>
                <w:szCs w:val="21"/>
                <w:highlight w:val="none"/>
                <w:vertAlign w:val="baseline"/>
                <w:lang w:val="en-US" w:eastAsia="zh-CN"/>
              </w:rPr>
              <w:t>/L</w:t>
            </w:r>
          </w:p>
        </w:tc>
        <w:tc>
          <w:tcPr>
            <w:tcW w:w="1155" w:type="dxa"/>
            <w:gridSpan w:val="2"/>
            <w:tcBorders>
              <w:tl2br w:val="nil"/>
              <w:tr2bl w:val="nil"/>
            </w:tcBorders>
            <w:noWrap w:val="0"/>
            <w:vAlign w:val="center"/>
          </w:tcPr>
          <w:p w14:paraId="3FDBBC83">
            <w:pPr>
              <w:jc w:val="center"/>
              <w:rPr>
                <w:rFonts w:hint="eastAsia"/>
                <w:color w:val="auto"/>
                <w:spacing w:val="0"/>
                <w:sz w:val="21"/>
                <w:szCs w:val="21"/>
                <w:highlight w:val="none"/>
                <w:vertAlign w:val="baseline"/>
                <w:lang w:val="en-US" w:eastAsia="zh-CN"/>
              </w:rPr>
            </w:pPr>
            <w:r>
              <w:rPr>
                <w:rFonts w:hint="eastAsia"/>
                <w:color w:val="auto"/>
                <w:sz w:val="21"/>
                <w:szCs w:val="21"/>
                <w:highlight w:val="none"/>
                <w:vertAlign w:val="baseline"/>
                <w:lang w:val="en-US" w:eastAsia="zh-CN"/>
              </w:rPr>
              <w:t>30mg</w:t>
            </w:r>
            <w:r>
              <w:rPr>
                <w:rFonts w:hint="default"/>
                <w:color w:val="auto"/>
                <w:sz w:val="21"/>
                <w:szCs w:val="21"/>
                <w:highlight w:val="none"/>
                <w:vertAlign w:val="baseline"/>
                <w:lang w:val="en-US" w:eastAsia="zh-CN"/>
              </w:rPr>
              <w:t>/L</w:t>
            </w:r>
          </w:p>
        </w:tc>
        <w:tc>
          <w:tcPr>
            <w:tcW w:w="1139" w:type="dxa"/>
            <w:tcBorders>
              <w:tl2br w:val="nil"/>
              <w:tr2bl w:val="nil"/>
            </w:tcBorders>
            <w:noWrap w:val="0"/>
            <w:vAlign w:val="center"/>
          </w:tcPr>
          <w:p w14:paraId="67EAF277">
            <w:pPr>
              <w:jc w:val="center"/>
              <w:rPr>
                <w:rFonts w:hint="eastAsia"/>
                <w:color w:val="auto"/>
                <w:spacing w:val="0"/>
                <w:sz w:val="21"/>
                <w:szCs w:val="21"/>
                <w:highlight w:val="none"/>
                <w:vertAlign w:val="baseline"/>
                <w:lang w:val="en-US" w:eastAsia="zh-CN"/>
              </w:rPr>
            </w:pPr>
            <w:r>
              <w:rPr>
                <w:rFonts w:hint="eastAsia"/>
                <w:color w:val="auto"/>
                <w:spacing w:val="0"/>
                <w:sz w:val="21"/>
                <w:szCs w:val="21"/>
                <w:highlight w:val="none"/>
                <w:vertAlign w:val="baseline"/>
                <w:lang w:val="en-US" w:eastAsia="zh-CN"/>
              </w:rPr>
              <w:t>27.2mg</w:t>
            </w:r>
            <w:r>
              <w:rPr>
                <w:rFonts w:hint="default"/>
                <w:color w:val="auto"/>
                <w:spacing w:val="0"/>
                <w:sz w:val="21"/>
                <w:szCs w:val="21"/>
                <w:highlight w:val="none"/>
                <w:vertAlign w:val="baseline"/>
                <w:lang w:val="en-US" w:eastAsia="zh-CN"/>
              </w:rPr>
              <w:t>/L</w:t>
            </w:r>
          </w:p>
        </w:tc>
        <w:tc>
          <w:tcPr>
            <w:tcW w:w="1832" w:type="dxa"/>
            <w:tcBorders>
              <w:tl2br w:val="nil"/>
              <w:tr2bl w:val="nil"/>
            </w:tcBorders>
            <w:noWrap w:val="0"/>
            <w:vAlign w:val="center"/>
          </w:tcPr>
          <w:p w14:paraId="03EE093E">
            <w:pPr>
              <w:jc w:val="center"/>
              <w:rPr>
                <w:rFonts w:hint="eastAsia"/>
                <w:color w:val="auto"/>
                <w:spacing w:val="-17"/>
                <w:sz w:val="21"/>
                <w:szCs w:val="21"/>
                <w:highlight w:val="none"/>
                <w:vertAlign w:val="baseline"/>
                <w:lang w:val="en-US" w:eastAsia="zh-CN"/>
              </w:rPr>
            </w:pPr>
            <w:r>
              <w:rPr>
                <w:rFonts w:hint="eastAsia"/>
                <w:color w:val="auto"/>
                <w:sz w:val="21"/>
                <w:szCs w:val="21"/>
                <w:highlight w:val="none"/>
                <w:vertAlign w:val="baseline"/>
                <w:lang w:val="en-US" w:eastAsia="zh-CN"/>
              </w:rPr>
              <w:t>1</w:t>
            </w:r>
            <w:r>
              <w:rPr>
                <w:rFonts w:hint="default" w:ascii="Arial" w:hAnsi="Arial" w:cs="Arial"/>
                <w:color w:val="auto"/>
                <w:sz w:val="21"/>
                <w:szCs w:val="21"/>
                <w:highlight w:val="none"/>
                <w:vertAlign w:val="baseline"/>
                <w:lang w:val="en-US" w:eastAsia="zh-CN"/>
              </w:rPr>
              <w:t>×</w:t>
            </w:r>
            <w:r>
              <w:rPr>
                <w:rFonts w:hint="default"/>
                <w:color w:val="auto"/>
                <w:sz w:val="21"/>
                <w:szCs w:val="21"/>
                <w:highlight w:val="none"/>
                <w:vertAlign w:val="baseline"/>
                <w:lang w:val="en-US" w:eastAsia="zh-CN"/>
              </w:rPr>
              <w:t>10</w:t>
            </w:r>
            <w:r>
              <w:rPr>
                <w:rFonts w:hint="eastAsia"/>
                <w:color w:val="auto"/>
                <w:sz w:val="21"/>
                <w:szCs w:val="21"/>
                <w:highlight w:val="none"/>
                <w:vertAlign w:val="superscript"/>
                <w:lang w:val="en-US" w:eastAsia="zh-CN"/>
              </w:rPr>
              <w:t>6</w:t>
            </w:r>
            <w:r>
              <w:rPr>
                <w:rFonts w:hint="default"/>
                <w:color w:val="auto"/>
                <w:sz w:val="21"/>
                <w:szCs w:val="21"/>
                <w:highlight w:val="none"/>
                <w:vertAlign w:val="baseline"/>
                <w:lang w:val="en-US" w:eastAsia="zh-CN"/>
              </w:rPr>
              <w:t>MPN/</w:t>
            </w:r>
            <w:r>
              <w:rPr>
                <w:rFonts w:hint="eastAsia"/>
                <w:color w:val="auto"/>
                <w:sz w:val="21"/>
                <w:szCs w:val="21"/>
                <w:highlight w:val="none"/>
                <w:vertAlign w:val="baseline"/>
                <w:lang w:val="en-US" w:eastAsia="zh-CN"/>
              </w:rPr>
              <w:t>L</w:t>
            </w:r>
          </w:p>
        </w:tc>
        <w:tc>
          <w:tcPr>
            <w:tcW w:w="1342" w:type="dxa"/>
            <w:gridSpan w:val="2"/>
            <w:tcBorders>
              <w:tl2br w:val="nil"/>
              <w:tr2bl w:val="nil"/>
            </w:tcBorders>
            <w:noWrap w:val="0"/>
            <w:vAlign w:val="center"/>
          </w:tcPr>
          <w:p w14:paraId="154041DA">
            <w:pPr>
              <w:jc w:val="center"/>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w:t>
            </w:r>
          </w:p>
        </w:tc>
      </w:tr>
      <w:tr w14:paraId="50701A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260" w:type="dxa"/>
            <w:vMerge w:val="continue"/>
            <w:tcBorders>
              <w:tl2br w:val="nil"/>
              <w:tr2bl w:val="nil"/>
            </w:tcBorders>
            <w:noWrap w:val="0"/>
            <w:vAlign w:val="center"/>
          </w:tcPr>
          <w:p w14:paraId="0BCEA8CA">
            <w:pPr>
              <w:jc w:val="center"/>
              <w:rPr>
                <w:rFonts w:hint="eastAsia"/>
                <w:color w:val="auto"/>
                <w:spacing w:val="-17"/>
                <w:sz w:val="21"/>
                <w:szCs w:val="21"/>
                <w:highlight w:val="none"/>
                <w:vertAlign w:val="baseline"/>
                <w:lang w:val="en-US" w:eastAsia="zh-CN"/>
              </w:rPr>
            </w:pPr>
          </w:p>
        </w:tc>
        <w:tc>
          <w:tcPr>
            <w:tcW w:w="1262" w:type="dxa"/>
            <w:gridSpan w:val="2"/>
            <w:tcBorders>
              <w:tl2br w:val="nil"/>
              <w:tr2bl w:val="nil"/>
            </w:tcBorders>
            <w:noWrap w:val="0"/>
            <w:vAlign w:val="center"/>
          </w:tcPr>
          <w:p w14:paraId="39D40A4C">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去除率（%）</w:t>
            </w:r>
          </w:p>
        </w:tc>
        <w:tc>
          <w:tcPr>
            <w:tcW w:w="1260" w:type="dxa"/>
            <w:gridSpan w:val="2"/>
            <w:tcBorders>
              <w:tl2br w:val="nil"/>
              <w:tr2bl w:val="nil"/>
            </w:tcBorders>
            <w:noWrap w:val="0"/>
            <w:vAlign w:val="center"/>
          </w:tcPr>
          <w:p w14:paraId="3185200E">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20</w:t>
            </w:r>
          </w:p>
        </w:tc>
        <w:tc>
          <w:tcPr>
            <w:tcW w:w="1155" w:type="dxa"/>
            <w:gridSpan w:val="2"/>
            <w:tcBorders>
              <w:tl2br w:val="nil"/>
              <w:tr2bl w:val="nil"/>
            </w:tcBorders>
            <w:noWrap w:val="0"/>
            <w:vAlign w:val="center"/>
          </w:tcPr>
          <w:p w14:paraId="4238DF06">
            <w:pPr>
              <w:jc w:val="center"/>
              <w:rPr>
                <w:rFonts w:hint="eastAsia"/>
                <w:color w:val="auto"/>
                <w:spacing w:val="0"/>
                <w:sz w:val="21"/>
                <w:szCs w:val="21"/>
                <w:highlight w:val="none"/>
                <w:vertAlign w:val="baseline"/>
                <w:lang w:val="en-US" w:eastAsia="zh-CN"/>
              </w:rPr>
            </w:pPr>
            <w:r>
              <w:rPr>
                <w:rFonts w:hint="eastAsia"/>
                <w:color w:val="auto"/>
                <w:spacing w:val="0"/>
                <w:sz w:val="21"/>
                <w:szCs w:val="21"/>
                <w:highlight w:val="none"/>
                <w:vertAlign w:val="baseline"/>
                <w:lang w:val="en-US" w:eastAsia="zh-CN"/>
              </w:rPr>
              <w:t>70</w:t>
            </w:r>
          </w:p>
        </w:tc>
        <w:tc>
          <w:tcPr>
            <w:tcW w:w="1139" w:type="dxa"/>
            <w:tcBorders>
              <w:tl2br w:val="nil"/>
              <w:tr2bl w:val="nil"/>
            </w:tcBorders>
            <w:noWrap w:val="0"/>
            <w:vAlign w:val="center"/>
          </w:tcPr>
          <w:p w14:paraId="141C6907">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3</w:t>
            </w:r>
          </w:p>
        </w:tc>
        <w:tc>
          <w:tcPr>
            <w:tcW w:w="1832" w:type="dxa"/>
            <w:tcBorders>
              <w:tl2br w:val="nil"/>
              <w:tr2bl w:val="nil"/>
            </w:tcBorders>
            <w:noWrap w:val="0"/>
            <w:vAlign w:val="center"/>
          </w:tcPr>
          <w:p w14:paraId="17A5E4D3">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w:t>
            </w:r>
          </w:p>
        </w:tc>
        <w:tc>
          <w:tcPr>
            <w:tcW w:w="1342" w:type="dxa"/>
            <w:gridSpan w:val="2"/>
            <w:tcBorders>
              <w:tl2br w:val="nil"/>
              <w:tr2bl w:val="nil"/>
            </w:tcBorders>
            <w:noWrap w:val="0"/>
            <w:vAlign w:val="center"/>
          </w:tcPr>
          <w:p w14:paraId="617BB94F">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w:t>
            </w:r>
          </w:p>
        </w:tc>
      </w:tr>
      <w:tr w14:paraId="0FB173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1260" w:type="dxa"/>
            <w:vMerge w:val="restart"/>
            <w:tcBorders>
              <w:tl2br w:val="nil"/>
              <w:tr2bl w:val="nil"/>
            </w:tcBorders>
            <w:noWrap w:val="0"/>
            <w:vAlign w:val="center"/>
          </w:tcPr>
          <w:p w14:paraId="3C887AD5">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消毒单元</w:t>
            </w:r>
          </w:p>
        </w:tc>
        <w:tc>
          <w:tcPr>
            <w:tcW w:w="1262" w:type="dxa"/>
            <w:gridSpan w:val="2"/>
            <w:tcBorders>
              <w:tl2br w:val="nil"/>
              <w:tr2bl w:val="nil"/>
            </w:tcBorders>
            <w:noWrap w:val="0"/>
            <w:vAlign w:val="center"/>
          </w:tcPr>
          <w:p w14:paraId="259AE275">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进水</w:t>
            </w:r>
          </w:p>
        </w:tc>
        <w:tc>
          <w:tcPr>
            <w:tcW w:w="1260" w:type="dxa"/>
            <w:gridSpan w:val="2"/>
            <w:tcBorders>
              <w:tl2br w:val="nil"/>
              <w:tr2bl w:val="nil"/>
            </w:tcBorders>
            <w:noWrap w:val="0"/>
            <w:vAlign w:val="center"/>
          </w:tcPr>
          <w:p w14:paraId="5B1FEAC5">
            <w:pPr>
              <w:jc w:val="center"/>
              <w:rPr>
                <w:rFonts w:hint="eastAsia"/>
                <w:color w:val="auto"/>
                <w:spacing w:val="-17"/>
                <w:sz w:val="21"/>
                <w:szCs w:val="21"/>
                <w:highlight w:val="none"/>
                <w:vertAlign w:val="baseline"/>
                <w:lang w:val="en-US" w:eastAsia="zh-CN"/>
              </w:rPr>
            </w:pPr>
            <w:r>
              <w:rPr>
                <w:rFonts w:hint="eastAsia"/>
                <w:color w:val="auto"/>
                <w:sz w:val="21"/>
                <w:szCs w:val="21"/>
                <w:highlight w:val="none"/>
                <w:vertAlign w:val="baseline"/>
                <w:lang w:val="en-US" w:eastAsia="zh-CN"/>
              </w:rPr>
              <w:t>200mg</w:t>
            </w:r>
            <w:r>
              <w:rPr>
                <w:rFonts w:hint="default"/>
                <w:color w:val="auto"/>
                <w:sz w:val="21"/>
                <w:szCs w:val="21"/>
                <w:highlight w:val="none"/>
                <w:vertAlign w:val="baseline"/>
                <w:lang w:val="en-US" w:eastAsia="zh-CN"/>
              </w:rPr>
              <w:t>/L</w:t>
            </w:r>
          </w:p>
        </w:tc>
        <w:tc>
          <w:tcPr>
            <w:tcW w:w="1155" w:type="dxa"/>
            <w:gridSpan w:val="2"/>
            <w:tcBorders>
              <w:tl2br w:val="nil"/>
              <w:tr2bl w:val="nil"/>
            </w:tcBorders>
            <w:noWrap w:val="0"/>
            <w:vAlign w:val="center"/>
          </w:tcPr>
          <w:p w14:paraId="7C0F49F7">
            <w:pPr>
              <w:jc w:val="center"/>
              <w:rPr>
                <w:rFonts w:hint="eastAsia"/>
                <w:color w:val="auto"/>
                <w:spacing w:val="0"/>
                <w:sz w:val="21"/>
                <w:szCs w:val="21"/>
                <w:highlight w:val="none"/>
                <w:vertAlign w:val="baseline"/>
                <w:lang w:val="en-US" w:eastAsia="zh-CN"/>
              </w:rPr>
            </w:pPr>
            <w:r>
              <w:rPr>
                <w:rFonts w:hint="eastAsia"/>
                <w:color w:val="auto"/>
                <w:sz w:val="21"/>
                <w:szCs w:val="21"/>
                <w:highlight w:val="none"/>
                <w:vertAlign w:val="baseline"/>
                <w:lang w:val="en-US" w:eastAsia="zh-CN"/>
              </w:rPr>
              <w:t>30mg</w:t>
            </w:r>
            <w:r>
              <w:rPr>
                <w:rFonts w:hint="default"/>
                <w:color w:val="auto"/>
                <w:sz w:val="21"/>
                <w:szCs w:val="21"/>
                <w:highlight w:val="none"/>
                <w:vertAlign w:val="baseline"/>
                <w:lang w:val="en-US" w:eastAsia="zh-CN"/>
              </w:rPr>
              <w:t>/L</w:t>
            </w:r>
          </w:p>
        </w:tc>
        <w:tc>
          <w:tcPr>
            <w:tcW w:w="1139" w:type="dxa"/>
            <w:tcBorders>
              <w:tl2br w:val="nil"/>
              <w:tr2bl w:val="nil"/>
            </w:tcBorders>
            <w:noWrap w:val="0"/>
            <w:vAlign w:val="center"/>
          </w:tcPr>
          <w:p w14:paraId="4E47C416">
            <w:pPr>
              <w:jc w:val="center"/>
              <w:rPr>
                <w:rFonts w:hint="eastAsia"/>
                <w:color w:val="auto"/>
                <w:spacing w:val="0"/>
                <w:sz w:val="21"/>
                <w:szCs w:val="21"/>
                <w:highlight w:val="none"/>
                <w:vertAlign w:val="baseline"/>
                <w:lang w:val="en-US" w:eastAsia="zh-CN"/>
              </w:rPr>
            </w:pPr>
            <w:r>
              <w:rPr>
                <w:rFonts w:hint="eastAsia"/>
                <w:color w:val="auto"/>
                <w:spacing w:val="0"/>
                <w:sz w:val="21"/>
                <w:szCs w:val="21"/>
                <w:highlight w:val="none"/>
                <w:vertAlign w:val="baseline"/>
                <w:lang w:val="en-US" w:eastAsia="zh-CN"/>
              </w:rPr>
              <w:t>27.2mg</w:t>
            </w:r>
            <w:r>
              <w:rPr>
                <w:rFonts w:hint="default"/>
                <w:color w:val="auto"/>
                <w:spacing w:val="0"/>
                <w:sz w:val="21"/>
                <w:szCs w:val="21"/>
                <w:highlight w:val="none"/>
                <w:vertAlign w:val="baseline"/>
                <w:lang w:val="en-US" w:eastAsia="zh-CN"/>
              </w:rPr>
              <w:t>/L</w:t>
            </w:r>
          </w:p>
        </w:tc>
        <w:tc>
          <w:tcPr>
            <w:tcW w:w="1832" w:type="dxa"/>
            <w:tcBorders>
              <w:tl2br w:val="nil"/>
              <w:tr2bl w:val="nil"/>
            </w:tcBorders>
            <w:noWrap w:val="0"/>
            <w:vAlign w:val="center"/>
          </w:tcPr>
          <w:p w14:paraId="02A3A885">
            <w:pPr>
              <w:jc w:val="center"/>
              <w:rPr>
                <w:rFonts w:hint="eastAsia"/>
                <w:color w:val="auto"/>
                <w:spacing w:val="-17"/>
                <w:sz w:val="21"/>
                <w:szCs w:val="21"/>
                <w:highlight w:val="none"/>
                <w:vertAlign w:val="baseline"/>
                <w:lang w:val="en-US" w:eastAsia="zh-CN"/>
              </w:rPr>
            </w:pPr>
            <w:r>
              <w:rPr>
                <w:rFonts w:hint="eastAsia"/>
                <w:color w:val="auto"/>
                <w:sz w:val="21"/>
                <w:szCs w:val="21"/>
                <w:highlight w:val="none"/>
                <w:vertAlign w:val="baseline"/>
                <w:lang w:val="en-US" w:eastAsia="zh-CN"/>
              </w:rPr>
              <w:t>1</w:t>
            </w:r>
            <w:r>
              <w:rPr>
                <w:rFonts w:hint="default" w:ascii="Arial" w:hAnsi="Arial" w:cs="Arial"/>
                <w:color w:val="auto"/>
                <w:sz w:val="21"/>
                <w:szCs w:val="21"/>
                <w:highlight w:val="none"/>
                <w:vertAlign w:val="baseline"/>
                <w:lang w:val="en-US" w:eastAsia="zh-CN"/>
              </w:rPr>
              <w:t>×</w:t>
            </w:r>
            <w:r>
              <w:rPr>
                <w:rFonts w:hint="default"/>
                <w:color w:val="auto"/>
                <w:sz w:val="21"/>
                <w:szCs w:val="21"/>
                <w:highlight w:val="none"/>
                <w:vertAlign w:val="baseline"/>
                <w:lang w:val="en-US" w:eastAsia="zh-CN"/>
              </w:rPr>
              <w:t>10</w:t>
            </w:r>
            <w:r>
              <w:rPr>
                <w:rFonts w:hint="eastAsia"/>
                <w:color w:val="auto"/>
                <w:sz w:val="21"/>
                <w:szCs w:val="21"/>
                <w:highlight w:val="none"/>
                <w:vertAlign w:val="superscript"/>
                <w:lang w:val="en-US" w:eastAsia="zh-CN"/>
              </w:rPr>
              <w:t>6</w:t>
            </w:r>
            <w:r>
              <w:rPr>
                <w:rFonts w:hint="default"/>
                <w:color w:val="auto"/>
                <w:sz w:val="21"/>
                <w:szCs w:val="21"/>
                <w:highlight w:val="none"/>
                <w:vertAlign w:val="baseline"/>
                <w:lang w:val="en-US" w:eastAsia="zh-CN"/>
              </w:rPr>
              <w:t>MPN/</w:t>
            </w:r>
            <w:r>
              <w:rPr>
                <w:rFonts w:hint="eastAsia"/>
                <w:color w:val="auto"/>
                <w:sz w:val="21"/>
                <w:szCs w:val="21"/>
                <w:highlight w:val="none"/>
                <w:vertAlign w:val="baseline"/>
                <w:lang w:val="en-US" w:eastAsia="zh-CN"/>
              </w:rPr>
              <w:t>L</w:t>
            </w:r>
          </w:p>
        </w:tc>
        <w:tc>
          <w:tcPr>
            <w:tcW w:w="1342" w:type="dxa"/>
            <w:gridSpan w:val="2"/>
            <w:tcBorders>
              <w:tl2br w:val="nil"/>
              <w:tr2bl w:val="nil"/>
            </w:tcBorders>
            <w:noWrap w:val="0"/>
            <w:vAlign w:val="center"/>
          </w:tcPr>
          <w:p w14:paraId="7F5187CD">
            <w:pPr>
              <w:jc w:val="center"/>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w:t>
            </w:r>
          </w:p>
        </w:tc>
      </w:tr>
      <w:tr w14:paraId="3A54D2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1260" w:type="dxa"/>
            <w:vMerge w:val="continue"/>
            <w:tcBorders>
              <w:tl2br w:val="nil"/>
              <w:tr2bl w:val="nil"/>
            </w:tcBorders>
            <w:noWrap w:val="0"/>
            <w:vAlign w:val="center"/>
          </w:tcPr>
          <w:p w14:paraId="6C008A99">
            <w:pPr>
              <w:jc w:val="center"/>
              <w:rPr>
                <w:rFonts w:hint="eastAsia"/>
                <w:color w:val="auto"/>
                <w:spacing w:val="-17"/>
                <w:sz w:val="21"/>
                <w:szCs w:val="21"/>
                <w:highlight w:val="none"/>
                <w:vertAlign w:val="baseline"/>
                <w:lang w:val="en-US" w:eastAsia="zh-CN"/>
              </w:rPr>
            </w:pPr>
          </w:p>
        </w:tc>
        <w:tc>
          <w:tcPr>
            <w:tcW w:w="1262" w:type="dxa"/>
            <w:gridSpan w:val="2"/>
            <w:tcBorders>
              <w:tl2br w:val="nil"/>
              <w:tr2bl w:val="nil"/>
            </w:tcBorders>
            <w:noWrap w:val="0"/>
            <w:vAlign w:val="center"/>
          </w:tcPr>
          <w:p w14:paraId="25CBBEFE">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出水</w:t>
            </w:r>
          </w:p>
        </w:tc>
        <w:tc>
          <w:tcPr>
            <w:tcW w:w="1260" w:type="dxa"/>
            <w:gridSpan w:val="2"/>
            <w:tcBorders>
              <w:tl2br w:val="nil"/>
              <w:tr2bl w:val="nil"/>
            </w:tcBorders>
            <w:noWrap w:val="0"/>
            <w:vAlign w:val="center"/>
          </w:tcPr>
          <w:p w14:paraId="5575FE96">
            <w:pPr>
              <w:jc w:val="center"/>
              <w:rPr>
                <w:rFonts w:hint="eastAsia"/>
                <w:color w:val="auto"/>
                <w:spacing w:val="-17"/>
                <w:sz w:val="21"/>
                <w:szCs w:val="21"/>
                <w:highlight w:val="none"/>
                <w:vertAlign w:val="baseline"/>
                <w:lang w:val="en-US" w:eastAsia="zh-CN"/>
              </w:rPr>
            </w:pPr>
            <w:r>
              <w:rPr>
                <w:rFonts w:hint="eastAsia"/>
                <w:color w:val="auto"/>
                <w:sz w:val="21"/>
                <w:szCs w:val="21"/>
                <w:highlight w:val="none"/>
                <w:vertAlign w:val="baseline"/>
                <w:lang w:val="en-US" w:eastAsia="zh-CN"/>
              </w:rPr>
              <w:t>200mg</w:t>
            </w:r>
            <w:r>
              <w:rPr>
                <w:rFonts w:hint="default"/>
                <w:color w:val="auto"/>
                <w:sz w:val="21"/>
                <w:szCs w:val="21"/>
                <w:highlight w:val="none"/>
                <w:vertAlign w:val="baseline"/>
                <w:lang w:val="en-US" w:eastAsia="zh-CN"/>
              </w:rPr>
              <w:t>/L</w:t>
            </w:r>
          </w:p>
        </w:tc>
        <w:tc>
          <w:tcPr>
            <w:tcW w:w="1155" w:type="dxa"/>
            <w:gridSpan w:val="2"/>
            <w:tcBorders>
              <w:tl2br w:val="nil"/>
              <w:tr2bl w:val="nil"/>
            </w:tcBorders>
            <w:noWrap w:val="0"/>
            <w:vAlign w:val="center"/>
          </w:tcPr>
          <w:p w14:paraId="4FECF5A7">
            <w:pPr>
              <w:jc w:val="center"/>
              <w:rPr>
                <w:rFonts w:hint="eastAsia"/>
                <w:color w:val="auto"/>
                <w:spacing w:val="0"/>
                <w:sz w:val="21"/>
                <w:szCs w:val="21"/>
                <w:highlight w:val="none"/>
                <w:vertAlign w:val="baseline"/>
                <w:lang w:val="en-US" w:eastAsia="zh-CN"/>
              </w:rPr>
            </w:pPr>
            <w:r>
              <w:rPr>
                <w:rFonts w:hint="eastAsia"/>
                <w:color w:val="auto"/>
                <w:sz w:val="21"/>
                <w:szCs w:val="21"/>
                <w:highlight w:val="none"/>
                <w:vertAlign w:val="baseline"/>
                <w:lang w:val="en-US" w:eastAsia="zh-CN"/>
              </w:rPr>
              <w:t>30mg</w:t>
            </w:r>
            <w:r>
              <w:rPr>
                <w:rFonts w:hint="default"/>
                <w:color w:val="auto"/>
                <w:sz w:val="21"/>
                <w:szCs w:val="21"/>
                <w:highlight w:val="none"/>
                <w:vertAlign w:val="baseline"/>
                <w:lang w:val="en-US" w:eastAsia="zh-CN"/>
              </w:rPr>
              <w:t>/L</w:t>
            </w:r>
          </w:p>
        </w:tc>
        <w:tc>
          <w:tcPr>
            <w:tcW w:w="1139" w:type="dxa"/>
            <w:tcBorders>
              <w:tl2br w:val="nil"/>
              <w:tr2bl w:val="nil"/>
            </w:tcBorders>
            <w:noWrap w:val="0"/>
            <w:vAlign w:val="center"/>
          </w:tcPr>
          <w:p w14:paraId="6E4E98F6">
            <w:pPr>
              <w:jc w:val="center"/>
              <w:rPr>
                <w:rFonts w:hint="eastAsia"/>
                <w:color w:val="auto"/>
                <w:spacing w:val="0"/>
                <w:sz w:val="21"/>
                <w:szCs w:val="21"/>
                <w:highlight w:val="none"/>
                <w:vertAlign w:val="baseline"/>
                <w:lang w:val="en-US" w:eastAsia="zh-CN"/>
              </w:rPr>
            </w:pPr>
            <w:r>
              <w:rPr>
                <w:rFonts w:hint="eastAsia"/>
                <w:color w:val="auto"/>
                <w:spacing w:val="0"/>
                <w:sz w:val="21"/>
                <w:szCs w:val="21"/>
                <w:highlight w:val="none"/>
                <w:vertAlign w:val="baseline"/>
                <w:lang w:val="en-US" w:eastAsia="zh-CN"/>
              </w:rPr>
              <w:t>27.2mg</w:t>
            </w:r>
            <w:r>
              <w:rPr>
                <w:rFonts w:hint="default"/>
                <w:color w:val="auto"/>
                <w:spacing w:val="0"/>
                <w:sz w:val="21"/>
                <w:szCs w:val="21"/>
                <w:highlight w:val="none"/>
                <w:vertAlign w:val="baseline"/>
                <w:lang w:val="en-US" w:eastAsia="zh-CN"/>
              </w:rPr>
              <w:t>/L</w:t>
            </w:r>
          </w:p>
        </w:tc>
        <w:tc>
          <w:tcPr>
            <w:tcW w:w="1832" w:type="dxa"/>
            <w:tcBorders>
              <w:tl2br w:val="nil"/>
              <w:tr2bl w:val="nil"/>
            </w:tcBorders>
            <w:noWrap w:val="0"/>
            <w:vAlign w:val="center"/>
          </w:tcPr>
          <w:p w14:paraId="33CC17DC">
            <w:pPr>
              <w:jc w:val="center"/>
              <w:rPr>
                <w:rFonts w:hint="eastAsia"/>
                <w:color w:val="auto"/>
                <w:spacing w:val="-17"/>
                <w:sz w:val="21"/>
                <w:szCs w:val="21"/>
                <w:highlight w:val="none"/>
                <w:vertAlign w:val="baseline"/>
                <w:lang w:val="en-US" w:eastAsia="zh-CN"/>
              </w:rPr>
            </w:pPr>
            <w:r>
              <w:rPr>
                <w:rFonts w:hint="eastAsia"/>
                <w:color w:val="auto"/>
                <w:sz w:val="21"/>
                <w:szCs w:val="21"/>
                <w:highlight w:val="none"/>
                <w:vertAlign w:val="baseline"/>
                <w:lang w:val="en-US" w:eastAsia="zh-CN"/>
              </w:rPr>
              <w:t>5000</w:t>
            </w:r>
            <w:r>
              <w:rPr>
                <w:rFonts w:hint="default"/>
                <w:color w:val="auto"/>
                <w:sz w:val="21"/>
                <w:szCs w:val="21"/>
                <w:highlight w:val="none"/>
                <w:vertAlign w:val="baseline"/>
                <w:lang w:val="en-US" w:eastAsia="zh-CN"/>
              </w:rPr>
              <w:t>MPN/</w:t>
            </w:r>
            <w:r>
              <w:rPr>
                <w:rFonts w:hint="eastAsia"/>
                <w:color w:val="auto"/>
                <w:sz w:val="21"/>
                <w:szCs w:val="21"/>
                <w:highlight w:val="none"/>
                <w:vertAlign w:val="baseline"/>
                <w:lang w:val="en-US" w:eastAsia="zh-CN"/>
              </w:rPr>
              <w:t>L</w:t>
            </w:r>
          </w:p>
        </w:tc>
        <w:tc>
          <w:tcPr>
            <w:tcW w:w="1342" w:type="dxa"/>
            <w:gridSpan w:val="2"/>
            <w:tcBorders>
              <w:tl2br w:val="nil"/>
              <w:tr2bl w:val="nil"/>
            </w:tcBorders>
            <w:noWrap w:val="0"/>
            <w:vAlign w:val="center"/>
          </w:tcPr>
          <w:p w14:paraId="4097F982">
            <w:pPr>
              <w:jc w:val="center"/>
              <w:rPr>
                <w:rFonts w:hint="eastAsia"/>
                <w:color w:val="auto"/>
                <w:sz w:val="21"/>
                <w:szCs w:val="21"/>
                <w:highlight w:val="none"/>
                <w:vertAlign w:val="baseline"/>
                <w:lang w:val="en-US" w:eastAsia="zh-CN"/>
              </w:rPr>
            </w:pPr>
            <w:r>
              <w:rPr>
                <w:rFonts w:hint="default" w:ascii="Times New Roman" w:hAnsi="Times New Roman" w:cs="Times New Roman"/>
                <w:color w:val="auto"/>
                <w:highlight w:val="none"/>
              </w:rPr>
              <w:t>6</w:t>
            </w:r>
            <w:r>
              <w:rPr>
                <w:rFonts w:hint="eastAsia"/>
                <w:color w:val="auto"/>
                <w:sz w:val="21"/>
                <w:szCs w:val="21"/>
                <w:highlight w:val="none"/>
                <w:vertAlign w:val="baseline"/>
                <w:lang w:val="en-US" w:eastAsia="zh-CN"/>
              </w:rPr>
              <w:t>mg</w:t>
            </w:r>
            <w:r>
              <w:rPr>
                <w:rFonts w:hint="default"/>
                <w:color w:val="auto"/>
                <w:sz w:val="21"/>
                <w:szCs w:val="21"/>
                <w:highlight w:val="none"/>
                <w:vertAlign w:val="baseline"/>
                <w:lang w:val="en-US" w:eastAsia="zh-CN"/>
              </w:rPr>
              <w:t>/L</w:t>
            </w:r>
          </w:p>
        </w:tc>
      </w:tr>
      <w:tr w14:paraId="079CD1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1260" w:type="dxa"/>
            <w:vMerge w:val="continue"/>
            <w:tcBorders>
              <w:tl2br w:val="nil"/>
              <w:tr2bl w:val="nil"/>
            </w:tcBorders>
            <w:noWrap w:val="0"/>
            <w:vAlign w:val="center"/>
          </w:tcPr>
          <w:p w14:paraId="4D4643B6">
            <w:pPr>
              <w:jc w:val="center"/>
              <w:rPr>
                <w:rFonts w:hint="eastAsia"/>
                <w:color w:val="auto"/>
                <w:spacing w:val="-17"/>
                <w:sz w:val="21"/>
                <w:szCs w:val="21"/>
                <w:highlight w:val="none"/>
                <w:vertAlign w:val="baseline"/>
                <w:lang w:val="en-US" w:eastAsia="zh-CN"/>
              </w:rPr>
            </w:pPr>
          </w:p>
        </w:tc>
        <w:tc>
          <w:tcPr>
            <w:tcW w:w="1262" w:type="dxa"/>
            <w:gridSpan w:val="2"/>
            <w:tcBorders>
              <w:tl2br w:val="nil"/>
              <w:tr2bl w:val="nil"/>
            </w:tcBorders>
            <w:noWrap w:val="0"/>
            <w:vAlign w:val="center"/>
          </w:tcPr>
          <w:p w14:paraId="5FB4F46D">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去除率（%）</w:t>
            </w:r>
          </w:p>
        </w:tc>
        <w:tc>
          <w:tcPr>
            <w:tcW w:w="1260" w:type="dxa"/>
            <w:gridSpan w:val="2"/>
            <w:tcBorders>
              <w:tl2br w:val="nil"/>
              <w:tr2bl w:val="nil"/>
            </w:tcBorders>
            <w:noWrap w:val="0"/>
            <w:vAlign w:val="center"/>
          </w:tcPr>
          <w:p w14:paraId="5C4AC79D">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w:t>
            </w:r>
          </w:p>
        </w:tc>
        <w:tc>
          <w:tcPr>
            <w:tcW w:w="1155" w:type="dxa"/>
            <w:gridSpan w:val="2"/>
            <w:tcBorders>
              <w:tl2br w:val="nil"/>
              <w:tr2bl w:val="nil"/>
            </w:tcBorders>
            <w:noWrap w:val="0"/>
            <w:vAlign w:val="center"/>
          </w:tcPr>
          <w:p w14:paraId="29C515EE">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w:t>
            </w:r>
          </w:p>
        </w:tc>
        <w:tc>
          <w:tcPr>
            <w:tcW w:w="1139" w:type="dxa"/>
            <w:tcBorders>
              <w:tl2br w:val="nil"/>
              <w:tr2bl w:val="nil"/>
            </w:tcBorders>
            <w:noWrap w:val="0"/>
            <w:vAlign w:val="center"/>
          </w:tcPr>
          <w:p w14:paraId="3868CC00">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w:t>
            </w:r>
          </w:p>
        </w:tc>
        <w:tc>
          <w:tcPr>
            <w:tcW w:w="1832" w:type="dxa"/>
            <w:tcBorders>
              <w:tl2br w:val="nil"/>
              <w:tr2bl w:val="nil"/>
            </w:tcBorders>
            <w:noWrap w:val="0"/>
            <w:vAlign w:val="center"/>
          </w:tcPr>
          <w:p w14:paraId="2BD612B6">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99.5</w:t>
            </w:r>
          </w:p>
        </w:tc>
        <w:tc>
          <w:tcPr>
            <w:tcW w:w="1342" w:type="dxa"/>
            <w:gridSpan w:val="2"/>
            <w:tcBorders>
              <w:tl2br w:val="nil"/>
              <w:tr2bl w:val="nil"/>
            </w:tcBorders>
            <w:noWrap w:val="0"/>
            <w:vAlign w:val="center"/>
          </w:tcPr>
          <w:p w14:paraId="03FE6C9F">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w:t>
            </w:r>
          </w:p>
        </w:tc>
      </w:tr>
      <w:tr w14:paraId="7AC5B8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 w:type="dxa"/>
        </w:trPr>
        <w:tc>
          <w:tcPr>
            <w:tcW w:w="2521" w:type="dxa"/>
            <w:gridSpan w:val="2"/>
            <w:tcBorders>
              <w:tl2br w:val="nil"/>
              <w:tr2bl w:val="nil"/>
            </w:tcBorders>
            <w:noWrap w:val="0"/>
            <w:vAlign w:val="center"/>
          </w:tcPr>
          <w:p w14:paraId="58A980E7">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出水</w:t>
            </w:r>
          </w:p>
        </w:tc>
        <w:tc>
          <w:tcPr>
            <w:tcW w:w="1260" w:type="dxa"/>
            <w:gridSpan w:val="2"/>
            <w:tcBorders>
              <w:tl2br w:val="nil"/>
              <w:tr2bl w:val="nil"/>
            </w:tcBorders>
            <w:noWrap w:val="0"/>
            <w:vAlign w:val="center"/>
          </w:tcPr>
          <w:p w14:paraId="74A176C9">
            <w:pPr>
              <w:jc w:val="center"/>
              <w:rPr>
                <w:rFonts w:hint="eastAsia"/>
                <w:color w:val="auto"/>
                <w:spacing w:val="-17"/>
                <w:sz w:val="21"/>
                <w:szCs w:val="21"/>
                <w:highlight w:val="none"/>
                <w:vertAlign w:val="baseline"/>
                <w:lang w:val="en-US" w:eastAsia="zh-CN"/>
              </w:rPr>
            </w:pPr>
            <w:r>
              <w:rPr>
                <w:rFonts w:hint="eastAsia"/>
                <w:color w:val="auto"/>
                <w:sz w:val="21"/>
                <w:szCs w:val="21"/>
                <w:highlight w:val="none"/>
                <w:vertAlign w:val="baseline"/>
                <w:lang w:val="en-US" w:eastAsia="zh-CN"/>
              </w:rPr>
              <w:t>200mg</w:t>
            </w:r>
            <w:r>
              <w:rPr>
                <w:rFonts w:hint="default"/>
                <w:color w:val="auto"/>
                <w:sz w:val="21"/>
                <w:szCs w:val="21"/>
                <w:highlight w:val="none"/>
                <w:vertAlign w:val="baseline"/>
                <w:lang w:val="en-US" w:eastAsia="zh-CN"/>
              </w:rPr>
              <w:t>/L</w:t>
            </w:r>
          </w:p>
        </w:tc>
        <w:tc>
          <w:tcPr>
            <w:tcW w:w="1155" w:type="dxa"/>
            <w:gridSpan w:val="2"/>
            <w:tcBorders>
              <w:tl2br w:val="nil"/>
              <w:tr2bl w:val="nil"/>
            </w:tcBorders>
            <w:noWrap w:val="0"/>
            <w:vAlign w:val="center"/>
          </w:tcPr>
          <w:p w14:paraId="22B858C4">
            <w:pPr>
              <w:jc w:val="center"/>
              <w:rPr>
                <w:rFonts w:hint="eastAsia"/>
                <w:color w:val="auto"/>
                <w:spacing w:val="-17"/>
                <w:sz w:val="21"/>
                <w:szCs w:val="21"/>
                <w:highlight w:val="none"/>
                <w:vertAlign w:val="baseline"/>
                <w:lang w:val="en-US" w:eastAsia="zh-CN"/>
              </w:rPr>
            </w:pPr>
            <w:r>
              <w:rPr>
                <w:rFonts w:hint="eastAsia"/>
                <w:color w:val="auto"/>
                <w:sz w:val="21"/>
                <w:szCs w:val="21"/>
                <w:highlight w:val="none"/>
                <w:vertAlign w:val="baseline"/>
                <w:lang w:val="en-US" w:eastAsia="zh-CN"/>
              </w:rPr>
              <w:t>30mg</w:t>
            </w:r>
            <w:r>
              <w:rPr>
                <w:rFonts w:hint="default"/>
                <w:color w:val="auto"/>
                <w:sz w:val="21"/>
                <w:szCs w:val="21"/>
                <w:highlight w:val="none"/>
                <w:vertAlign w:val="baseline"/>
                <w:lang w:val="en-US" w:eastAsia="zh-CN"/>
              </w:rPr>
              <w:t>/L</w:t>
            </w:r>
          </w:p>
        </w:tc>
        <w:tc>
          <w:tcPr>
            <w:tcW w:w="1140" w:type="dxa"/>
            <w:gridSpan w:val="2"/>
            <w:tcBorders>
              <w:tl2br w:val="nil"/>
              <w:tr2bl w:val="nil"/>
            </w:tcBorders>
            <w:noWrap w:val="0"/>
            <w:vAlign w:val="center"/>
          </w:tcPr>
          <w:p w14:paraId="58B24EC0">
            <w:pPr>
              <w:jc w:val="center"/>
              <w:rPr>
                <w:rFonts w:hint="eastAsia"/>
                <w:color w:val="auto"/>
                <w:spacing w:val="-17"/>
                <w:sz w:val="21"/>
                <w:szCs w:val="21"/>
                <w:highlight w:val="none"/>
                <w:vertAlign w:val="baseline"/>
                <w:lang w:val="en-US" w:eastAsia="zh-CN"/>
              </w:rPr>
            </w:pPr>
            <w:r>
              <w:rPr>
                <w:rFonts w:hint="eastAsia"/>
                <w:color w:val="auto"/>
                <w:spacing w:val="0"/>
                <w:sz w:val="21"/>
                <w:szCs w:val="21"/>
                <w:highlight w:val="none"/>
                <w:vertAlign w:val="baseline"/>
                <w:lang w:val="en-US" w:eastAsia="zh-CN"/>
              </w:rPr>
              <w:t>27.2mg</w:t>
            </w:r>
            <w:r>
              <w:rPr>
                <w:rFonts w:hint="default"/>
                <w:color w:val="auto"/>
                <w:spacing w:val="0"/>
                <w:sz w:val="21"/>
                <w:szCs w:val="21"/>
                <w:highlight w:val="none"/>
                <w:vertAlign w:val="baseline"/>
                <w:lang w:val="en-US" w:eastAsia="zh-CN"/>
              </w:rPr>
              <w:t>/L</w:t>
            </w:r>
          </w:p>
        </w:tc>
        <w:tc>
          <w:tcPr>
            <w:tcW w:w="1832" w:type="dxa"/>
            <w:tcBorders>
              <w:tl2br w:val="nil"/>
              <w:tr2bl w:val="nil"/>
            </w:tcBorders>
            <w:noWrap w:val="0"/>
            <w:vAlign w:val="center"/>
          </w:tcPr>
          <w:p w14:paraId="7E2E28B5">
            <w:pPr>
              <w:jc w:val="center"/>
              <w:rPr>
                <w:rFonts w:hint="eastAsia"/>
                <w:color w:val="auto"/>
                <w:spacing w:val="-17"/>
                <w:sz w:val="21"/>
                <w:szCs w:val="21"/>
                <w:highlight w:val="none"/>
                <w:vertAlign w:val="baseline"/>
                <w:lang w:val="en-US" w:eastAsia="zh-CN"/>
              </w:rPr>
            </w:pPr>
            <w:r>
              <w:rPr>
                <w:rFonts w:hint="eastAsia"/>
                <w:color w:val="auto"/>
                <w:sz w:val="21"/>
                <w:szCs w:val="21"/>
                <w:highlight w:val="none"/>
                <w:vertAlign w:val="baseline"/>
                <w:lang w:val="en-US" w:eastAsia="zh-CN"/>
              </w:rPr>
              <w:t>5000</w:t>
            </w:r>
            <w:r>
              <w:rPr>
                <w:rFonts w:hint="default"/>
                <w:color w:val="auto"/>
                <w:sz w:val="21"/>
                <w:szCs w:val="21"/>
                <w:highlight w:val="none"/>
                <w:vertAlign w:val="baseline"/>
                <w:lang w:val="en-US" w:eastAsia="zh-CN"/>
              </w:rPr>
              <w:t>MPN/</w:t>
            </w:r>
            <w:r>
              <w:rPr>
                <w:rFonts w:hint="eastAsia"/>
                <w:color w:val="auto"/>
                <w:sz w:val="21"/>
                <w:szCs w:val="21"/>
                <w:highlight w:val="none"/>
                <w:vertAlign w:val="baseline"/>
                <w:lang w:val="en-US" w:eastAsia="zh-CN"/>
              </w:rPr>
              <w:t>L</w:t>
            </w:r>
          </w:p>
        </w:tc>
        <w:tc>
          <w:tcPr>
            <w:tcW w:w="1341" w:type="dxa"/>
            <w:tcBorders>
              <w:tl2br w:val="nil"/>
              <w:tr2bl w:val="nil"/>
            </w:tcBorders>
            <w:noWrap w:val="0"/>
            <w:vAlign w:val="center"/>
          </w:tcPr>
          <w:p w14:paraId="3EBB2085">
            <w:pPr>
              <w:jc w:val="center"/>
              <w:rPr>
                <w:rFonts w:hint="eastAsia"/>
                <w:color w:val="auto"/>
                <w:sz w:val="21"/>
                <w:szCs w:val="21"/>
                <w:highlight w:val="none"/>
                <w:vertAlign w:val="baseline"/>
                <w:lang w:val="en-US" w:eastAsia="zh-CN"/>
              </w:rPr>
            </w:pPr>
            <w:r>
              <w:rPr>
                <w:rFonts w:hint="default" w:ascii="Times New Roman" w:hAnsi="Times New Roman" w:cs="Times New Roman"/>
                <w:color w:val="auto"/>
                <w:highlight w:val="none"/>
              </w:rPr>
              <w:t>6</w:t>
            </w:r>
            <w:r>
              <w:rPr>
                <w:rFonts w:hint="eastAsia"/>
                <w:color w:val="auto"/>
                <w:sz w:val="21"/>
                <w:szCs w:val="21"/>
                <w:highlight w:val="none"/>
                <w:vertAlign w:val="baseline"/>
                <w:lang w:val="en-US" w:eastAsia="zh-CN"/>
              </w:rPr>
              <w:t>mg</w:t>
            </w:r>
            <w:r>
              <w:rPr>
                <w:rFonts w:hint="default"/>
                <w:color w:val="auto"/>
                <w:sz w:val="21"/>
                <w:szCs w:val="21"/>
                <w:highlight w:val="none"/>
                <w:vertAlign w:val="baseline"/>
                <w:lang w:val="en-US" w:eastAsia="zh-CN"/>
              </w:rPr>
              <w:t>/L</w:t>
            </w:r>
          </w:p>
        </w:tc>
      </w:tr>
      <w:tr w14:paraId="73EE6B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 w:type="dxa"/>
        </w:trPr>
        <w:tc>
          <w:tcPr>
            <w:tcW w:w="2521" w:type="dxa"/>
            <w:gridSpan w:val="2"/>
            <w:tcBorders>
              <w:tl2br w:val="nil"/>
              <w:tr2bl w:val="nil"/>
            </w:tcBorders>
            <w:noWrap w:val="0"/>
            <w:vAlign w:val="center"/>
          </w:tcPr>
          <w:p w14:paraId="270364BC">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接管标准</w:t>
            </w:r>
          </w:p>
        </w:tc>
        <w:tc>
          <w:tcPr>
            <w:tcW w:w="1260" w:type="dxa"/>
            <w:gridSpan w:val="2"/>
            <w:tcBorders>
              <w:tl2br w:val="nil"/>
              <w:tr2bl w:val="nil"/>
            </w:tcBorders>
            <w:noWrap w:val="0"/>
            <w:vAlign w:val="center"/>
          </w:tcPr>
          <w:p w14:paraId="282F6601">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250</w:t>
            </w:r>
            <w:r>
              <w:rPr>
                <w:rFonts w:hint="eastAsia"/>
                <w:color w:val="auto"/>
                <w:sz w:val="21"/>
                <w:szCs w:val="21"/>
                <w:highlight w:val="none"/>
                <w:vertAlign w:val="baseline"/>
                <w:lang w:val="en-US" w:eastAsia="zh-CN"/>
              </w:rPr>
              <w:t>mg</w:t>
            </w:r>
            <w:r>
              <w:rPr>
                <w:rFonts w:hint="default"/>
                <w:color w:val="auto"/>
                <w:sz w:val="21"/>
                <w:szCs w:val="21"/>
                <w:highlight w:val="none"/>
                <w:vertAlign w:val="baseline"/>
                <w:lang w:val="en-US" w:eastAsia="zh-CN"/>
              </w:rPr>
              <w:t>/L</w:t>
            </w:r>
          </w:p>
        </w:tc>
        <w:tc>
          <w:tcPr>
            <w:tcW w:w="1155" w:type="dxa"/>
            <w:gridSpan w:val="2"/>
            <w:tcBorders>
              <w:tl2br w:val="nil"/>
              <w:tr2bl w:val="nil"/>
            </w:tcBorders>
            <w:noWrap w:val="0"/>
            <w:vAlign w:val="center"/>
          </w:tcPr>
          <w:p w14:paraId="79B7C343">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60</w:t>
            </w:r>
            <w:r>
              <w:rPr>
                <w:rFonts w:hint="eastAsia"/>
                <w:color w:val="auto"/>
                <w:sz w:val="21"/>
                <w:szCs w:val="21"/>
                <w:highlight w:val="none"/>
                <w:vertAlign w:val="baseline"/>
                <w:lang w:val="en-US" w:eastAsia="zh-CN"/>
              </w:rPr>
              <w:t>mg</w:t>
            </w:r>
            <w:r>
              <w:rPr>
                <w:rFonts w:hint="default"/>
                <w:color w:val="auto"/>
                <w:sz w:val="21"/>
                <w:szCs w:val="21"/>
                <w:highlight w:val="none"/>
                <w:vertAlign w:val="baseline"/>
                <w:lang w:val="en-US" w:eastAsia="zh-CN"/>
              </w:rPr>
              <w:t>/L</w:t>
            </w:r>
          </w:p>
        </w:tc>
        <w:tc>
          <w:tcPr>
            <w:tcW w:w="1140" w:type="dxa"/>
            <w:gridSpan w:val="2"/>
            <w:tcBorders>
              <w:tl2br w:val="nil"/>
              <w:tr2bl w:val="nil"/>
            </w:tcBorders>
            <w:noWrap w:val="0"/>
            <w:vAlign w:val="center"/>
          </w:tcPr>
          <w:p w14:paraId="640BA296">
            <w:pPr>
              <w:jc w:val="center"/>
              <w:rPr>
                <w:rFonts w:hint="eastAsia"/>
                <w:color w:val="auto"/>
                <w:spacing w:val="-17"/>
                <w:sz w:val="21"/>
                <w:szCs w:val="21"/>
                <w:highlight w:val="none"/>
                <w:vertAlign w:val="baseline"/>
                <w:lang w:val="en-US" w:eastAsia="zh-CN"/>
              </w:rPr>
            </w:pPr>
            <w:r>
              <w:rPr>
                <w:rFonts w:hint="eastAsia"/>
                <w:color w:val="auto"/>
                <w:spacing w:val="-17"/>
                <w:sz w:val="21"/>
                <w:szCs w:val="21"/>
                <w:highlight w:val="none"/>
                <w:vertAlign w:val="baseline"/>
                <w:lang w:val="en-US" w:eastAsia="zh-CN"/>
              </w:rPr>
              <w:t>30</w:t>
            </w:r>
            <w:r>
              <w:rPr>
                <w:rFonts w:hint="eastAsia"/>
                <w:color w:val="auto"/>
                <w:sz w:val="21"/>
                <w:szCs w:val="21"/>
                <w:highlight w:val="none"/>
                <w:vertAlign w:val="baseline"/>
                <w:lang w:val="en-US" w:eastAsia="zh-CN"/>
              </w:rPr>
              <w:t>mg</w:t>
            </w:r>
            <w:r>
              <w:rPr>
                <w:rFonts w:hint="default"/>
                <w:color w:val="auto"/>
                <w:sz w:val="21"/>
                <w:szCs w:val="21"/>
                <w:highlight w:val="none"/>
                <w:vertAlign w:val="baseline"/>
                <w:lang w:val="en-US" w:eastAsia="zh-CN"/>
              </w:rPr>
              <w:t>/L</w:t>
            </w:r>
          </w:p>
        </w:tc>
        <w:tc>
          <w:tcPr>
            <w:tcW w:w="1832" w:type="dxa"/>
            <w:tcBorders>
              <w:tl2br w:val="nil"/>
              <w:tr2bl w:val="nil"/>
            </w:tcBorders>
            <w:noWrap w:val="0"/>
            <w:vAlign w:val="center"/>
          </w:tcPr>
          <w:p w14:paraId="47034FE7">
            <w:pPr>
              <w:jc w:val="center"/>
              <w:rPr>
                <w:rFonts w:hint="eastAsia"/>
                <w:color w:val="auto"/>
                <w:spacing w:val="-17"/>
                <w:sz w:val="21"/>
                <w:szCs w:val="21"/>
                <w:highlight w:val="none"/>
                <w:vertAlign w:val="baseline"/>
                <w:lang w:val="en-US" w:eastAsia="zh-CN"/>
              </w:rPr>
            </w:pPr>
            <w:r>
              <w:rPr>
                <w:rFonts w:hint="eastAsia"/>
                <w:color w:val="auto"/>
                <w:sz w:val="21"/>
                <w:szCs w:val="21"/>
                <w:highlight w:val="none"/>
                <w:vertAlign w:val="baseline"/>
                <w:lang w:val="en-US" w:eastAsia="zh-CN"/>
              </w:rPr>
              <w:t>5000</w:t>
            </w:r>
            <w:r>
              <w:rPr>
                <w:rFonts w:hint="default"/>
                <w:color w:val="auto"/>
                <w:sz w:val="21"/>
                <w:szCs w:val="21"/>
                <w:highlight w:val="none"/>
                <w:vertAlign w:val="baseline"/>
                <w:lang w:val="en-US" w:eastAsia="zh-CN"/>
              </w:rPr>
              <w:t>MPN/</w:t>
            </w:r>
            <w:r>
              <w:rPr>
                <w:rFonts w:hint="eastAsia"/>
                <w:color w:val="auto"/>
                <w:sz w:val="21"/>
                <w:szCs w:val="21"/>
                <w:highlight w:val="none"/>
                <w:vertAlign w:val="baseline"/>
                <w:lang w:val="en-US" w:eastAsia="zh-CN"/>
              </w:rPr>
              <w:t>L</w:t>
            </w:r>
          </w:p>
        </w:tc>
        <w:tc>
          <w:tcPr>
            <w:tcW w:w="1341" w:type="dxa"/>
            <w:tcBorders>
              <w:tl2br w:val="nil"/>
              <w:tr2bl w:val="nil"/>
            </w:tcBorders>
            <w:noWrap w:val="0"/>
            <w:vAlign w:val="center"/>
          </w:tcPr>
          <w:p w14:paraId="428E5551">
            <w:pPr>
              <w:jc w:val="center"/>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2~8mg</w:t>
            </w:r>
            <w:r>
              <w:rPr>
                <w:rFonts w:hint="default"/>
                <w:color w:val="auto"/>
                <w:sz w:val="21"/>
                <w:szCs w:val="21"/>
                <w:highlight w:val="none"/>
                <w:vertAlign w:val="baseline"/>
                <w:lang w:val="en-US" w:eastAsia="zh-CN"/>
              </w:rPr>
              <w:t>/L</w:t>
            </w:r>
          </w:p>
        </w:tc>
      </w:tr>
    </w:tbl>
    <w:p w14:paraId="158EA87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rFonts w:hint="default" w:ascii="Times New Roman" w:hAnsi="Times New Roman" w:cs="Times New Roman"/>
          <w:b/>
          <w:bCs/>
          <w:color w:val="auto"/>
          <w:highlight w:val="none"/>
        </w:rPr>
      </w:pPr>
    </w:p>
    <w:p w14:paraId="33F96B4D">
      <w:pPr>
        <w:spacing w:line="360" w:lineRule="auto"/>
        <w:jc w:val="both"/>
        <w:rPr>
          <w:rFonts w:hint="default" w:ascii="Times New Roman" w:hAnsi="Times New Roman" w:cs="Times New Roman"/>
          <w:b/>
          <w:bCs/>
          <w:color w:val="auto"/>
          <w:sz w:val="21"/>
          <w:szCs w:val="21"/>
          <w:highlight w:val="none"/>
          <w:lang w:eastAsia="zh-CN"/>
        </w:rPr>
      </w:pPr>
      <w:r>
        <w:rPr>
          <w:rFonts w:hint="default" w:ascii="Times New Roman" w:hAnsi="Times New Roman" w:cs="Times New Roman"/>
          <w:b/>
          <w:bCs/>
          <w:color w:val="auto"/>
          <w:highlight w:val="none"/>
        </w:rPr>
        <w:t>表</w:t>
      </w:r>
      <w:r>
        <w:rPr>
          <w:rFonts w:hint="eastAsia" w:cs="Times New Roman"/>
          <w:b/>
          <w:bCs/>
          <w:color w:val="auto"/>
          <w:highlight w:val="none"/>
          <w:lang w:val="en-US" w:eastAsia="zh-CN"/>
        </w:rPr>
        <w:t xml:space="preserve">37                        </w:t>
      </w:r>
      <w:r>
        <w:rPr>
          <w:rFonts w:hint="default" w:ascii="Times New Roman" w:hAnsi="Times New Roman" w:cs="Times New Roman"/>
          <w:b/>
          <w:bCs/>
          <w:color w:val="auto"/>
          <w:sz w:val="21"/>
          <w:szCs w:val="21"/>
          <w:highlight w:val="none"/>
          <w:lang w:eastAsia="zh-CN"/>
        </w:rPr>
        <w:t>污水处理设施处理效果及排放量</w:t>
      </w:r>
    </w:p>
    <w:tbl>
      <w:tblPr>
        <w:tblStyle w:val="25"/>
        <w:tblW w:w="92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663"/>
        <w:gridCol w:w="1550"/>
        <w:gridCol w:w="1037"/>
        <w:gridCol w:w="1300"/>
        <w:gridCol w:w="1462"/>
        <w:gridCol w:w="667"/>
      </w:tblGrid>
      <w:tr w14:paraId="1BD64F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07" w:type="dxa"/>
            <w:vMerge w:val="restart"/>
            <w:tcBorders>
              <w:tl2br w:val="nil"/>
              <w:tr2bl w:val="nil"/>
            </w:tcBorders>
            <w:vAlign w:val="center"/>
          </w:tcPr>
          <w:p w14:paraId="69359F6C">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eastAsia="zh-CN"/>
              </w:rPr>
            </w:pPr>
            <w:r>
              <w:rPr>
                <w:rFonts w:hint="eastAsia"/>
                <w:color w:val="auto"/>
                <w:sz w:val="21"/>
                <w:szCs w:val="21"/>
                <w:highlight w:val="none"/>
                <w:vertAlign w:val="baseline"/>
                <w:lang w:eastAsia="zh-CN"/>
              </w:rPr>
              <w:t>污染物名称</w:t>
            </w:r>
          </w:p>
        </w:tc>
        <w:tc>
          <w:tcPr>
            <w:tcW w:w="3213" w:type="dxa"/>
            <w:gridSpan w:val="2"/>
            <w:tcBorders>
              <w:tl2br w:val="nil"/>
              <w:tr2bl w:val="nil"/>
            </w:tcBorders>
            <w:vAlign w:val="center"/>
          </w:tcPr>
          <w:p w14:paraId="7188F616">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eastAsia="zh-CN"/>
              </w:rPr>
            </w:pPr>
            <w:r>
              <w:rPr>
                <w:rFonts w:hint="eastAsia"/>
                <w:color w:val="auto"/>
                <w:sz w:val="21"/>
                <w:szCs w:val="21"/>
                <w:highlight w:val="none"/>
                <w:vertAlign w:val="baseline"/>
                <w:lang w:eastAsia="zh-CN"/>
              </w:rPr>
              <w:t>产生浓度和产生量</w:t>
            </w:r>
          </w:p>
        </w:tc>
        <w:tc>
          <w:tcPr>
            <w:tcW w:w="1037" w:type="dxa"/>
            <w:vMerge w:val="restart"/>
            <w:tcBorders>
              <w:tl2br w:val="nil"/>
              <w:tr2bl w:val="nil"/>
            </w:tcBorders>
            <w:vAlign w:val="center"/>
          </w:tcPr>
          <w:p w14:paraId="0E323A49">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eastAsia="zh-CN"/>
              </w:rPr>
            </w:pPr>
            <w:r>
              <w:rPr>
                <w:rFonts w:hint="eastAsia"/>
                <w:color w:val="auto"/>
                <w:sz w:val="21"/>
                <w:szCs w:val="21"/>
                <w:highlight w:val="none"/>
                <w:vertAlign w:val="baseline"/>
                <w:lang w:eastAsia="zh-CN"/>
              </w:rPr>
              <w:t>综合处理效率</w:t>
            </w:r>
          </w:p>
        </w:tc>
        <w:tc>
          <w:tcPr>
            <w:tcW w:w="2762" w:type="dxa"/>
            <w:gridSpan w:val="2"/>
            <w:tcBorders>
              <w:tl2br w:val="nil"/>
              <w:tr2bl w:val="nil"/>
            </w:tcBorders>
            <w:vAlign w:val="center"/>
          </w:tcPr>
          <w:p w14:paraId="115C4ADD">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eastAsia="zh-CN"/>
              </w:rPr>
            </w:pPr>
            <w:r>
              <w:rPr>
                <w:rFonts w:hint="eastAsia"/>
                <w:color w:val="auto"/>
                <w:sz w:val="21"/>
                <w:szCs w:val="21"/>
                <w:highlight w:val="none"/>
                <w:vertAlign w:val="baseline"/>
                <w:lang w:eastAsia="zh-CN"/>
              </w:rPr>
              <w:t>排放浓度及排放量</w:t>
            </w:r>
          </w:p>
        </w:tc>
        <w:tc>
          <w:tcPr>
            <w:tcW w:w="667" w:type="dxa"/>
            <w:vMerge w:val="restart"/>
            <w:tcBorders>
              <w:tl2br w:val="nil"/>
              <w:tr2bl w:val="nil"/>
            </w:tcBorders>
            <w:vAlign w:val="center"/>
          </w:tcPr>
          <w:p w14:paraId="248EAF31">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eastAsia="zh-CN"/>
              </w:rPr>
            </w:pPr>
            <w:r>
              <w:rPr>
                <w:rFonts w:hint="eastAsia"/>
                <w:color w:val="auto"/>
                <w:sz w:val="21"/>
                <w:szCs w:val="21"/>
                <w:highlight w:val="none"/>
                <w:vertAlign w:val="baseline"/>
                <w:lang w:eastAsia="zh-CN"/>
              </w:rPr>
              <w:t>达标情况</w:t>
            </w:r>
          </w:p>
        </w:tc>
      </w:tr>
      <w:tr w14:paraId="0EA8F4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07" w:type="dxa"/>
            <w:vMerge w:val="continue"/>
            <w:tcBorders>
              <w:tl2br w:val="nil"/>
              <w:tr2bl w:val="nil"/>
            </w:tcBorders>
            <w:vAlign w:val="center"/>
          </w:tcPr>
          <w:p w14:paraId="4E4B0E60">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jc w:val="center"/>
              <w:textAlignment w:val="auto"/>
              <w:outlineLvl w:val="9"/>
              <w:rPr>
                <w:rFonts w:hint="default"/>
                <w:color w:val="auto"/>
                <w:sz w:val="21"/>
                <w:szCs w:val="21"/>
                <w:highlight w:val="none"/>
                <w:vertAlign w:val="baseline"/>
              </w:rPr>
            </w:pPr>
          </w:p>
        </w:tc>
        <w:tc>
          <w:tcPr>
            <w:tcW w:w="1663" w:type="dxa"/>
            <w:tcBorders>
              <w:tl2br w:val="nil"/>
              <w:tr2bl w:val="nil"/>
            </w:tcBorders>
            <w:vAlign w:val="center"/>
          </w:tcPr>
          <w:p w14:paraId="344B5644">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mg</w:t>
            </w:r>
            <w:r>
              <w:rPr>
                <w:rFonts w:hint="default"/>
                <w:color w:val="auto"/>
                <w:sz w:val="21"/>
                <w:szCs w:val="21"/>
                <w:highlight w:val="none"/>
                <w:vertAlign w:val="baseline"/>
                <w:lang w:val="en-US" w:eastAsia="zh-CN"/>
              </w:rPr>
              <w:t>/L</w:t>
            </w:r>
          </w:p>
        </w:tc>
        <w:tc>
          <w:tcPr>
            <w:tcW w:w="1550" w:type="dxa"/>
            <w:tcBorders>
              <w:tl2br w:val="nil"/>
              <w:tr2bl w:val="nil"/>
            </w:tcBorders>
            <w:vAlign w:val="center"/>
          </w:tcPr>
          <w:p w14:paraId="1E34F029">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default"/>
                <w:color w:val="auto"/>
                <w:sz w:val="21"/>
                <w:szCs w:val="21"/>
                <w:highlight w:val="none"/>
                <w:vertAlign w:val="baseline"/>
                <w:lang w:val="en-US"/>
              </w:rPr>
            </w:pPr>
            <w:r>
              <w:rPr>
                <w:rFonts w:hint="default"/>
                <w:color w:val="auto"/>
                <w:sz w:val="21"/>
                <w:szCs w:val="21"/>
                <w:highlight w:val="none"/>
                <w:vertAlign w:val="baseline"/>
                <w:lang w:val="en-US"/>
              </w:rPr>
              <w:t>t/a</w:t>
            </w:r>
          </w:p>
        </w:tc>
        <w:tc>
          <w:tcPr>
            <w:tcW w:w="1037" w:type="dxa"/>
            <w:vMerge w:val="continue"/>
            <w:tcBorders>
              <w:tl2br w:val="nil"/>
              <w:tr2bl w:val="nil"/>
            </w:tcBorders>
            <w:vAlign w:val="center"/>
          </w:tcPr>
          <w:p w14:paraId="43460DAE">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default"/>
                <w:color w:val="auto"/>
                <w:sz w:val="21"/>
                <w:szCs w:val="21"/>
                <w:highlight w:val="none"/>
                <w:vertAlign w:val="baseline"/>
                <w:lang w:val="en-US"/>
              </w:rPr>
            </w:pPr>
          </w:p>
        </w:tc>
        <w:tc>
          <w:tcPr>
            <w:tcW w:w="1300" w:type="dxa"/>
            <w:tcBorders>
              <w:tl2br w:val="nil"/>
              <w:tr2bl w:val="nil"/>
            </w:tcBorders>
            <w:vAlign w:val="center"/>
          </w:tcPr>
          <w:p w14:paraId="66CB871C">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default"/>
                <w:color w:val="auto"/>
                <w:sz w:val="21"/>
                <w:szCs w:val="21"/>
                <w:highlight w:val="none"/>
                <w:vertAlign w:val="baseline"/>
              </w:rPr>
            </w:pPr>
            <w:r>
              <w:rPr>
                <w:rFonts w:hint="eastAsia"/>
                <w:color w:val="auto"/>
                <w:sz w:val="21"/>
                <w:szCs w:val="21"/>
                <w:highlight w:val="none"/>
                <w:vertAlign w:val="baseline"/>
                <w:lang w:val="en-US" w:eastAsia="zh-CN"/>
              </w:rPr>
              <w:t>mg</w:t>
            </w:r>
            <w:r>
              <w:rPr>
                <w:rFonts w:hint="default"/>
                <w:color w:val="auto"/>
                <w:sz w:val="21"/>
                <w:szCs w:val="21"/>
                <w:highlight w:val="none"/>
                <w:vertAlign w:val="baseline"/>
                <w:lang w:val="en-US" w:eastAsia="zh-CN"/>
              </w:rPr>
              <w:t>/L</w:t>
            </w:r>
          </w:p>
        </w:tc>
        <w:tc>
          <w:tcPr>
            <w:tcW w:w="1462" w:type="dxa"/>
            <w:tcBorders>
              <w:tl2br w:val="nil"/>
              <w:tr2bl w:val="nil"/>
            </w:tcBorders>
            <w:vAlign w:val="center"/>
          </w:tcPr>
          <w:p w14:paraId="602D70E5">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default"/>
                <w:color w:val="auto"/>
                <w:sz w:val="21"/>
                <w:szCs w:val="21"/>
                <w:highlight w:val="none"/>
                <w:vertAlign w:val="baseline"/>
              </w:rPr>
            </w:pPr>
            <w:r>
              <w:rPr>
                <w:rFonts w:hint="default"/>
                <w:color w:val="auto"/>
                <w:sz w:val="21"/>
                <w:szCs w:val="21"/>
                <w:highlight w:val="none"/>
                <w:vertAlign w:val="baseline"/>
                <w:lang w:val="en-US"/>
              </w:rPr>
              <w:t>t/a</w:t>
            </w:r>
          </w:p>
        </w:tc>
        <w:tc>
          <w:tcPr>
            <w:tcW w:w="667" w:type="dxa"/>
            <w:vMerge w:val="continue"/>
            <w:tcBorders>
              <w:tl2br w:val="nil"/>
              <w:tr2bl w:val="nil"/>
            </w:tcBorders>
            <w:vAlign w:val="center"/>
          </w:tcPr>
          <w:p w14:paraId="76EFE5FD">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default"/>
                <w:color w:val="auto"/>
                <w:sz w:val="21"/>
                <w:szCs w:val="21"/>
                <w:highlight w:val="none"/>
                <w:vertAlign w:val="baseline"/>
                <w:lang w:val="en-US"/>
              </w:rPr>
            </w:pPr>
          </w:p>
        </w:tc>
      </w:tr>
      <w:tr w14:paraId="5CE57B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07" w:type="dxa"/>
            <w:tcBorders>
              <w:tl2br w:val="nil"/>
              <w:tr2bl w:val="nil"/>
            </w:tcBorders>
            <w:vAlign w:val="center"/>
          </w:tcPr>
          <w:p w14:paraId="5BF01B65">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outlineLvl w:val="9"/>
              <w:rPr>
                <w:rFonts w:hint="default"/>
                <w:color w:val="auto"/>
                <w:sz w:val="21"/>
                <w:szCs w:val="21"/>
                <w:highlight w:val="none"/>
                <w:lang w:val="en-US"/>
              </w:rPr>
            </w:pPr>
            <w:r>
              <w:rPr>
                <w:rFonts w:hint="eastAsia"/>
                <w:color w:val="auto"/>
                <w:sz w:val="21"/>
                <w:szCs w:val="21"/>
                <w:highlight w:val="none"/>
                <w:vertAlign w:val="baseline"/>
                <w:lang w:val="en-US" w:eastAsia="zh-CN"/>
              </w:rPr>
              <w:t>COD</w:t>
            </w:r>
          </w:p>
        </w:tc>
        <w:tc>
          <w:tcPr>
            <w:tcW w:w="1663" w:type="dxa"/>
            <w:tcBorders>
              <w:tl2br w:val="nil"/>
              <w:tr2bl w:val="nil"/>
            </w:tcBorders>
            <w:vAlign w:val="center"/>
          </w:tcPr>
          <w:p w14:paraId="2C69DF00">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250</w:t>
            </w:r>
          </w:p>
        </w:tc>
        <w:tc>
          <w:tcPr>
            <w:tcW w:w="1550" w:type="dxa"/>
            <w:tcBorders>
              <w:tl2br w:val="nil"/>
              <w:tr2bl w:val="nil"/>
            </w:tcBorders>
            <w:vAlign w:val="center"/>
          </w:tcPr>
          <w:p w14:paraId="45B07714">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default"/>
                <w:color w:val="auto"/>
                <w:sz w:val="21"/>
                <w:szCs w:val="21"/>
                <w:highlight w:val="none"/>
                <w:vertAlign w:val="baseline"/>
                <w:lang w:val="en-US"/>
              </w:rPr>
            </w:pPr>
            <w:r>
              <w:rPr>
                <w:rFonts w:hint="eastAsia"/>
                <w:color w:val="auto"/>
                <w:sz w:val="21"/>
                <w:szCs w:val="21"/>
                <w:highlight w:val="none"/>
                <w:vertAlign w:val="baseline"/>
                <w:lang w:val="en-US" w:eastAsia="zh-CN"/>
              </w:rPr>
              <w:t>1.61</w:t>
            </w:r>
          </w:p>
        </w:tc>
        <w:tc>
          <w:tcPr>
            <w:tcW w:w="1037" w:type="dxa"/>
            <w:tcBorders>
              <w:tl2br w:val="nil"/>
              <w:tr2bl w:val="nil"/>
            </w:tcBorders>
            <w:vAlign w:val="center"/>
          </w:tcPr>
          <w:p w14:paraId="5AABB813">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20%</w:t>
            </w:r>
          </w:p>
        </w:tc>
        <w:tc>
          <w:tcPr>
            <w:tcW w:w="1300" w:type="dxa"/>
            <w:tcBorders>
              <w:tl2br w:val="nil"/>
              <w:tr2bl w:val="nil"/>
            </w:tcBorders>
            <w:vAlign w:val="top"/>
          </w:tcPr>
          <w:p w14:paraId="5436C1B1">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200</w:t>
            </w:r>
          </w:p>
        </w:tc>
        <w:tc>
          <w:tcPr>
            <w:tcW w:w="1462" w:type="dxa"/>
            <w:tcBorders>
              <w:tl2br w:val="nil"/>
              <w:tr2bl w:val="nil"/>
            </w:tcBorders>
            <w:vAlign w:val="top"/>
          </w:tcPr>
          <w:p w14:paraId="14ADCE5F">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1.29</w:t>
            </w:r>
          </w:p>
        </w:tc>
        <w:tc>
          <w:tcPr>
            <w:tcW w:w="667" w:type="dxa"/>
            <w:tcBorders>
              <w:tl2br w:val="nil"/>
              <w:tr2bl w:val="nil"/>
            </w:tcBorders>
            <w:vAlign w:val="center"/>
          </w:tcPr>
          <w:p w14:paraId="37CD27D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达标</w:t>
            </w:r>
          </w:p>
        </w:tc>
      </w:tr>
      <w:tr w14:paraId="17E3D5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07" w:type="dxa"/>
            <w:tcBorders>
              <w:tl2br w:val="nil"/>
              <w:tr2bl w:val="nil"/>
            </w:tcBorders>
            <w:vAlign w:val="center"/>
          </w:tcPr>
          <w:p w14:paraId="26FC16A1">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outlineLvl w:val="9"/>
              <w:rPr>
                <w:rFonts w:hint="default"/>
                <w:color w:val="auto"/>
                <w:sz w:val="21"/>
                <w:szCs w:val="21"/>
                <w:highlight w:val="none"/>
                <w:vertAlign w:val="baseline"/>
              </w:rPr>
            </w:pPr>
            <w:r>
              <w:rPr>
                <w:rFonts w:hint="eastAsia"/>
                <w:color w:val="auto"/>
                <w:sz w:val="21"/>
                <w:szCs w:val="21"/>
                <w:highlight w:val="none"/>
                <w:vertAlign w:val="baseline"/>
                <w:lang w:val="en-US" w:eastAsia="zh-CN"/>
              </w:rPr>
              <w:t>SS</w:t>
            </w:r>
          </w:p>
        </w:tc>
        <w:tc>
          <w:tcPr>
            <w:tcW w:w="1663" w:type="dxa"/>
            <w:tcBorders>
              <w:tl2br w:val="nil"/>
              <w:tr2bl w:val="nil"/>
            </w:tcBorders>
            <w:vAlign w:val="top"/>
          </w:tcPr>
          <w:p w14:paraId="31EFF6A7">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100</w:t>
            </w:r>
          </w:p>
        </w:tc>
        <w:tc>
          <w:tcPr>
            <w:tcW w:w="1550" w:type="dxa"/>
            <w:tcBorders>
              <w:tl2br w:val="nil"/>
              <w:tr2bl w:val="nil"/>
            </w:tcBorders>
            <w:vAlign w:val="top"/>
          </w:tcPr>
          <w:p w14:paraId="4EAC51B8">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default"/>
                <w:color w:val="auto"/>
                <w:sz w:val="21"/>
                <w:szCs w:val="21"/>
                <w:highlight w:val="none"/>
                <w:vertAlign w:val="baseline"/>
                <w:lang w:val="en-US"/>
              </w:rPr>
            </w:pPr>
            <w:r>
              <w:rPr>
                <w:rFonts w:hint="eastAsia"/>
                <w:color w:val="auto"/>
                <w:sz w:val="21"/>
                <w:szCs w:val="21"/>
                <w:highlight w:val="none"/>
                <w:vertAlign w:val="baseline"/>
                <w:lang w:val="en-US" w:eastAsia="zh-CN"/>
              </w:rPr>
              <w:t>0.65</w:t>
            </w:r>
          </w:p>
        </w:tc>
        <w:tc>
          <w:tcPr>
            <w:tcW w:w="1037" w:type="dxa"/>
            <w:tcBorders>
              <w:tl2br w:val="nil"/>
              <w:tr2bl w:val="nil"/>
            </w:tcBorders>
            <w:vAlign w:val="center"/>
          </w:tcPr>
          <w:p w14:paraId="107C8E63">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70%</w:t>
            </w:r>
          </w:p>
        </w:tc>
        <w:tc>
          <w:tcPr>
            <w:tcW w:w="1300" w:type="dxa"/>
            <w:tcBorders>
              <w:tl2br w:val="nil"/>
              <w:tr2bl w:val="nil"/>
            </w:tcBorders>
            <w:vAlign w:val="top"/>
          </w:tcPr>
          <w:p w14:paraId="359B312A">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30</w:t>
            </w:r>
          </w:p>
        </w:tc>
        <w:tc>
          <w:tcPr>
            <w:tcW w:w="1462" w:type="dxa"/>
            <w:tcBorders>
              <w:tl2br w:val="nil"/>
              <w:tr2bl w:val="nil"/>
            </w:tcBorders>
            <w:vAlign w:val="top"/>
          </w:tcPr>
          <w:p w14:paraId="6BE774AD">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0.19</w:t>
            </w:r>
          </w:p>
        </w:tc>
        <w:tc>
          <w:tcPr>
            <w:tcW w:w="667" w:type="dxa"/>
            <w:tcBorders>
              <w:tl2br w:val="nil"/>
              <w:tr2bl w:val="nil"/>
            </w:tcBorders>
            <w:vAlign w:val="center"/>
          </w:tcPr>
          <w:p w14:paraId="38BFA90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达标</w:t>
            </w:r>
          </w:p>
        </w:tc>
      </w:tr>
      <w:tr w14:paraId="230020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07" w:type="dxa"/>
            <w:tcBorders>
              <w:tl2br w:val="nil"/>
              <w:tr2bl w:val="nil"/>
            </w:tcBorders>
            <w:vAlign w:val="center"/>
          </w:tcPr>
          <w:p w14:paraId="77CCBE79">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outlineLvl w:val="9"/>
              <w:rPr>
                <w:rFonts w:hint="default"/>
                <w:color w:val="auto"/>
                <w:sz w:val="21"/>
                <w:szCs w:val="21"/>
                <w:highlight w:val="none"/>
                <w:vertAlign w:val="baseline"/>
              </w:rPr>
            </w:pPr>
            <w:r>
              <w:rPr>
                <w:rFonts w:hint="eastAsia"/>
                <w:color w:val="auto"/>
                <w:sz w:val="21"/>
                <w:szCs w:val="21"/>
                <w:highlight w:val="none"/>
                <w:vertAlign w:val="baseline"/>
                <w:lang w:val="en-US" w:eastAsia="zh-CN"/>
              </w:rPr>
              <w:t>氨氮</w:t>
            </w:r>
          </w:p>
        </w:tc>
        <w:tc>
          <w:tcPr>
            <w:tcW w:w="1663" w:type="dxa"/>
            <w:tcBorders>
              <w:tl2br w:val="nil"/>
              <w:tr2bl w:val="nil"/>
            </w:tcBorders>
            <w:vAlign w:val="top"/>
          </w:tcPr>
          <w:p w14:paraId="5F9E8ED3">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28</w:t>
            </w:r>
          </w:p>
        </w:tc>
        <w:tc>
          <w:tcPr>
            <w:tcW w:w="1550" w:type="dxa"/>
            <w:tcBorders>
              <w:tl2br w:val="nil"/>
              <w:tr2bl w:val="nil"/>
            </w:tcBorders>
            <w:vAlign w:val="top"/>
          </w:tcPr>
          <w:p w14:paraId="560D6183">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default"/>
                <w:color w:val="auto"/>
                <w:sz w:val="21"/>
                <w:szCs w:val="21"/>
                <w:highlight w:val="none"/>
                <w:vertAlign w:val="baseline"/>
                <w:lang w:val="en-US"/>
              </w:rPr>
            </w:pPr>
            <w:r>
              <w:rPr>
                <w:rFonts w:hint="eastAsia"/>
                <w:color w:val="auto"/>
                <w:sz w:val="21"/>
                <w:szCs w:val="21"/>
                <w:highlight w:val="none"/>
                <w:vertAlign w:val="baseline"/>
                <w:lang w:val="en-US" w:eastAsia="zh-CN"/>
              </w:rPr>
              <w:t>0.18</w:t>
            </w:r>
          </w:p>
        </w:tc>
        <w:tc>
          <w:tcPr>
            <w:tcW w:w="1037" w:type="dxa"/>
            <w:tcBorders>
              <w:tl2br w:val="nil"/>
              <w:tr2bl w:val="nil"/>
            </w:tcBorders>
            <w:vAlign w:val="center"/>
          </w:tcPr>
          <w:p w14:paraId="684C3AB5">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3%</w:t>
            </w:r>
          </w:p>
        </w:tc>
        <w:tc>
          <w:tcPr>
            <w:tcW w:w="1300" w:type="dxa"/>
            <w:tcBorders>
              <w:tl2br w:val="nil"/>
              <w:tr2bl w:val="nil"/>
            </w:tcBorders>
            <w:vAlign w:val="top"/>
          </w:tcPr>
          <w:p w14:paraId="7EA7F636">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27.2</w:t>
            </w:r>
          </w:p>
        </w:tc>
        <w:tc>
          <w:tcPr>
            <w:tcW w:w="1462" w:type="dxa"/>
            <w:tcBorders>
              <w:tl2br w:val="nil"/>
              <w:tr2bl w:val="nil"/>
            </w:tcBorders>
            <w:vAlign w:val="top"/>
          </w:tcPr>
          <w:p w14:paraId="3FA8545F">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0.17</w:t>
            </w:r>
          </w:p>
        </w:tc>
        <w:tc>
          <w:tcPr>
            <w:tcW w:w="667" w:type="dxa"/>
            <w:tcBorders>
              <w:tl2br w:val="nil"/>
              <w:tr2bl w:val="nil"/>
            </w:tcBorders>
            <w:vAlign w:val="center"/>
          </w:tcPr>
          <w:p w14:paraId="45637874">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达标</w:t>
            </w:r>
          </w:p>
        </w:tc>
      </w:tr>
      <w:tr w14:paraId="4F4E42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07" w:type="dxa"/>
            <w:tcBorders>
              <w:tl2br w:val="nil"/>
              <w:tr2bl w:val="nil"/>
            </w:tcBorders>
            <w:vAlign w:val="center"/>
          </w:tcPr>
          <w:p w14:paraId="15C6BBF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outlineLvl w:val="9"/>
              <w:rPr>
                <w:rFonts w:hint="default"/>
                <w:color w:val="auto"/>
                <w:sz w:val="21"/>
                <w:szCs w:val="21"/>
                <w:highlight w:val="none"/>
                <w:vertAlign w:val="baseline"/>
              </w:rPr>
            </w:pPr>
            <w:r>
              <w:rPr>
                <w:rFonts w:hint="default" w:ascii="Times New Roman" w:hAnsi="Times New Roman" w:cs="Times New Roman"/>
                <w:color w:val="auto"/>
                <w:sz w:val="21"/>
                <w:szCs w:val="21"/>
                <w:highlight w:val="none"/>
              </w:rPr>
              <w:t>粪大肠菌群数</w:t>
            </w:r>
          </w:p>
        </w:tc>
        <w:tc>
          <w:tcPr>
            <w:tcW w:w="1663" w:type="dxa"/>
            <w:tcBorders>
              <w:tl2br w:val="nil"/>
              <w:tr2bl w:val="nil"/>
            </w:tcBorders>
            <w:vAlign w:val="top"/>
          </w:tcPr>
          <w:p w14:paraId="369CD2AB">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1</w:t>
            </w:r>
            <w:r>
              <w:rPr>
                <w:rFonts w:hint="default" w:ascii="Arial" w:hAnsi="Arial" w:cs="Arial"/>
                <w:color w:val="auto"/>
                <w:sz w:val="21"/>
                <w:szCs w:val="21"/>
                <w:highlight w:val="none"/>
                <w:vertAlign w:val="baseline"/>
                <w:lang w:val="en-US" w:eastAsia="zh-CN"/>
              </w:rPr>
              <w:t>×</w:t>
            </w:r>
            <w:r>
              <w:rPr>
                <w:rFonts w:hint="default"/>
                <w:color w:val="auto"/>
                <w:sz w:val="21"/>
                <w:szCs w:val="21"/>
                <w:highlight w:val="none"/>
                <w:vertAlign w:val="baseline"/>
                <w:lang w:val="en-US" w:eastAsia="zh-CN"/>
              </w:rPr>
              <w:t>10</w:t>
            </w:r>
            <w:r>
              <w:rPr>
                <w:rFonts w:hint="eastAsia"/>
                <w:color w:val="auto"/>
                <w:sz w:val="21"/>
                <w:szCs w:val="21"/>
                <w:highlight w:val="none"/>
                <w:vertAlign w:val="superscript"/>
                <w:lang w:val="en-US" w:eastAsia="zh-CN"/>
              </w:rPr>
              <w:t>6</w:t>
            </w:r>
            <w:r>
              <w:rPr>
                <w:rFonts w:hint="default"/>
                <w:color w:val="auto"/>
                <w:sz w:val="21"/>
                <w:szCs w:val="21"/>
                <w:highlight w:val="none"/>
                <w:vertAlign w:val="baseline"/>
                <w:lang w:val="en-US" w:eastAsia="zh-CN"/>
              </w:rPr>
              <w:t>MPN/</w:t>
            </w:r>
            <w:r>
              <w:rPr>
                <w:rFonts w:hint="eastAsia"/>
                <w:color w:val="auto"/>
                <w:sz w:val="21"/>
                <w:szCs w:val="21"/>
                <w:highlight w:val="none"/>
                <w:vertAlign w:val="baseline"/>
                <w:lang w:val="en-US" w:eastAsia="zh-CN"/>
              </w:rPr>
              <w:t>L</w:t>
            </w:r>
          </w:p>
        </w:tc>
        <w:tc>
          <w:tcPr>
            <w:tcW w:w="1550" w:type="dxa"/>
            <w:tcBorders>
              <w:tl2br w:val="nil"/>
              <w:tr2bl w:val="nil"/>
            </w:tcBorders>
            <w:vAlign w:val="top"/>
          </w:tcPr>
          <w:p w14:paraId="2AA5D342">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default"/>
                <w:color w:val="auto"/>
                <w:sz w:val="21"/>
                <w:szCs w:val="21"/>
                <w:highlight w:val="none"/>
                <w:vertAlign w:val="baseline"/>
                <w:lang w:val="en-US"/>
              </w:rPr>
            </w:pPr>
            <w:r>
              <w:rPr>
                <w:rFonts w:hint="eastAsia"/>
                <w:color w:val="auto"/>
                <w:sz w:val="21"/>
                <w:szCs w:val="21"/>
                <w:highlight w:val="none"/>
                <w:vertAlign w:val="baseline"/>
                <w:lang w:val="en-US" w:eastAsia="zh-CN"/>
              </w:rPr>
              <w:t>6.45</w:t>
            </w:r>
            <w:r>
              <w:rPr>
                <w:rFonts w:hint="default"/>
                <w:color w:val="auto"/>
                <w:sz w:val="21"/>
                <w:szCs w:val="21"/>
                <w:highlight w:val="none"/>
                <w:vertAlign w:val="baseline"/>
                <w:lang w:val="en-US" w:eastAsia="zh-CN"/>
              </w:rPr>
              <w:t>×10</w:t>
            </w:r>
            <w:r>
              <w:rPr>
                <w:rFonts w:hint="default"/>
                <w:color w:val="auto"/>
                <w:sz w:val="21"/>
                <w:szCs w:val="21"/>
                <w:highlight w:val="none"/>
                <w:vertAlign w:val="superscript"/>
                <w:lang w:val="en-US" w:eastAsia="zh-CN"/>
              </w:rPr>
              <w:t>12</w:t>
            </w:r>
            <w:r>
              <w:rPr>
                <w:rFonts w:hint="eastAsia"/>
                <w:color w:val="auto"/>
                <w:sz w:val="21"/>
                <w:szCs w:val="21"/>
                <w:highlight w:val="none"/>
                <w:vertAlign w:val="baseline"/>
                <w:lang w:val="en-US" w:eastAsia="zh-CN"/>
              </w:rPr>
              <w:t>个</w:t>
            </w:r>
            <w:r>
              <w:rPr>
                <w:rFonts w:hint="default"/>
                <w:color w:val="auto"/>
                <w:sz w:val="21"/>
                <w:szCs w:val="21"/>
                <w:highlight w:val="none"/>
                <w:vertAlign w:val="baseline"/>
                <w:lang w:val="en-US" w:eastAsia="zh-CN"/>
              </w:rPr>
              <w:t>/</w:t>
            </w:r>
            <w:r>
              <w:rPr>
                <w:rFonts w:hint="eastAsia"/>
                <w:color w:val="auto"/>
                <w:sz w:val="21"/>
                <w:szCs w:val="21"/>
                <w:highlight w:val="none"/>
                <w:vertAlign w:val="baseline"/>
                <w:lang w:val="en-US" w:eastAsia="zh-CN"/>
              </w:rPr>
              <w:t>a</w:t>
            </w:r>
          </w:p>
        </w:tc>
        <w:tc>
          <w:tcPr>
            <w:tcW w:w="1037" w:type="dxa"/>
            <w:tcBorders>
              <w:tl2br w:val="nil"/>
              <w:tr2bl w:val="nil"/>
            </w:tcBorders>
            <w:vAlign w:val="center"/>
          </w:tcPr>
          <w:p w14:paraId="282FD0CF">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99.5%</w:t>
            </w:r>
          </w:p>
        </w:tc>
        <w:tc>
          <w:tcPr>
            <w:tcW w:w="1300" w:type="dxa"/>
            <w:tcBorders>
              <w:tl2br w:val="nil"/>
              <w:tr2bl w:val="nil"/>
            </w:tcBorders>
            <w:vAlign w:val="top"/>
          </w:tcPr>
          <w:p w14:paraId="0C5D413A">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default"/>
                <w:color w:val="auto"/>
                <w:sz w:val="21"/>
                <w:szCs w:val="21"/>
                <w:highlight w:val="none"/>
                <w:vertAlign w:val="baseline"/>
              </w:rPr>
            </w:pPr>
            <w:r>
              <w:rPr>
                <w:rFonts w:hint="eastAsia"/>
                <w:color w:val="auto"/>
                <w:sz w:val="21"/>
                <w:szCs w:val="21"/>
                <w:highlight w:val="none"/>
                <w:vertAlign w:val="baseline"/>
                <w:lang w:val="en-US" w:eastAsia="zh-CN"/>
              </w:rPr>
              <w:t>5000</w:t>
            </w:r>
            <w:r>
              <w:rPr>
                <w:rFonts w:hint="default"/>
                <w:color w:val="auto"/>
                <w:sz w:val="21"/>
                <w:szCs w:val="21"/>
                <w:highlight w:val="none"/>
                <w:vertAlign w:val="baseline"/>
                <w:lang w:val="en-US" w:eastAsia="zh-CN"/>
              </w:rPr>
              <w:t>MPN/</w:t>
            </w:r>
            <w:r>
              <w:rPr>
                <w:rFonts w:hint="eastAsia"/>
                <w:color w:val="auto"/>
                <w:sz w:val="21"/>
                <w:szCs w:val="21"/>
                <w:highlight w:val="none"/>
                <w:vertAlign w:val="baseline"/>
                <w:lang w:val="en-US" w:eastAsia="zh-CN"/>
              </w:rPr>
              <w:t>L</w:t>
            </w:r>
          </w:p>
        </w:tc>
        <w:tc>
          <w:tcPr>
            <w:tcW w:w="1462" w:type="dxa"/>
            <w:tcBorders>
              <w:tl2br w:val="nil"/>
              <w:tr2bl w:val="nil"/>
            </w:tcBorders>
            <w:vAlign w:val="center"/>
          </w:tcPr>
          <w:p w14:paraId="0A47CEF5">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eastAsia="宋体"/>
                <w:color w:val="auto"/>
                <w:sz w:val="21"/>
                <w:szCs w:val="21"/>
                <w:highlight w:val="none"/>
                <w:vertAlign w:val="baseline"/>
                <w:lang w:val="en-US" w:eastAsia="zh-CN"/>
              </w:rPr>
            </w:pPr>
            <w:r>
              <w:rPr>
                <w:rFonts w:hint="eastAsia"/>
                <w:color w:val="auto"/>
                <w:sz w:val="21"/>
                <w:szCs w:val="21"/>
                <w:highlight w:val="none"/>
                <w:vertAlign w:val="baseline"/>
                <w:lang w:val="en-US" w:eastAsia="zh-CN"/>
              </w:rPr>
              <w:t>3.23</w:t>
            </w:r>
            <w:r>
              <w:rPr>
                <w:rFonts w:hint="default"/>
                <w:color w:val="auto"/>
                <w:sz w:val="21"/>
                <w:szCs w:val="21"/>
                <w:highlight w:val="none"/>
                <w:vertAlign w:val="baseline"/>
                <w:lang w:val="en-US" w:eastAsia="zh-CN"/>
              </w:rPr>
              <w:t>×10</w:t>
            </w:r>
            <w:r>
              <w:rPr>
                <w:rFonts w:hint="default"/>
                <w:color w:val="auto"/>
                <w:sz w:val="21"/>
                <w:szCs w:val="21"/>
                <w:highlight w:val="none"/>
                <w:vertAlign w:val="superscript"/>
                <w:lang w:val="en-US" w:eastAsia="zh-CN"/>
              </w:rPr>
              <w:t>1</w:t>
            </w:r>
            <w:r>
              <w:rPr>
                <w:rFonts w:hint="eastAsia"/>
                <w:color w:val="auto"/>
                <w:sz w:val="21"/>
                <w:szCs w:val="21"/>
                <w:highlight w:val="none"/>
                <w:vertAlign w:val="superscript"/>
                <w:lang w:val="en-US" w:eastAsia="zh-CN"/>
              </w:rPr>
              <w:t>0</w:t>
            </w:r>
            <w:r>
              <w:rPr>
                <w:rFonts w:hint="eastAsia"/>
                <w:color w:val="auto"/>
                <w:sz w:val="21"/>
                <w:szCs w:val="21"/>
                <w:highlight w:val="none"/>
                <w:vertAlign w:val="baseline"/>
                <w:lang w:val="en-US" w:eastAsia="zh-CN"/>
              </w:rPr>
              <w:t>个</w:t>
            </w:r>
            <w:r>
              <w:rPr>
                <w:rFonts w:hint="default"/>
                <w:color w:val="auto"/>
                <w:sz w:val="21"/>
                <w:szCs w:val="21"/>
                <w:highlight w:val="none"/>
                <w:vertAlign w:val="baseline"/>
                <w:lang w:val="en-US" w:eastAsia="zh-CN"/>
              </w:rPr>
              <w:t>/</w:t>
            </w:r>
            <w:r>
              <w:rPr>
                <w:rFonts w:hint="eastAsia"/>
                <w:color w:val="auto"/>
                <w:sz w:val="21"/>
                <w:szCs w:val="21"/>
                <w:highlight w:val="none"/>
                <w:vertAlign w:val="baseline"/>
                <w:lang w:val="en-US" w:eastAsia="zh-CN"/>
              </w:rPr>
              <w:t>a</w:t>
            </w:r>
          </w:p>
        </w:tc>
        <w:tc>
          <w:tcPr>
            <w:tcW w:w="667" w:type="dxa"/>
            <w:tcBorders>
              <w:tl2br w:val="nil"/>
              <w:tr2bl w:val="nil"/>
            </w:tcBorders>
            <w:vAlign w:val="center"/>
          </w:tcPr>
          <w:p w14:paraId="112BAF0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达标</w:t>
            </w:r>
          </w:p>
        </w:tc>
      </w:tr>
      <w:tr w14:paraId="039E32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07" w:type="dxa"/>
            <w:tcBorders>
              <w:tl2br w:val="nil"/>
              <w:tr2bl w:val="nil"/>
            </w:tcBorders>
            <w:vAlign w:val="center"/>
          </w:tcPr>
          <w:p w14:paraId="6A3E8CB3">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outlineLvl w:val="9"/>
              <w:rPr>
                <w:rFonts w:hint="default" w:ascii="Times New Roman" w:hAnsi="Times New Roman" w:cs="Times New Roman"/>
                <w:color w:val="auto"/>
                <w:sz w:val="21"/>
                <w:szCs w:val="21"/>
                <w:highlight w:val="none"/>
              </w:rPr>
            </w:pPr>
            <w:r>
              <w:rPr>
                <w:rFonts w:hint="default" w:ascii="Times New Roman" w:hAnsi="Times New Roman" w:cs="Times New Roman"/>
                <w:color w:val="auto"/>
                <w:highlight w:val="none"/>
              </w:rPr>
              <w:t>总余氯</w:t>
            </w:r>
          </w:p>
        </w:tc>
        <w:tc>
          <w:tcPr>
            <w:tcW w:w="1663" w:type="dxa"/>
            <w:tcBorders>
              <w:tl2br w:val="nil"/>
              <w:tr2bl w:val="nil"/>
            </w:tcBorders>
            <w:vAlign w:val="top"/>
          </w:tcPr>
          <w:p w14:paraId="09C3AB64">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w:t>
            </w:r>
          </w:p>
        </w:tc>
        <w:tc>
          <w:tcPr>
            <w:tcW w:w="1550" w:type="dxa"/>
            <w:tcBorders>
              <w:tl2br w:val="nil"/>
              <w:tr2bl w:val="nil"/>
            </w:tcBorders>
            <w:vAlign w:val="top"/>
          </w:tcPr>
          <w:p w14:paraId="6C453AF0">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w:t>
            </w:r>
          </w:p>
        </w:tc>
        <w:tc>
          <w:tcPr>
            <w:tcW w:w="1037" w:type="dxa"/>
            <w:tcBorders>
              <w:tl2br w:val="nil"/>
              <w:tr2bl w:val="nil"/>
            </w:tcBorders>
            <w:vAlign w:val="center"/>
          </w:tcPr>
          <w:p w14:paraId="5FDBCB11">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w:t>
            </w:r>
          </w:p>
        </w:tc>
        <w:tc>
          <w:tcPr>
            <w:tcW w:w="1300" w:type="dxa"/>
            <w:tcBorders>
              <w:tl2br w:val="nil"/>
              <w:tr2bl w:val="nil"/>
            </w:tcBorders>
            <w:vAlign w:val="center"/>
          </w:tcPr>
          <w:p w14:paraId="37FA02E6">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6</w:t>
            </w:r>
          </w:p>
        </w:tc>
        <w:tc>
          <w:tcPr>
            <w:tcW w:w="1462" w:type="dxa"/>
            <w:tcBorders>
              <w:tl2br w:val="nil"/>
              <w:tr2bl w:val="nil"/>
            </w:tcBorders>
            <w:vAlign w:val="center"/>
          </w:tcPr>
          <w:p w14:paraId="4B9E7EC6">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w:t>
            </w:r>
          </w:p>
        </w:tc>
        <w:tc>
          <w:tcPr>
            <w:tcW w:w="667" w:type="dxa"/>
            <w:tcBorders>
              <w:tl2br w:val="nil"/>
              <w:tr2bl w:val="nil"/>
            </w:tcBorders>
            <w:vAlign w:val="center"/>
          </w:tcPr>
          <w:p w14:paraId="7715152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达标</w:t>
            </w:r>
          </w:p>
        </w:tc>
      </w:tr>
    </w:tbl>
    <w:p w14:paraId="308B3A64">
      <w:pPr>
        <w:adjustRightInd w:val="0"/>
        <w:snapToGrid w:val="0"/>
        <w:spacing w:line="360" w:lineRule="auto"/>
        <w:ind w:firstLine="480" w:firstLineChars="200"/>
        <w:jc w:val="left"/>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谦和中医院</w:t>
      </w:r>
      <w:r>
        <w:rPr>
          <w:rFonts w:hint="default" w:ascii="Times New Roman" w:hAnsi="Times New Roman" w:cs="Times New Roman"/>
          <w:color w:val="auto"/>
          <w:sz w:val="24"/>
          <w:szCs w:val="24"/>
          <w:highlight w:val="none"/>
        </w:rPr>
        <w:t>消毒接触池采用</w:t>
      </w:r>
      <w:r>
        <w:rPr>
          <w:rFonts w:ascii="Times New Roman" w:hAnsi="Times New Roman" w:cs="Times New Roman"/>
          <w:color w:val="auto"/>
          <w:sz w:val="24"/>
          <w:szCs w:val="24"/>
          <w:highlight w:val="none"/>
        </w:rPr>
        <w:t>全自动二氧化氯发生器</w:t>
      </w:r>
      <w:r>
        <w:rPr>
          <w:rFonts w:hint="default" w:ascii="Times New Roman" w:hAnsi="Times New Roman" w:cs="Times New Roman"/>
          <w:color w:val="auto"/>
          <w:sz w:val="24"/>
          <w:szCs w:val="24"/>
          <w:highlight w:val="none"/>
        </w:rPr>
        <w:t>对污水进行消毒处理，使用原料为氯酸钠（工业一级品，含量≥85%）、工业合成盐酸（浓度≥31%），运行时将盐酸与氯酸钠定量注入到反应釜内，反应釜在加热的情况下发生化学反应生成二氧化氯，再通过水射器吸入投加到消毒水体中。加氯量（以有效氯计）为</w:t>
      </w:r>
      <w:r>
        <w:rPr>
          <w:rFonts w:hint="eastAsia" w:cs="Times New Roman"/>
          <w:color w:val="auto"/>
          <w:sz w:val="24"/>
          <w:szCs w:val="24"/>
          <w:highlight w:val="none"/>
          <w:lang w:val="en-US" w:eastAsia="zh-CN"/>
        </w:rPr>
        <w:t>30</w:t>
      </w:r>
      <w:r>
        <w:rPr>
          <w:rFonts w:hint="default" w:ascii="Times New Roman" w:hAnsi="Times New Roman" w:cs="Times New Roman"/>
          <w:color w:val="auto"/>
          <w:sz w:val="24"/>
          <w:szCs w:val="24"/>
          <w:highlight w:val="none"/>
        </w:rPr>
        <w:t>mg/L，出口余氯控制在6mg/L左右，通过流量控制消毒接触池的接触时间为1.5h。反应原理为如下反应方程式：</w:t>
      </w:r>
    </w:p>
    <w:p w14:paraId="74FFB119">
      <w:pPr>
        <w:adjustRightInd w:val="0"/>
        <w:snapToGrid w:val="0"/>
        <w:spacing w:line="360" w:lineRule="auto"/>
        <w:jc w:val="center"/>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NaCLO</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+4HCL=</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CLO</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NaCL+2H</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O</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CL</w:t>
      </w:r>
      <w:r>
        <w:rPr>
          <w:rFonts w:hint="default" w:ascii="Times New Roman" w:hAnsi="Times New Roman" w:cs="Times New Roman"/>
          <w:color w:val="auto"/>
          <w:sz w:val="24"/>
          <w:szCs w:val="24"/>
          <w:highlight w:val="none"/>
          <w:vertAlign w:val="subscript"/>
        </w:rPr>
        <w:t>2</w:t>
      </w:r>
    </w:p>
    <w:p w14:paraId="12C0ACEA">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highlight w:val="none"/>
        </w:rPr>
        <w:t>二氧化氯具有高效氧化剂、消毒剂以及漂白剂的功能。作为强化氧化剂，它所氧化的产物中无有机氯化物；作为消毒剂，它具有广谱性的消毒效果。二氧化氯消毒工艺具有强烈的氧化作用，不产生有机氯化物(THMs)；投放简单方便；不受pH影响等优点，较Cl</w:t>
      </w:r>
      <w:r>
        <w:rPr>
          <w:rFonts w:hint="default" w:ascii="Times New Roman" w:hAnsi="Times New Roman" w:cs="Times New Roman"/>
          <w:color w:val="auto"/>
          <w:sz w:val="24"/>
          <w:highlight w:val="none"/>
          <w:vertAlign w:val="subscript"/>
        </w:rPr>
        <w:t>2</w:t>
      </w:r>
      <w:r>
        <w:rPr>
          <w:rFonts w:hint="default" w:ascii="Times New Roman" w:hAnsi="Times New Roman" w:cs="Times New Roman"/>
          <w:color w:val="auto"/>
          <w:sz w:val="24"/>
          <w:highlight w:val="none"/>
        </w:rPr>
        <w:t>杀菌效果好，是医院污水消毒中常用的方式之一。</w:t>
      </w:r>
    </w:p>
    <w:p w14:paraId="2AD832E1">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outlineLvl w:val="9"/>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综上所述</w:t>
      </w:r>
      <w:r>
        <w:rPr>
          <w:rFonts w:hint="default" w:ascii="Times New Roman" w:hAnsi="Times New Roman" w:cs="Times New Roman"/>
          <w:color w:val="auto"/>
          <w:sz w:val="24"/>
          <w:szCs w:val="24"/>
          <w:highlight w:val="none"/>
        </w:rPr>
        <w:t>，经污水处理设施预处理后，医疗废水排入污水管网的污染物浓度可以达到《医疗机构水污染物排放标准》（GB18466-2005）中“综合医疗机构和其他医疗机构水污染物排放限制”标准中的预处理标准。生活污水经小区内设的化粪池处理后，可以达到</w:t>
      </w:r>
      <w:r>
        <w:rPr>
          <w:rFonts w:hint="default" w:ascii="Times New Roman" w:hAnsi="Times New Roman" w:cs="Times New Roman"/>
          <w:smallCaps/>
          <w:color w:val="auto"/>
          <w:sz w:val="24"/>
          <w:szCs w:val="24"/>
          <w:highlight w:val="none"/>
        </w:rPr>
        <w:t>《辽宁省污水综合排放标准》(DB21/1627-2008)表2中标准。</w:t>
      </w:r>
      <w:r>
        <w:rPr>
          <w:rFonts w:hint="default" w:ascii="Times New Roman" w:hAnsi="Times New Roman" w:cs="Times New Roman"/>
          <w:color w:val="auto"/>
          <w:sz w:val="24"/>
          <w:szCs w:val="24"/>
          <w:highlight w:val="none"/>
        </w:rPr>
        <w:t>经过预处理的污水进入</w:t>
      </w:r>
      <w:r>
        <w:rPr>
          <w:rFonts w:hint="eastAsia" w:cs="Times New Roman"/>
          <w:color w:val="auto"/>
          <w:sz w:val="24"/>
          <w:szCs w:val="24"/>
          <w:highlight w:val="none"/>
          <w:lang w:eastAsia="zh-CN"/>
        </w:rPr>
        <w:t>本溪市污水处理厂（</w:t>
      </w:r>
      <w:r>
        <w:rPr>
          <w:rFonts w:hint="eastAsia" w:ascii="Times New Roman" w:hAnsi="Times New Roman" w:cs="Times New Roman"/>
          <w:color w:val="auto"/>
          <w:sz w:val="24"/>
          <w:szCs w:val="24"/>
          <w:highlight w:val="none"/>
          <w:lang w:val="en-US" w:eastAsia="zh-CN"/>
        </w:rPr>
        <w:t>本溪市科态污水处理有限责任公司</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，城镇污水处理厂出水执行《城镇污水处理厂污染物排放标准》一级A标准，即污染物排放浓度为COD 50mg/L，NH</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-N</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5mg/L，SS</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10mg/L，粪大肠菌群1000个/L。 </w:t>
      </w:r>
    </w:p>
    <w:p w14:paraId="0E8F98D4">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rPr>
          <w:rFonts w:hint="eastAsia" w:eastAsia="宋体"/>
          <w:b/>
          <w:bCs/>
          <w:color w:val="auto"/>
          <w:highlight w:val="none"/>
          <w:lang w:val="en-US" w:eastAsia="zh-CN"/>
        </w:rPr>
      </w:pPr>
      <w:r>
        <w:rPr>
          <w:rFonts w:hint="eastAsia" w:cs="Times New Roman"/>
          <w:b/>
          <w:bCs/>
          <w:color w:val="auto"/>
          <w:sz w:val="24"/>
          <w:szCs w:val="24"/>
          <w:highlight w:val="none"/>
          <w:lang w:val="en-US" w:eastAsia="zh-CN"/>
        </w:rPr>
        <w:t>2.4污水处理厂依托可行性分析</w:t>
      </w:r>
    </w:p>
    <w:p w14:paraId="2B2D8B98">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color w:val="auto"/>
          <w:sz w:val="24"/>
          <w:szCs w:val="24"/>
          <w:highlight w:val="none"/>
          <w:lang w:eastAsia="zh-CN"/>
        </w:rPr>
      </w:pPr>
      <w:r>
        <w:rPr>
          <w:rFonts w:hint="default"/>
          <w:color w:val="auto"/>
          <w:sz w:val="24"/>
          <w:szCs w:val="24"/>
          <w:highlight w:val="none"/>
        </w:rPr>
        <w:t>本项目产生的</w:t>
      </w:r>
      <w:r>
        <w:rPr>
          <w:rFonts w:hint="eastAsia"/>
          <w:color w:val="auto"/>
          <w:sz w:val="24"/>
          <w:szCs w:val="24"/>
          <w:highlight w:val="none"/>
          <w:lang w:eastAsia="zh-CN"/>
        </w:rPr>
        <w:t>医疗</w:t>
      </w:r>
      <w:r>
        <w:rPr>
          <w:rFonts w:hint="default"/>
          <w:color w:val="auto"/>
          <w:sz w:val="24"/>
          <w:szCs w:val="24"/>
          <w:highlight w:val="none"/>
        </w:rPr>
        <w:t>废水经</w:t>
      </w:r>
      <w:r>
        <w:rPr>
          <w:rFonts w:hint="eastAsia"/>
          <w:color w:val="auto"/>
          <w:sz w:val="24"/>
          <w:szCs w:val="24"/>
          <w:highlight w:val="none"/>
          <w:lang w:eastAsia="zh-CN"/>
        </w:rPr>
        <w:t>医院</w:t>
      </w:r>
      <w:r>
        <w:rPr>
          <w:rFonts w:hint="default"/>
          <w:color w:val="auto"/>
          <w:sz w:val="24"/>
          <w:szCs w:val="24"/>
          <w:highlight w:val="none"/>
        </w:rPr>
        <w:t>污水处理站处理后，排入本溪市污水处理厂</w:t>
      </w:r>
      <w:r>
        <w:rPr>
          <w:rFonts w:hint="eastAsia"/>
          <w:color w:val="auto"/>
          <w:sz w:val="24"/>
          <w:szCs w:val="24"/>
          <w:highlight w:val="none"/>
          <w:lang w:eastAsia="zh-CN"/>
        </w:rPr>
        <w:t>，生活污</w:t>
      </w:r>
    </w:p>
    <w:p w14:paraId="6488AB3B">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eastAsia="宋体"/>
          <w:color w:val="auto"/>
          <w:sz w:val="24"/>
          <w:szCs w:val="24"/>
          <w:highlight w:val="none"/>
          <w:lang w:eastAsia="zh-CN"/>
        </w:rPr>
      </w:pPr>
      <w:r>
        <w:rPr>
          <w:rFonts w:hint="eastAsia"/>
          <w:color w:val="auto"/>
          <w:sz w:val="24"/>
          <w:szCs w:val="24"/>
          <w:highlight w:val="none"/>
          <w:lang w:eastAsia="zh-CN"/>
        </w:rPr>
        <w:t>水经化粪池处理后排入</w:t>
      </w:r>
      <w:r>
        <w:rPr>
          <w:rFonts w:hint="default"/>
          <w:color w:val="auto"/>
          <w:sz w:val="24"/>
          <w:szCs w:val="24"/>
          <w:highlight w:val="none"/>
        </w:rPr>
        <w:t>本溪市污水处理厂。本项目废水水质能够满足本溪市污水处理厂的进水水质要求</w:t>
      </w:r>
      <w:r>
        <w:rPr>
          <w:rFonts w:hint="eastAsia"/>
          <w:color w:val="auto"/>
          <w:sz w:val="24"/>
          <w:szCs w:val="24"/>
          <w:highlight w:val="none"/>
          <w:lang w:eastAsia="zh-CN"/>
        </w:rPr>
        <w:t>，即</w:t>
      </w:r>
      <w:r>
        <w:rPr>
          <w:rFonts w:hint="default" w:ascii="Times New Roman" w:hAnsi="Times New Roman" w:cs="Times New Roman"/>
          <w:color w:val="auto"/>
          <w:sz w:val="24"/>
          <w:szCs w:val="24"/>
          <w:highlight w:val="none"/>
        </w:rPr>
        <w:t>《医疗机构水污染物排放标准》（GB18466-2005）</w:t>
      </w:r>
      <w:r>
        <w:rPr>
          <w:rFonts w:hint="eastAsia" w:cs="Times New Roman"/>
          <w:color w:val="auto"/>
          <w:sz w:val="24"/>
          <w:szCs w:val="24"/>
          <w:highlight w:val="none"/>
          <w:lang w:eastAsia="zh-CN"/>
        </w:rPr>
        <w:t>表</w:t>
      </w:r>
      <w:r>
        <w:rPr>
          <w:rFonts w:hint="eastAsia" w:cs="Times New Roman"/>
          <w:color w:val="auto"/>
          <w:sz w:val="24"/>
          <w:szCs w:val="24"/>
          <w:highlight w:val="none"/>
          <w:lang w:val="en-US" w:eastAsia="zh-CN"/>
        </w:rPr>
        <w:t>2预处理</w:t>
      </w:r>
      <w:r>
        <w:rPr>
          <w:rFonts w:hint="default" w:ascii="Times New Roman" w:hAnsi="Times New Roman" w:cs="Times New Roman"/>
          <w:color w:val="auto"/>
          <w:sz w:val="24"/>
          <w:szCs w:val="24"/>
          <w:highlight w:val="none"/>
        </w:rPr>
        <w:t>标准</w:t>
      </w:r>
      <w:r>
        <w:rPr>
          <w:rFonts w:hint="eastAsia" w:cs="Times New Roman"/>
          <w:color w:val="auto"/>
          <w:sz w:val="24"/>
          <w:szCs w:val="24"/>
          <w:highlight w:val="none"/>
          <w:lang w:eastAsia="zh-CN"/>
        </w:rPr>
        <w:t>及</w:t>
      </w:r>
      <w:r>
        <w:rPr>
          <w:rFonts w:hint="default" w:ascii="Times New Roman" w:hAnsi="Times New Roman" w:cs="Times New Roman"/>
          <w:smallCaps/>
          <w:color w:val="auto"/>
          <w:sz w:val="24"/>
          <w:szCs w:val="24"/>
          <w:highlight w:val="none"/>
        </w:rPr>
        <w:t>《辽宁省污水综合排放标准》(DB21/1627-2008)表2中标准</w:t>
      </w:r>
      <w:r>
        <w:rPr>
          <w:rFonts w:hint="default"/>
          <w:color w:val="auto"/>
          <w:sz w:val="24"/>
          <w:szCs w:val="24"/>
          <w:highlight w:val="none"/>
        </w:rPr>
        <w:t>。本溪市污水处理厂（即本溪市科态污水处理有限责任公司）位于本溪市溪湖区，</w:t>
      </w:r>
      <w:r>
        <w:rPr>
          <w:rFonts w:hint="eastAsia"/>
          <w:color w:val="auto"/>
          <w:sz w:val="24"/>
          <w:szCs w:val="24"/>
          <w:highlight w:val="none"/>
          <w:lang w:eastAsia="zh-CN"/>
        </w:rPr>
        <w:t>于</w:t>
      </w:r>
      <w:r>
        <w:rPr>
          <w:rFonts w:hint="eastAsia"/>
          <w:color w:val="auto"/>
          <w:sz w:val="24"/>
          <w:szCs w:val="24"/>
          <w:highlight w:val="none"/>
          <w:lang w:val="en-US" w:eastAsia="zh-CN"/>
        </w:rPr>
        <w:t>2012年7月取得《本溪市污水处理厂提标改造工程》环境影响报告书批复（本环建字</w:t>
      </w:r>
      <w:r>
        <w:rPr>
          <w:rFonts w:hint="default"/>
          <w:color w:val="auto"/>
          <w:sz w:val="24"/>
          <w:szCs w:val="24"/>
          <w:highlight w:val="none"/>
          <w:lang w:val="en-US" w:eastAsia="zh-CN"/>
        </w:rPr>
        <w:t>[201</w:t>
      </w:r>
      <w:r>
        <w:rPr>
          <w:rFonts w:hint="eastAsia"/>
          <w:color w:val="auto"/>
          <w:sz w:val="24"/>
          <w:szCs w:val="24"/>
          <w:highlight w:val="none"/>
          <w:lang w:val="en-US" w:eastAsia="zh-CN"/>
        </w:rPr>
        <w:t>3</w:t>
      </w:r>
      <w:r>
        <w:rPr>
          <w:rFonts w:hint="default"/>
          <w:color w:val="auto"/>
          <w:sz w:val="24"/>
          <w:szCs w:val="24"/>
          <w:highlight w:val="none"/>
          <w:lang w:val="en-US" w:eastAsia="zh-CN"/>
        </w:rPr>
        <w:t>]19</w:t>
      </w:r>
      <w:r>
        <w:rPr>
          <w:rFonts w:hint="eastAsia"/>
          <w:color w:val="auto"/>
          <w:sz w:val="24"/>
          <w:szCs w:val="24"/>
          <w:highlight w:val="none"/>
          <w:lang w:val="en-US" w:eastAsia="zh-CN"/>
        </w:rPr>
        <w:t>号），2013年8月通过验收（本环验</w:t>
      </w:r>
      <w:r>
        <w:rPr>
          <w:rFonts w:hint="default"/>
          <w:color w:val="auto"/>
          <w:sz w:val="24"/>
          <w:szCs w:val="24"/>
          <w:highlight w:val="none"/>
          <w:lang w:val="en-US" w:eastAsia="zh-CN"/>
        </w:rPr>
        <w:t>[2013]06</w:t>
      </w:r>
      <w:r>
        <w:rPr>
          <w:rFonts w:hint="eastAsia"/>
          <w:color w:val="auto"/>
          <w:sz w:val="24"/>
          <w:szCs w:val="24"/>
          <w:highlight w:val="none"/>
          <w:lang w:val="en-US" w:eastAsia="zh-CN"/>
        </w:rPr>
        <w:t>号），</w:t>
      </w:r>
      <w:r>
        <w:rPr>
          <w:rFonts w:hint="default"/>
          <w:color w:val="auto"/>
          <w:sz w:val="24"/>
          <w:szCs w:val="24"/>
          <w:highlight w:val="none"/>
        </w:rPr>
        <w:t>污水处理工艺为A</w:t>
      </w:r>
      <w:r>
        <w:rPr>
          <w:rFonts w:hint="default"/>
          <w:color w:val="auto"/>
          <w:sz w:val="24"/>
          <w:szCs w:val="24"/>
          <w:highlight w:val="none"/>
          <w:vertAlign w:val="superscript"/>
        </w:rPr>
        <w:t>2</w:t>
      </w:r>
      <w:r>
        <w:rPr>
          <w:rFonts w:hint="default"/>
          <w:color w:val="auto"/>
          <w:sz w:val="24"/>
          <w:szCs w:val="24"/>
          <w:highlight w:val="none"/>
        </w:rPr>
        <w:t>/O，其设计规模为30.0万立方米/日。设计出水指标达到《城镇污水处理厂污染物排放标准》（GB18918-2002）一级 A 标准。目前实际处理量约28.4万立方米/日。剩余处理能力约1.6万立方米/日。本项目建成后，</w:t>
      </w:r>
      <w:r>
        <w:rPr>
          <w:rFonts w:hint="eastAsia"/>
          <w:color w:val="auto"/>
          <w:sz w:val="24"/>
          <w:szCs w:val="24"/>
          <w:highlight w:val="none"/>
          <w:lang w:eastAsia="zh-CN"/>
        </w:rPr>
        <w:t>医院</w:t>
      </w:r>
      <w:r>
        <w:rPr>
          <w:rFonts w:hint="default"/>
          <w:color w:val="auto"/>
          <w:sz w:val="24"/>
          <w:szCs w:val="24"/>
          <w:highlight w:val="none"/>
        </w:rPr>
        <w:t>废水总排放量为</w:t>
      </w:r>
      <w:r>
        <w:rPr>
          <w:rFonts w:hint="eastAsia"/>
          <w:color w:val="auto"/>
          <w:sz w:val="24"/>
          <w:szCs w:val="24"/>
          <w:highlight w:val="none"/>
          <w:lang w:val="en-US" w:eastAsia="zh-CN"/>
        </w:rPr>
        <w:t>30.82</w:t>
      </w:r>
      <w:r>
        <w:rPr>
          <w:rFonts w:hint="default"/>
          <w:color w:val="auto"/>
          <w:sz w:val="24"/>
          <w:szCs w:val="24"/>
          <w:highlight w:val="none"/>
        </w:rPr>
        <w:t>t/d，本溪市污水处理厂的剩余处理能力可以满足本项目需要</w:t>
      </w:r>
      <w:r>
        <w:rPr>
          <w:rFonts w:hint="eastAsia"/>
          <w:color w:val="auto"/>
          <w:sz w:val="24"/>
          <w:szCs w:val="24"/>
          <w:highlight w:val="none"/>
          <w:lang w:eastAsia="zh-CN"/>
        </w:rPr>
        <w:t>，依托可行</w:t>
      </w:r>
      <w:r>
        <w:rPr>
          <w:rFonts w:hint="default"/>
          <w:color w:val="auto"/>
          <w:sz w:val="24"/>
          <w:szCs w:val="24"/>
          <w:highlight w:val="none"/>
        </w:rPr>
        <w:t>。</w:t>
      </w:r>
      <w:r>
        <w:rPr>
          <w:rFonts w:hint="eastAsia"/>
          <w:color w:val="FF0000"/>
          <w:sz w:val="24"/>
          <w:szCs w:val="24"/>
          <w:highlight w:val="none"/>
          <w:lang w:eastAsia="zh-CN"/>
        </w:rPr>
        <w:t>在本项目正式投产运营之前，建设单位应与本溪市污水处理厂签订污水接纳协议，已确保本溪市污水处理厂能够接纳并处理本项目污水。</w:t>
      </w:r>
    </w:p>
    <w:p w14:paraId="1B204853">
      <w:pPr>
        <w:adjustRightInd w:val="0"/>
        <w:snapToGrid w:val="0"/>
        <w:spacing w:line="360" w:lineRule="auto"/>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3噪声环境影响分析</w:t>
      </w:r>
    </w:p>
    <w:p w14:paraId="44AE992D">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hAnsi="Arial"/>
          <w:b/>
          <w:bCs/>
          <w:color w:val="auto"/>
          <w:sz w:val="24"/>
          <w:highlight w:val="none"/>
          <w:lang w:val="en-US" w:eastAsia="zh-CN"/>
        </w:rPr>
      </w:pPr>
      <w:r>
        <w:rPr>
          <w:rFonts w:hint="eastAsia" w:hAnsi="Arial"/>
          <w:b/>
          <w:bCs/>
          <w:color w:val="auto"/>
          <w:sz w:val="24"/>
          <w:highlight w:val="none"/>
          <w:lang w:val="en-US" w:eastAsia="zh-CN"/>
        </w:rPr>
        <w:t>3.1评价等级</w:t>
      </w:r>
    </w:p>
    <w:p w14:paraId="6FE96110">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color w:val="auto"/>
          <w:highlight w:val="none"/>
          <w:lang w:val="en-US" w:eastAsia="zh-CN"/>
        </w:rPr>
      </w:pPr>
      <w:r>
        <w:rPr>
          <w:rFonts w:hint="eastAsia" w:hAnsi="Arial"/>
          <w:color w:val="auto"/>
          <w:kern w:val="2"/>
          <w:sz w:val="24"/>
          <w:szCs w:val="24"/>
          <w:highlight w:val="none"/>
          <w:lang w:val="en-US" w:eastAsia="zh-CN" w:bidi="ar-SA"/>
        </w:rPr>
        <w:t>本项目所处声环境功能区为2类区，根据《环境影响评价技术导则 声环境》（HJ2.4-2009）评价等级划分要求，</w:t>
      </w:r>
      <w:r>
        <w:rPr>
          <w:rFonts w:hint="eastAsia"/>
          <w:color w:val="auto"/>
          <w:sz w:val="24"/>
          <w:szCs w:val="24"/>
          <w:highlight w:val="none"/>
        </w:rPr>
        <w:t>建设项目所处的声环境功能区为GB 3096规定的1类、2类地区，或建设项目建设前后评价范围内敏感目标噪声级增高量达3～5 dB(A) [含5 dB(A)]，或受噪声影响人口数量增加较多时，按二级评价</w:t>
      </w:r>
      <w:r>
        <w:rPr>
          <w:rFonts w:hint="eastAsia"/>
          <w:color w:val="auto"/>
          <w:sz w:val="24"/>
          <w:szCs w:val="24"/>
          <w:highlight w:val="none"/>
          <w:lang w:eastAsia="zh-CN"/>
        </w:rPr>
        <w:t>，故</w:t>
      </w:r>
      <w:r>
        <w:rPr>
          <w:rFonts w:hint="eastAsia" w:hAnsi="Arial"/>
          <w:color w:val="auto"/>
          <w:kern w:val="2"/>
          <w:sz w:val="24"/>
          <w:szCs w:val="24"/>
          <w:highlight w:val="none"/>
          <w:lang w:val="en-US" w:eastAsia="zh-CN" w:bidi="ar-SA"/>
        </w:rPr>
        <w:t>本项目声环境评价等级为2级。</w:t>
      </w:r>
    </w:p>
    <w:p w14:paraId="34F84F9B">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hAnsi="Arial"/>
          <w:b/>
          <w:bCs/>
          <w:color w:val="auto"/>
          <w:sz w:val="24"/>
          <w:highlight w:val="none"/>
          <w:lang w:val="en-US" w:eastAsia="zh-CN"/>
        </w:rPr>
      </w:pPr>
      <w:r>
        <w:rPr>
          <w:rFonts w:hint="eastAsia" w:hAnsi="Arial"/>
          <w:b/>
          <w:bCs/>
          <w:color w:val="auto"/>
          <w:sz w:val="24"/>
          <w:highlight w:val="none"/>
          <w:lang w:val="en-US" w:eastAsia="zh-CN"/>
        </w:rPr>
        <w:t>3.2评价范围</w:t>
      </w:r>
    </w:p>
    <w:p w14:paraId="00F51AF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highlight w:val="none"/>
          <w:lang w:val="en-US" w:eastAsia="zh-CN"/>
        </w:rPr>
      </w:pPr>
      <w:r>
        <w:rPr>
          <w:rFonts w:hint="eastAsia" w:hAnsi="Arial"/>
          <w:color w:val="auto"/>
          <w:kern w:val="2"/>
          <w:sz w:val="24"/>
          <w:szCs w:val="24"/>
          <w:highlight w:val="none"/>
          <w:lang w:val="en-US" w:eastAsia="zh-CN" w:bidi="ar-SA"/>
        </w:rPr>
        <w:t>根据《环境影响评价技术导则 声环境》（HJ2.4-2009）二级评价范围要求，二级、三级评价范围可根据建设项目所在区域和相邻区域的声环境功能区类别及敏感目标等实际情况适当缩小。确定本项目噪声评价范围为项目边界外100m。</w:t>
      </w:r>
    </w:p>
    <w:p w14:paraId="25CE265D">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b/>
          <w:bCs/>
          <w:color w:val="auto"/>
          <w:highlight w:val="none"/>
          <w:lang w:val="en-US" w:eastAsia="zh-CN"/>
        </w:rPr>
      </w:pPr>
      <w:r>
        <w:rPr>
          <w:rFonts w:hint="eastAsia" w:hAnsi="Arial"/>
          <w:b/>
          <w:bCs/>
          <w:color w:val="auto"/>
          <w:sz w:val="24"/>
          <w:highlight w:val="none"/>
          <w:lang w:val="en-US" w:eastAsia="zh-CN"/>
        </w:rPr>
        <w:t>3.3影响分析</w:t>
      </w:r>
    </w:p>
    <w:p w14:paraId="4609F2D4">
      <w:pPr>
        <w:pStyle w:val="15"/>
        <w:adjustRightInd w:val="0"/>
        <w:snapToGrid w:val="0"/>
        <w:spacing w:after="0" w:line="360" w:lineRule="auto"/>
        <w:ind w:left="0" w:leftChars="0" w:firstLine="480"/>
        <w:rPr>
          <w:rFonts w:hint="eastAsia" w:ascii="Times New Roman" w:hAnsi="Times New Roman" w:eastAsia="宋体" w:cs="Times New Roman"/>
          <w:color w:val="auto"/>
          <w:highlight w:val="none"/>
          <w:lang w:eastAsia="zh-CN"/>
        </w:rPr>
      </w:pPr>
      <w:r>
        <w:rPr>
          <w:rFonts w:hint="eastAsia" w:ascii="宋体" w:hAnsi="宋体"/>
          <w:color w:val="auto"/>
          <w:sz w:val="24"/>
          <w:highlight w:val="none"/>
        </w:rPr>
        <w:t>本项目营运期对声环境的影响主要有各类设备的运转噪声，主要来自于</w:t>
      </w:r>
      <w:r>
        <w:rPr>
          <w:rFonts w:hint="eastAsia" w:ascii="宋体" w:hAnsi="宋体"/>
          <w:color w:val="auto"/>
          <w:sz w:val="24"/>
          <w:highlight w:val="none"/>
          <w:lang w:eastAsia="zh-CN"/>
        </w:rPr>
        <w:t>水泵、冷却机组</w:t>
      </w:r>
      <w:r>
        <w:rPr>
          <w:rFonts w:hint="eastAsia" w:ascii="宋体" w:hAnsi="宋体"/>
          <w:color w:val="auto"/>
          <w:sz w:val="24"/>
          <w:highlight w:val="none"/>
        </w:rPr>
        <w:t>等设备的运行噪声和门诊部社会噪声</w:t>
      </w:r>
      <w:r>
        <w:rPr>
          <w:rFonts w:hint="default" w:ascii="Times New Roman" w:hAnsi="Times New Roman" w:cs="Times New Roman"/>
          <w:color w:val="auto"/>
          <w:highlight w:val="none"/>
        </w:rPr>
        <w:t>。</w:t>
      </w:r>
      <w:r>
        <w:rPr>
          <w:rFonts w:hint="eastAsia" w:cs="Times New Roman"/>
          <w:color w:val="auto"/>
          <w:highlight w:val="none"/>
          <w:lang w:eastAsia="zh-CN"/>
        </w:rPr>
        <w:t>水泵及</w:t>
      </w:r>
      <w:r>
        <w:rPr>
          <w:rFonts w:hint="eastAsia" w:ascii="宋体" w:hAnsi="宋体"/>
          <w:color w:val="auto"/>
          <w:sz w:val="24"/>
          <w:highlight w:val="none"/>
          <w:lang w:eastAsia="zh-CN"/>
        </w:rPr>
        <w:t>冷却机组振动产生结构传声会对病房产生影响。</w:t>
      </w:r>
    </w:p>
    <w:p w14:paraId="31F9EA28">
      <w:pPr>
        <w:adjustRightInd w:val="0"/>
        <w:snapToGrid w:val="0"/>
        <w:spacing w:line="360" w:lineRule="auto"/>
        <w:rPr>
          <w:rFonts w:hint="default" w:ascii="宋体" w:hAnsi="宋体"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3.3.1</w:t>
      </w:r>
      <w:r>
        <w:rPr>
          <w:rFonts w:hint="default" w:ascii="宋体" w:hAnsi="宋体" w:eastAsia="宋体" w:cs="Times New Roman"/>
          <w:color w:val="auto"/>
          <w:kern w:val="2"/>
          <w:sz w:val="24"/>
          <w:szCs w:val="24"/>
          <w:highlight w:val="none"/>
          <w:lang w:val="en-US" w:eastAsia="zh-CN" w:bidi="ar-SA"/>
        </w:rPr>
        <w:t>设备噪声对环境影响评价</w:t>
      </w:r>
    </w:p>
    <w:p w14:paraId="440378A0">
      <w:pPr>
        <w:adjustRightInd w:val="0"/>
        <w:snapToGrid w:val="0"/>
        <w:spacing w:line="360" w:lineRule="auto"/>
        <w:ind w:firstLine="480" w:firstLineChars="200"/>
        <w:rPr>
          <w:rFonts w:hint="default" w:ascii="Times New Roman" w:hAnsi="Times New Roman" w:cs="Times New Roman"/>
          <w:b/>
          <w:bCs/>
          <w:color w:val="auto"/>
          <w:sz w:val="24"/>
          <w:szCs w:val="24"/>
          <w:highlight w:val="none"/>
        </w:rPr>
      </w:pPr>
      <w:r>
        <w:rPr>
          <w:rFonts w:hint="default" w:ascii="Times New Roman" w:hAnsi="Times New Roman" w:cs="Times New Roman"/>
          <w:color w:val="auto"/>
          <w:sz w:val="24"/>
          <w:szCs w:val="24"/>
          <w:highlight w:val="none"/>
        </w:rPr>
        <w:t>(1）预测方法</w:t>
      </w:r>
    </w:p>
    <w:p w14:paraId="53870768">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为了较准确地预测该</w:t>
      </w:r>
      <w:r>
        <w:rPr>
          <w:rFonts w:hint="eastAsia" w:cs="Times New Roman"/>
          <w:color w:val="auto"/>
          <w:sz w:val="24"/>
          <w:szCs w:val="24"/>
          <w:highlight w:val="none"/>
          <w:lang w:eastAsia="zh-CN"/>
        </w:rPr>
        <w:t>医院</w:t>
      </w:r>
      <w:r>
        <w:rPr>
          <w:rFonts w:hint="default" w:ascii="Times New Roman" w:hAnsi="Times New Roman" w:cs="Times New Roman"/>
          <w:color w:val="auto"/>
          <w:sz w:val="24"/>
          <w:szCs w:val="24"/>
          <w:highlight w:val="none"/>
        </w:rPr>
        <w:t>运营后对院界环境噪声强度以及对楼内病房造成的影响，需要考虑从声源到敏感点的传播途径特性。影响传播途径特性的主要因素归结为：距离衰减、建构筑围护结构、遮挡物屏蔽效应、各种物质的吸收与反射等，其中距离衰减和屏蔽物效应可根据理论式求出，其它则需以实测值为基础，为了简化计算条件，此次噪声预测根据工程区特点，考虑了噪声随距离的衰减</w:t>
      </w:r>
      <w:r>
        <w:rPr>
          <w:rFonts w:hint="eastAsia" w:cs="Times New Roman"/>
          <w:color w:val="auto"/>
          <w:sz w:val="24"/>
          <w:szCs w:val="24"/>
          <w:highlight w:val="none"/>
          <w:lang w:eastAsia="zh-CN"/>
        </w:rPr>
        <w:t>及</w:t>
      </w:r>
      <w:r>
        <w:rPr>
          <w:rFonts w:hint="default" w:ascii="Times New Roman" w:hAnsi="Times New Roman" w:cs="Times New Roman"/>
          <w:color w:val="auto"/>
          <w:sz w:val="24"/>
          <w:szCs w:val="24"/>
          <w:highlight w:val="none"/>
        </w:rPr>
        <w:t>建构筑围护结构的隔声，未考虑界面反射作用</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建筑物屏蔽效应以及空气吸收的衰减。</w:t>
      </w:r>
    </w:p>
    <w:p w14:paraId="003948F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（2）预测模式</w:t>
      </w:r>
    </w:p>
    <w:p w14:paraId="4AB487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根据《环境影响评价技术导则·声环境》（HJ2.4-2009）中有关噪声预测模式的规定，采用户外传播声级衰减计算公式：</w:t>
      </w:r>
    </w:p>
    <w:p w14:paraId="7CE0972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a) 建设项目声源在预测点产生的等效声级贡献值(</w:t>
      </w:r>
      <w:r>
        <w:rPr>
          <w:rFonts w:hint="default" w:ascii="Times New Roman" w:hAnsi="Times New Roman" w:cs="Times New Roman"/>
          <w:i/>
          <w:iCs/>
          <w:color w:val="auto"/>
          <w:kern w:val="0"/>
          <w:sz w:val="24"/>
          <w:szCs w:val="24"/>
          <w:highlight w:val="none"/>
        </w:rPr>
        <w:t>L</w:t>
      </w:r>
      <w:r>
        <w:rPr>
          <w:rFonts w:hint="default" w:ascii="Times New Roman" w:hAnsi="Times New Roman" w:cs="Times New Roman"/>
          <w:i/>
          <w:iCs/>
          <w:color w:val="auto"/>
          <w:kern w:val="0"/>
          <w:sz w:val="24"/>
          <w:szCs w:val="24"/>
          <w:highlight w:val="none"/>
          <w:vertAlign w:val="subscript"/>
        </w:rPr>
        <w:t>eqg</w:t>
      </w:r>
      <w:r>
        <w:rPr>
          <w:rFonts w:hint="default" w:ascii="Times New Roman" w:hAnsi="Times New Roman" w:cs="Times New Roman"/>
          <w:color w:val="auto"/>
          <w:kern w:val="0"/>
          <w:sz w:val="24"/>
          <w:szCs w:val="24"/>
          <w:highlight w:val="none"/>
        </w:rPr>
        <w:t>)计算公式：</w:t>
      </w:r>
    </w:p>
    <w:p w14:paraId="0778370F">
      <w:pPr>
        <w:autoSpaceDE w:val="0"/>
        <w:autoSpaceDN w:val="0"/>
        <w:adjustRightInd w:val="0"/>
        <w:spacing w:line="360" w:lineRule="auto"/>
        <w:ind w:right="480" w:firstLine="2040" w:firstLineChars="850"/>
        <w:rPr>
          <w:rFonts w:hint="default" w:ascii="Times New Roman" w:hAnsi="Times New Roman" w:cs="Times New Roman"/>
          <w:color w:val="auto"/>
          <w:kern w:val="0"/>
          <w:sz w:val="24"/>
          <w:szCs w:val="24"/>
          <w:highlight w:val="none"/>
          <w:vertAlign w:val="subscript"/>
        </w:rPr>
      </w:pPr>
      <w:r>
        <w:rPr>
          <w:rFonts w:hint="default" w:ascii="Times New Roman" w:hAnsi="Times New Roman" w:cs="Times New Roman"/>
          <w:i/>
          <w:iCs/>
          <w:color w:val="auto"/>
          <w:kern w:val="0"/>
          <w:sz w:val="24"/>
          <w:szCs w:val="24"/>
          <w:highlight w:val="none"/>
        </w:rPr>
        <w:t>L</w:t>
      </w:r>
      <w:r>
        <w:rPr>
          <w:rFonts w:hint="default" w:ascii="Times New Roman" w:hAnsi="Times New Roman" w:cs="Times New Roman"/>
          <w:i/>
          <w:iCs/>
          <w:color w:val="auto"/>
          <w:kern w:val="0"/>
          <w:sz w:val="24"/>
          <w:szCs w:val="24"/>
          <w:highlight w:val="none"/>
          <w:vertAlign w:val="subscript"/>
        </w:rPr>
        <w:t>eqg</w:t>
      </w:r>
      <w:r>
        <w:rPr>
          <w:rFonts w:hint="default" w:ascii="Times New Roman" w:hAnsi="Times New Roman" w:cs="Times New Roman"/>
          <w:color w:val="auto"/>
          <w:kern w:val="0"/>
          <w:sz w:val="24"/>
          <w:szCs w:val="24"/>
          <w:highlight w:val="none"/>
        </w:rPr>
        <w:t>=10lg(</w:t>
      </w:r>
      <w:r>
        <w:rPr>
          <w:rFonts w:hint="default" w:ascii="Times New Roman" w:hAnsi="Times New Roman" w:cs="Times New Roman"/>
          <w:color w:val="auto"/>
          <w:kern w:val="0"/>
          <w:position w:val="-24"/>
          <w:sz w:val="24"/>
          <w:szCs w:val="24"/>
          <w:highlight w:val="none"/>
        </w:rPr>
        <w:object>
          <v:shape id="_x0000_i1025" o:spt="75" type="#_x0000_t75" style="height:31pt;width:13pt;" o:ole="t" filled="f" o:preferrelative="t" stroked="f" coordsize="21600,21600">
            <v:path/>
            <v:fill on="f" focussize="0,0"/>
            <v:stroke on="f"/>
            <v:imagedata r:id="rId21" o:title=""/>
            <o:lock v:ext="edit" aspectratio="t"/>
            <w10:wrap type="none"/>
            <w10:anchorlock/>
          </v:shape>
          <o:OLEObject Type="Embed" ProgID="Equation.KSEE3" ShapeID="_x0000_i1025" DrawAspect="Content" ObjectID="_1468075725" r:id="rId20">
            <o:LockedField>false</o:LockedField>
          </o:OLEObject>
        </w:object>
      </w:r>
      <w:r>
        <w:rPr>
          <w:rFonts w:hint="default" w:ascii="Times New Roman" w:hAnsi="Times New Roman" w:cs="Times New Roman"/>
          <w:color w:val="auto"/>
          <w:kern w:val="0"/>
          <w:sz w:val="24"/>
          <w:szCs w:val="24"/>
          <w:highlight w:val="none"/>
        </w:rPr>
        <w:t>Σt</w:t>
      </w:r>
      <w:r>
        <w:rPr>
          <w:rFonts w:hint="default" w:ascii="Times New Roman" w:hAnsi="Times New Roman" w:cs="Times New Roman"/>
          <w:color w:val="auto"/>
          <w:kern w:val="0"/>
          <w:sz w:val="24"/>
          <w:szCs w:val="24"/>
          <w:highlight w:val="none"/>
          <w:vertAlign w:val="subscript"/>
        </w:rPr>
        <w:t>i</w:t>
      </w:r>
      <w:r>
        <w:rPr>
          <w:rFonts w:hint="default" w:ascii="Times New Roman" w:hAnsi="Times New Roman" w:cs="Times New Roman"/>
          <w:color w:val="auto"/>
          <w:kern w:val="0"/>
          <w:sz w:val="24"/>
          <w:szCs w:val="24"/>
          <w:highlight w:val="none"/>
        </w:rPr>
        <w:t>10</w:t>
      </w:r>
      <w:r>
        <w:rPr>
          <w:rFonts w:hint="default" w:ascii="Times New Roman" w:hAnsi="Times New Roman" w:cs="Times New Roman"/>
          <w:color w:val="auto"/>
          <w:kern w:val="0"/>
          <w:sz w:val="24"/>
          <w:szCs w:val="24"/>
          <w:highlight w:val="none"/>
          <w:vertAlign w:val="superscript"/>
        </w:rPr>
        <w:t>0.1LA</w:t>
      </w:r>
      <w:r>
        <w:rPr>
          <w:rFonts w:hint="default" w:ascii="Times New Roman" w:hAnsi="Times New Roman" w:cs="Times New Roman"/>
          <w:color w:val="auto"/>
          <w:kern w:val="0"/>
          <w:sz w:val="24"/>
          <w:szCs w:val="24"/>
          <w:highlight w:val="none"/>
        </w:rPr>
        <w:t>)</w:t>
      </w:r>
    </w:p>
    <w:p w14:paraId="3494461C">
      <w:pPr>
        <w:autoSpaceDE w:val="0"/>
        <w:autoSpaceDN w:val="0"/>
        <w:adjustRightIn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式中：</w:t>
      </w:r>
      <w:r>
        <w:rPr>
          <w:rFonts w:hint="default" w:ascii="Times New Roman" w:hAnsi="Times New Roman" w:cs="Times New Roman"/>
          <w:i/>
          <w:iCs/>
          <w:color w:val="auto"/>
          <w:kern w:val="0"/>
          <w:sz w:val="24"/>
          <w:szCs w:val="24"/>
          <w:highlight w:val="none"/>
        </w:rPr>
        <w:t>L</w:t>
      </w:r>
      <w:r>
        <w:rPr>
          <w:rFonts w:hint="default" w:ascii="Times New Roman" w:hAnsi="Times New Roman" w:cs="Times New Roman"/>
          <w:i/>
          <w:iCs/>
          <w:color w:val="auto"/>
          <w:kern w:val="0"/>
          <w:sz w:val="24"/>
          <w:szCs w:val="24"/>
          <w:highlight w:val="none"/>
          <w:vertAlign w:val="subscript"/>
        </w:rPr>
        <w:t>eqg</w:t>
      </w:r>
      <w:r>
        <w:rPr>
          <w:rFonts w:hint="default" w:ascii="Times New Roman" w:hAnsi="Times New Roman" w:cs="Times New Roman"/>
          <w:color w:val="auto"/>
          <w:kern w:val="0"/>
          <w:sz w:val="24"/>
          <w:szCs w:val="24"/>
          <w:highlight w:val="none"/>
        </w:rPr>
        <w:t>—建设项目声源在预测点的等效声级贡献值，dB(A)；</w:t>
      </w:r>
    </w:p>
    <w:p w14:paraId="239DFCAC">
      <w:pPr>
        <w:autoSpaceDE w:val="0"/>
        <w:autoSpaceDN w:val="0"/>
        <w:adjustRightInd w:val="0"/>
        <w:spacing w:line="360" w:lineRule="auto"/>
        <w:ind w:firstLine="1320" w:firstLineChars="550"/>
        <w:rPr>
          <w:rFonts w:hint="default" w:ascii="Times New Roman" w:hAnsi="Times New Roman" w:cs="Times New Roman"/>
          <w:color w:val="auto"/>
          <w:kern w:val="0"/>
          <w:sz w:val="24"/>
          <w:szCs w:val="24"/>
          <w:highlight w:val="none"/>
        </w:rPr>
      </w:pPr>
      <w:r>
        <w:rPr>
          <w:rFonts w:hint="default" w:ascii="Times New Roman" w:hAnsi="Times New Roman" w:cs="Times New Roman"/>
          <w:i/>
          <w:iCs/>
          <w:color w:val="auto"/>
          <w:kern w:val="0"/>
          <w:sz w:val="24"/>
          <w:szCs w:val="24"/>
          <w:highlight w:val="none"/>
        </w:rPr>
        <w:t>L</w:t>
      </w:r>
      <w:r>
        <w:rPr>
          <w:rFonts w:hint="default" w:ascii="Times New Roman" w:hAnsi="Times New Roman" w:cs="Times New Roman"/>
          <w:i/>
          <w:iCs/>
          <w:color w:val="auto"/>
          <w:kern w:val="0"/>
          <w:sz w:val="24"/>
          <w:szCs w:val="24"/>
          <w:highlight w:val="none"/>
          <w:vertAlign w:val="subscript"/>
        </w:rPr>
        <w:t>Ai</w:t>
      </w:r>
      <w:r>
        <w:rPr>
          <w:rFonts w:hint="default" w:ascii="Times New Roman" w:hAnsi="Times New Roman" w:cs="Times New Roman"/>
          <w:color w:val="auto"/>
          <w:kern w:val="0"/>
          <w:sz w:val="24"/>
          <w:szCs w:val="24"/>
          <w:highlight w:val="none"/>
        </w:rPr>
        <w:t>—声源在预测点产生的A声级，dB(A)；</w:t>
      </w:r>
      <w:r>
        <w:rPr>
          <w:rFonts w:hint="default" w:ascii="Times New Roman" w:hAnsi="Times New Roman" w:cs="Times New Roman"/>
          <w:i/>
          <w:iCs/>
          <w:color w:val="auto"/>
          <w:kern w:val="0"/>
          <w:sz w:val="24"/>
          <w:szCs w:val="24"/>
          <w:highlight w:val="none"/>
        </w:rPr>
        <w:t>i</w:t>
      </w:r>
    </w:p>
    <w:p w14:paraId="74179124">
      <w:pPr>
        <w:autoSpaceDE w:val="0"/>
        <w:autoSpaceDN w:val="0"/>
        <w:adjustRightInd w:val="0"/>
        <w:spacing w:line="360" w:lineRule="auto"/>
        <w:ind w:firstLine="1320" w:firstLineChars="550"/>
        <w:rPr>
          <w:rFonts w:hint="default" w:ascii="Times New Roman" w:hAnsi="Times New Roman" w:cs="Times New Roman"/>
          <w:color w:val="auto"/>
          <w:kern w:val="0"/>
          <w:sz w:val="24"/>
          <w:szCs w:val="24"/>
          <w:highlight w:val="none"/>
        </w:rPr>
      </w:pPr>
      <w:r>
        <w:rPr>
          <w:rFonts w:hint="default" w:ascii="Times New Roman" w:hAnsi="Times New Roman" w:cs="Times New Roman"/>
          <w:i/>
          <w:iCs/>
          <w:color w:val="auto"/>
          <w:kern w:val="0"/>
          <w:sz w:val="24"/>
          <w:szCs w:val="24"/>
          <w:highlight w:val="none"/>
        </w:rPr>
        <w:t>T</w:t>
      </w:r>
      <w:r>
        <w:rPr>
          <w:rFonts w:hint="default" w:ascii="Times New Roman" w:hAnsi="Times New Roman" w:cs="Times New Roman"/>
          <w:color w:val="auto"/>
          <w:kern w:val="0"/>
          <w:sz w:val="24"/>
          <w:szCs w:val="24"/>
          <w:highlight w:val="none"/>
        </w:rPr>
        <w:t>— 预测计算的时间段，s；</w:t>
      </w:r>
    </w:p>
    <w:p w14:paraId="726ABFD6">
      <w:pPr>
        <w:autoSpaceDE w:val="0"/>
        <w:autoSpaceDN w:val="0"/>
        <w:adjustRightInd w:val="0"/>
        <w:spacing w:line="360" w:lineRule="auto"/>
        <w:ind w:firstLine="1320" w:firstLineChars="550"/>
        <w:rPr>
          <w:rFonts w:hint="default" w:ascii="Times New Roman" w:hAnsi="Times New Roman" w:cs="Times New Roman"/>
          <w:color w:val="auto"/>
          <w:kern w:val="0"/>
          <w:sz w:val="24"/>
          <w:szCs w:val="24"/>
          <w:highlight w:val="none"/>
        </w:rPr>
      </w:pPr>
      <w:r>
        <w:rPr>
          <w:rFonts w:hint="default" w:ascii="Times New Roman" w:hAnsi="Times New Roman" w:cs="Times New Roman"/>
          <w:i/>
          <w:iCs/>
          <w:color w:val="auto"/>
          <w:kern w:val="0"/>
          <w:sz w:val="24"/>
          <w:szCs w:val="24"/>
          <w:highlight w:val="none"/>
        </w:rPr>
        <w:t>t</w:t>
      </w:r>
      <w:r>
        <w:rPr>
          <w:rFonts w:hint="default" w:ascii="Times New Roman" w:hAnsi="Times New Roman" w:cs="Times New Roman"/>
          <w:i/>
          <w:iCs/>
          <w:color w:val="auto"/>
          <w:kern w:val="0"/>
          <w:sz w:val="24"/>
          <w:szCs w:val="24"/>
          <w:highlight w:val="none"/>
          <w:vertAlign w:val="subscript"/>
        </w:rPr>
        <w:t>i</w:t>
      </w:r>
      <w:r>
        <w:rPr>
          <w:rFonts w:hint="default" w:ascii="Times New Roman" w:hAnsi="Times New Roman" w:cs="Times New Roman"/>
          <w:color w:val="auto"/>
          <w:kern w:val="0"/>
          <w:sz w:val="24"/>
          <w:szCs w:val="24"/>
          <w:highlight w:val="none"/>
        </w:rPr>
        <w:t>—</w:t>
      </w:r>
      <w:r>
        <w:rPr>
          <w:rFonts w:hint="default" w:ascii="Times New Roman" w:hAnsi="Times New Roman" w:cs="Times New Roman"/>
          <w:i/>
          <w:iCs/>
          <w:color w:val="auto"/>
          <w:kern w:val="0"/>
          <w:sz w:val="24"/>
          <w:szCs w:val="24"/>
          <w:highlight w:val="none"/>
        </w:rPr>
        <w:t>i</w:t>
      </w:r>
      <w:r>
        <w:rPr>
          <w:rFonts w:hint="default" w:ascii="Times New Roman" w:hAnsi="Times New Roman" w:cs="Times New Roman"/>
          <w:color w:val="auto"/>
          <w:kern w:val="0"/>
          <w:sz w:val="24"/>
          <w:szCs w:val="24"/>
          <w:highlight w:val="none"/>
        </w:rPr>
        <w:t>声源在</w:t>
      </w:r>
      <w:r>
        <w:rPr>
          <w:rFonts w:hint="default" w:ascii="Times New Roman" w:hAnsi="Times New Roman" w:cs="Times New Roman"/>
          <w:i/>
          <w:iCs/>
          <w:color w:val="auto"/>
          <w:kern w:val="0"/>
          <w:sz w:val="24"/>
          <w:szCs w:val="24"/>
          <w:highlight w:val="none"/>
        </w:rPr>
        <w:t>T</w:t>
      </w:r>
      <w:r>
        <w:rPr>
          <w:rFonts w:hint="default" w:ascii="Times New Roman" w:hAnsi="Times New Roman" w:cs="Times New Roman"/>
          <w:color w:val="auto"/>
          <w:kern w:val="0"/>
          <w:sz w:val="24"/>
          <w:szCs w:val="24"/>
          <w:highlight w:val="none"/>
        </w:rPr>
        <w:t>时段内的运行时间，s。</w:t>
      </w:r>
    </w:p>
    <w:p w14:paraId="137C4FFF">
      <w:pPr>
        <w:autoSpaceDE w:val="0"/>
        <w:autoSpaceDN w:val="0"/>
        <w:adjustRightIn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b）预测点的预测等效声级(</w:t>
      </w:r>
      <w:r>
        <w:rPr>
          <w:rFonts w:hint="default" w:ascii="Times New Roman" w:hAnsi="Times New Roman" w:cs="Times New Roman"/>
          <w:i/>
          <w:iCs/>
          <w:color w:val="auto"/>
          <w:kern w:val="0"/>
          <w:sz w:val="24"/>
          <w:szCs w:val="24"/>
          <w:highlight w:val="none"/>
        </w:rPr>
        <w:t>eqL</w:t>
      </w:r>
      <w:r>
        <w:rPr>
          <w:rFonts w:hint="default" w:ascii="Times New Roman" w:hAnsi="Times New Roman" w:cs="Times New Roman"/>
          <w:color w:val="auto"/>
          <w:kern w:val="0"/>
          <w:sz w:val="24"/>
          <w:szCs w:val="24"/>
          <w:highlight w:val="none"/>
        </w:rPr>
        <w:t>)计算公式：</w:t>
      </w:r>
    </w:p>
    <w:p w14:paraId="62A8B79D">
      <w:pPr>
        <w:autoSpaceDE w:val="0"/>
        <w:autoSpaceDN w:val="0"/>
        <w:adjustRightInd w:val="0"/>
        <w:spacing w:line="360" w:lineRule="auto"/>
        <w:ind w:right="480" w:firstLine="2160" w:firstLineChars="900"/>
        <w:rPr>
          <w:rFonts w:hint="default" w:ascii="Times New Roman" w:hAnsi="Times New Roman" w:cs="Times New Roman"/>
          <w:color w:val="auto"/>
          <w:kern w:val="0"/>
          <w:sz w:val="24"/>
          <w:szCs w:val="24"/>
          <w:highlight w:val="none"/>
        </w:rPr>
      </w:pPr>
      <w:r>
        <w:rPr>
          <w:rFonts w:hint="default" w:ascii="Times New Roman" w:hAnsi="Times New Roman" w:cs="Times New Roman"/>
          <w:i/>
          <w:iCs/>
          <w:color w:val="auto"/>
          <w:kern w:val="0"/>
          <w:sz w:val="24"/>
          <w:szCs w:val="24"/>
          <w:highlight w:val="none"/>
        </w:rPr>
        <w:t>L</w:t>
      </w:r>
      <w:r>
        <w:rPr>
          <w:rFonts w:hint="default" w:ascii="Times New Roman" w:hAnsi="Times New Roman" w:cs="Times New Roman"/>
          <w:i/>
          <w:iCs/>
          <w:color w:val="auto"/>
          <w:kern w:val="0"/>
          <w:sz w:val="24"/>
          <w:szCs w:val="24"/>
          <w:highlight w:val="none"/>
          <w:vertAlign w:val="subscript"/>
        </w:rPr>
        <w:t>eq</w:t>
      </w:r>
      <w:r>
        <w:rPr>
          <w:rFonts w:hint="default" w:ascii="Times New Roman" w:hAnsi="Times New Roman" w:cs="Times New Roman"/>
          <w:color w:val="auto"/>
          <w:kern w:val="0"/>
          <w:sz w:val="24"/>
          <w:szCs w:val="24"/>
          <w:highlight w:val="none"/>
        </w:rPr>
        <w:t>=10lg(Σ10</w:t>
      </w:r>
      <w:r>
        <w:rPr>
          <w:rFonts w:hint="default" w:ascii="Times New Roman" w:hAnsi="Times New Roman" w:cs="Times New Roman"/>
          <w:color w:val="auto"/>
          <w:kern w:val="0"/>
          <w:sz w:val="24"/>
          <w:szCs w:val="24"/>
          <w:highlight w:val="none"/>
          <w:vertAlign w:val="superscript"/>
        </w:rPr>
        <w:t>0.1Leqg</w:t>
      </w:r>
      <w:r>
        <w:rPr>
          <w:rFonts w:hint="default" w:ascii="Times New Roman" w:hAnsi="Times New Roman" w:cs="Times New Roman"/>
          <w:color w:val="auto"/>
          <w:kern w:val="0"/>
          <w:sz w:val="24"/>
          <w:szCs w:val="24"/>
          <w:highlight w:val="none"/>
        </w:rPr>
        <w:t>+10</w:t>
      </w:r>
      <w:r>
        <w:rPr>
          <w:rFonts w:hint="default" w:ascii="Times New Roman" w:hAnsi="Times New Roman" w:cs="Times New Roman"/>
          <w:color w:val="auto"/>
          <w:kern w:val="0"/>
          <w:sz w:val="24"/>
          <w:szCs w:val="24"/>
          <w:highlight w:val="none"/>
          <w:vertAlign w:val="superscript"/>
        </w:rPr>
        <w:t>0.1Leqb</w:t>
      </w:r>
      <w:r>
        <w:rPr>
          <w:rFonts w:hint="default" w:ascii="Times New Roman" w:hAnsi="Times New Roman" w:cs="Times New Roman"/>
          <w:color w:val="auto"/>
          <w:kern w:val="0"/>
          <w:sz w:val="24"/>
          <w:szCs w:val="24"/>
          <w:highlight w:val="none"/>
        </w:rPr>
        <w:t>)</w:t>
      </w:r>
    </w:p>
    <w:p w14:paraId="58717FB4">
      <w:pPr>
        <w:autoSpaceDE w:val="0"/>
        <w:autoSpaceDN w:val="0"/>
        <w:adjustRightInd w:val="0"/>
        <w:spacing w:line="360" w:lineRule="auto"/>
        <w:ind w:right="840"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式中：</w:t>
      </w:r>
      <w:r>
        <w:rPr>
          <w:rFonts w:hint="default" w:ascii="Times New Roman" w:hAnsi="Times New Roman" w:cs="Times New Roman"/>
          <w:i/>
          <w:iCs/>
          <w:color w:val="auto"/>
          <w:kern w:val="0"/>
          <w:sz w:val="24"/>
          <w:szCs w:val="24"/>
          <w:highlight w:val="none"/>
        </w:rPr>
        <w:t>L</w:t>
      </w:r>
      <w:r>
        <w:rPr>
          <w:rFonts w:hint="default" w:ascii="Times New Roman" w:hAnsi="Times New Roman" w:cs="Times New Roman"/>
          <w:i/>
          <w:iCs/>
          <w:color w:val="auto"/>
          <w:kern w:val="0"/>
          <w:sz w:val="24"/>
          <w:szCs w:val="24"/>
          <w:highlight w:val="none"/>
          <w:vertAlign w:val="subscript"/>
        </w:rPr>
        <w:t>eqg</w:t>
      </w:r>
      <w:r>
        <w:rPr>
          <w:rFonts w:hint="default" w:ascii="Times New Roman" w:hAnsi="Times New Roman" w:cs="Times New Roman"/>
          <w:color w:val="auto"/>
          <w:kern w:val="0"/>
          <w:sz w:val="24"/>
          <w:szCs w:val="24"/>
          <w:highlight w:val="none"/>
        </w:rPr>
        <w:t>—建设项目声源在预测点的等效声级贡献值，dB(A)；</w:t>
      </w:r>
    </w:p>
    <w:p w14:paraId="1E6ABEB5">
      <w:pPr>
        <w:spacing w:line="360" w:lineRule="auto"/>
        <w:ind w:firstLine="1320" w:firstLineChars="550"/>
        <w:rPr>
          <w:rFonts w:hint="default" w:ascii="Times New Roman" w:hAnsi="Times New Roman" w:cs="Times New Roman"/>
          <w:color w:val="auto"/>
          <w:kern w:val="0"/>
          <w:sz w:val="24"/>
          <w:szCs w:val="24"/>
          <w:highlight w:val="none"/>
        </w:rPr>
      </w:pPr>
      <w:r>
        <w:rPr>
          <w:rFonts w:hint="default" w:ascii="Times New Roman" w:hAnsi="Times New Roman" w:cs="Times New Roman"/>
          <w:i/>
          <w:iCs/>
          <w:color w:val="auto"/>
          <w:kern w:val="0"/>
          <w:sz w:val="24"/>
          <w:szCs w:val="24"/>
          <w:highlight w:val="none"/>
        </w:rPr>
        <w:t>L</w:t>
      </w:r>
      <w:r>
        <w:rPr>
          <w:rFonts w:hint="default" w:ascii="Times New Roman" w:hAnsi="Times New Roman" w:cs="Times New Roman"/>
          <w:i/>
          <w:iCs/>
          <w:color w:val="auto"/>
          <w:kern w:val="0"/>
          <w:sz w:val="24"/>
          <w:szCs w:val="24"/>
          <w:highlight w:val="none"/>
          <w:vertAlign w:val="subscript"/>
        </w:rPr>
        <w:t>eqb</w:t>
      </w:r>
      <w:r>
        <w:rPr>
          <w:rFonts w:hint="default" w:ascii="Times New Roman" w:hAnsi="Times New Roman" w:cs="Times New Roman"/>
          <w:color w:val="auto"/>
          <w:kern w:val="0"/>
          <w:sz w:val="24"/>
          <w:szCs w:val="24"/>
          <w:highlight w:val="none"/>
        </w:rPr>
        <w:t>— 预测点的背景值，dB(A)。</w:t>
      </w:r>
    </w:p>
    <w:p w14:paraId="379719C9">
      <w:pPr>
        <w:spacing w:line="360" w:lineRule="auto"/>
        <w:ind w:left="2159" w:leftChars="228" w:hanging="1680" w:hangingChars="7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c)点声源的几何发散衰减(无指向性点声源几何发散衰减)的基本公式是：Lp(r)=Lp(r</w:t>
      </w:r>
      <w:r>
        <w:rPr>
          <w:rFonts w:hint="default" w:ascii="Times New Roman" w:hAnsi="Times New Roman" w:cs="Times New Roman"/>
          <w:color w:val="auto"/>
          <w:sz w:val="24"/>
          <w:szCs w:val="24"/>
          <w:highlight w:val="none"/>
          <w:vertAlign w:val="subscript"/>
        </w:rPr>
        <w:t>0</w:t>
      </w:r>
      <w:r>
        <w:rPr>
          <w:rFonts w:hint="default" w:ascii="Times New Roman" w:hAnsi="Times New Roman" w:cs="Times New Roman"/>
          <w:color w:val="auto"/>
          <w:sz w:val="24"/>
          <w:szCs w:val="24"/>
          <w:highlight w:val="none"/>
        </w:rPr>
        <w:t>)-20lg(r/r</w:t>
      </w:r>
      <w:r>
        <w:rPr>
          <w:rFonts w:hint="default" w:ascii="Times New Roman" w:hAnsi="Times New Roman" w:cs="Times New Roman"/>
          <w:color w:val="auto"/>
          <w:sz w:val="24"/>
          <w:szCs w:val="24"/>
          <w:highlight w:val="none"/>
          <w:vertAlign w:val="subscript"/>
        </w:rPr>
        <w:t>0</w:t>
      </w:r>
      <w:r>
        <w:rPr>
          <w:rFonts w:hint="default" w:ascii="Times New Roman" w:hAnsi="Times New Roman" w:cs="Times New Roman"/>
          <w:color w:val="auto"/>
          <w:sz w:val="24"/>
          <w:szCs w:val="24"/>
          <w:highlight w:val="none"/>
        </w:rPr>
        <w:t>)</w:t>
      </w:r>
    </w:p>
    <w:p w14:paraId="53F01881">
      <w:pPr>
        <w:spacing w:line="360" w:lineRule="auto"/>
        <w:ind w:left="2159" w:leftChars="228" w:hanging="1680" w:hangingChars="7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式中：Lp(r)—距离声源r处的倍频带声压级。</w:t>
      </w:r>
    </w:p>
    <w:p w14:paraId="6E548F73">
      <w:pPr>
        <w:spacing w:line="360" w:lineRule="auto"/>
        <w:ind w:left="2157" w:leftChars="570" w:hanging="960" w:hangingChars="4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Lp(r</w:t>
      </w:r>
      <w:r>
        <w:rPr>
          <w:rFonts w:hint="default" w:ascii="Times New Roman" w:hAnsi="Times New Roman" w:cs="Times New Roman"/>
          <w:color w:val="auto"/>
          <w:sz w:val="24"/>
          <w:szCs w:val="24"/>
          <w:highlight w:val="none"/>
          <w:vertAlign w:val="subscript"/>
        </w:rPr>
        <w:t>0</w:t>
      </w:r>
      <w:r>
        <w:rPr>
          <w:rFonts w:hint="default" w:ascii="Times New Roman" w:hAnsi="Times New Roman" w:cs="Times New Roman"/>
          <w:color w:val="auto"/>
          <w:sz w:val="24"/>
          <w:szCs w:val="24"/>
          <w:highlight w:val="none"/>
        </w:rPr>
        <w:t>)—参考位置r</w:t>
      </w:r>
      <w:r>
        <w:rPr>
          <w:rFonts w:hint="default" w:ascii="Times New Roman" w:hAnsi="Times New Roman" w:cs="Times New Roman"/>
          <w:color w:val="auto"/>
          <w:sz w:val="24"/>
          <w:szCs w:val="24"/>
          <w:highlight w:val="none"/>
          <w:vertAlign w:val="subscript"/>
        </w:rPr>
        <w:t>0</w:t>
      </w:r>
      <w:r>
        <w:rPr>
          <w:rFonts w:hint="default" w:ascii="Times New Roman" w:hAnsi="Times New Roman" w:cs="Times New Roman"/>
          <w:color w:val="auto"/>
          <w:sz w:val="24"/>
          <w:szCs w:val="24"/>
          <w:highlight w:val="none"/>
        </w:rPr>
        <w:t>处的倍频带声压级。</w:t>
      </w:r>
    </w:p>
    <w:p w14:paraId="2E82CABC">
      <w:pPr>
        <w:spacing w:line="360" w:lineRule="auto"/>
        <w:ind w:firstLine="1200" w:firstLineChars="5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r预测点距离声源的距离。</w:t>
      </w:r>
    </w:p>
    <w:p w14:paraId="11D642E9">
      <w:pPr>
        <w:spacing w:line="360" w:lineRule="auto"/>
        <w:ind w:firstLine="1200" w:firstLineChars="5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r</w:t>
      </w:r>
      <w:r>
        <w:rPr>
          <w:rFonts w:hint="default" w:ascii="Times New Roman" w:hAnsi="Times New Roman" w:cs="Times New Roman"/>
          <w:color w:val="auto"/>
          <w:sz w:val="24"/>
          <w:szCs w:val="24"/>
          <w:highlight w:val="none"/>
          <w:vertAlign w:val="subscript"/>
        </w:rPr>
        <w:t>0</w:t>
      </w:r>
      <w:r>
        <w:rPr>
          <w:rFonts w:hint="default" w:ascii="Times New Roman" w:hAnsi="Times New Roman" w:cs="Times New Roman"/>
          <w:color w:val="auto"/>
          <w:sz w:val="24"/>
          <w:szCs w:val="24"/>
          <w:highlight w:val="none"/>
        </w:rPr>
        <w:t>参考位置距离声源的距离。</w:t>
      </w:r>
    </w:p>
    <w:p w14:paraId="11F7B647">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如果已知点声源的倍频带声功率级L</w:t>
      </w:r>
      <w:r>
        <w:rPr>
          <w:rFonts w:hint="default" w:ascii="Times New Roman" w:hAnsi="Times New Roman" w:cs="Times New Roman"/>
          <w:color w:val="auto"/>
          <w:sz w:val="24"/>
          <w:szCs w:val="24"/>
          <w:highlight w:val="none"/>
          <w:vertAlign w:val="subscript"/>
        </w:rPr>
        <w:t>w</w:t>
      </w:r>
      <w:r>
        <w:rPr>
          <w:rFonts w:hint="default" w:ascii="Times New Roman" w:hAnsi="Times New Roman" w:cs="Times New Roman"/>
          <w:color w:val="auto"/>
          <w:sz w:val="24"/>
          <w:szCs w:val="24"/>
          <w:highlight w:val="none"/>
        </w:rPr>
        <w:t>或A声功率级L</w:t>
      </w:r>
      <w:r>
        <w:rPr>
          <w:rFonts w:hint="default" w:ascii="Times New Roman" w:hAnsi="Times New Roman" w:cs="Times New Roman"/>
          <w:color w:val="auto"/>
          <w:sz w:val="24"/>
          <w:szCs w:val="24"/>
          <w:highlight w:val="none"/>
          <w:vertAlign w:val="subscript"/>
        </w:rPr>
        <w:t>Aw</w:t>
      </w:r>
      <w:r>
        <w:rPr>
          <w:rFonts w:hint="default" w:ascii="Times New Roman" w:hAnsi="Times New Roman" w:cs="Times New Roman"/>
          <w:color w:val="auto"/>
          <w:sz w:val="24"/>
          <w:szCs w:val="24"/>
          <w:highlight w:val="none"/>
        </w:rPr>
        <w:t>，且声源处于自由声场，等效公式:</w:t>
      </w:r>
    </w:p>
    <w:p w14:paraId="62C8B92B">
      <w:pPr>
        <w:spacing w:line="360" w:lineRule="auto"/>
        <w:ind w:firstLine="1080" w:firstLineChars="45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Lp(r)=Lw-20lg(r/r</w:t>
      </w:r>
      <w:r>
        <w:rPr>
          <w:rFonts w:hint="default" w:ascii="Times New Roman" w:hAnsi="Times New Roman" w:cs="Times New Roman"/>
          <w:color w:val="auto"/>
          <w:sz w:val="24"/>
          <w:szCs w:val="24"/>
          <w:highlight w:val="none"/>
          <w:vertAlign w:val="subscript"/>
        </w:rPr>
        <w:t>0</w:t>
      </w:r>
      <w:r>
        <w:rPr>
          <w:rFonts w:hint="default" w:ascii="Times New Roman" w:hAnsi="Times New Roman" w:cs="Times New Roman"/>
          <w:color w:val="auto"/>
          <w:sz w:val="24"/>
          <w:szCs w:val="24"/>
          <w:highlight w:val="none"/>
        </w:rPr>
        <w:t>)-11         L</w:t>
      </w:r>
      <w:r>
        <w:rPr>
          <w:rFonts w:hint="default" w:ascii="Times New Roman" w:hAnsi="Times New Roman" w:cs="Times New Roman"/>
          <w:color w:val="auto"/>
          <w:sz w:val="24"/>
          <w:szCs w:val="24"/>
          <w:highlight w:val="none"/>
          <w:vertAlign w:val="subscript"/>
        </w:rPr>
        <w:t>A</w:t>
      </w:r>
      <w:r>
        <w:rPr>
          <w:rFonts w:hint="default" w:ascii="Times New Roman" w:hAnsi="Times New Roman" w:cs="Times New Roman"/>
          <w:color w:val="auto"/>
          <w:sz w:val="24"/>
          <w:szCs w:val="24"/>
          <w:highlight w:val="none"/>
        </w:rPr>
        <w:t>(r)=L</w:t>
      </w:r>
      <w:r>
        <w:rPr>
          <w:rFonts w:hint="default" w:ascii="Times New Roman" w:hAnsi="Times New Roman" w:cs="Times New Roman"/>
          <w:color w:val="auto"/>
          <w:sz w:val="24"/>
          <w:szCs w:val="24"/>
          <w:highlight w:val="none"/>
          <w:vertAlign w:val="subscript"/>
        </w:rPr>
        <w:t>Aw</w:t>
      </w:r>
      <w:r>
        <w:rPr>
          <w:rFonts w:hint="default" w:ascii="Times New Roman" w:hAnsi="Times New Roman" w:cs="Times New Roman"/>
          <w:color w:val="auto"/>
          <w:sz w:val="24"/>
          <w:szCs w:val="24"/>
          <w:highlight w:val="none"/>
        </w:rPr>
        <w:t>-20lg(r/r</w:t>
      </w:r>
      <w:r>
        <w:rPr>
          <w:rFonts w:hint="default" w:ascii="Times New Roman" w:hAnsi="Times New Roman" w:cs="Times New Roman"/>
          <w:color w:val="auto"/>
          <w:sz w:val="24"/>
          <w:szCs w:val="24"/>
          <w:highlight w:val="none"/>
          <w:vertAlign w:val="subscript"/>
        </w:rPr>
        <w:t>0</w:t>
      </w:r>
      <w:r>
        <w:rPr>
          <w:rFonts w:hint="default" w:ascii="Times New Roman" w:hAnsi="Times New Roman" w:cs="Times New Roman"/>
          <w:color w:val="auto"/>
          <w:sz w:val="24"/>
          <w:szCs w:val="24"/>
          <w:highlight w:val="none"/>
        </w:rPr>
        <w:t>)-11</w:t>
      </w:r>
    </w:p>
    <w:p w14:paraId="0AB3D786">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如果声源处于半自由声场，则等效公式：</w:t>
      </w:r>
    </w:p>
    <w:p w14:paraId="350A1822">
      <w:pPr>
        <w:spacing w:line="360" w:lineRule="auto"/>
        <w:ind w:firstLine="1080" w:firstLineChars="45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Lp(r)=Lw-20lg(r/r</w:t>
      </w:r>
      <w:r>
        <w:rPr>
          <w:rFonts w:hint="default" w:ascii="Times New Roman" w:hAnsi="Times New Roman" w:cs="Times New Roman"/>
          <w:color w:val="auto"/>
          <w:sz w:val="24"/>
          <w:szCs w:val="24"/>
          <w:highlight w:val="none"/>
          <w:vertAlign w:val="subscript"/>
        </w:rPr>
        <w:t>0</w:t>
      </w:r>
      <w:r>
        <w:rPr>
          <w:rFonts w:hint="default" w:ascii="Times New Roman" w:hAnsi="Times New Roman" w:cs="Times New Roman"/>
          <w:color w:val="auto"/>
          <w:sz w:val="24"/>
          <w:szCs w:val="24"/>
          <w:highlight w:val="none"/>
        </w:rPr>
        <w:t xml:space="preserve">)-8       </w:t>
      </w: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 xml:space="preserve">  L</w:t>
      </w:r>
      <w:r>
        <w:rPr>
          <w:rFonts w:hint="default" w:ascii="Times New Roman" w:hAnsi="Times New Roman" w:cs="Times New Roman"/>
          <w:color w:val="auto"/>
          <w:sz w:val="24"/>
          <w:szCs w:val="24"/>
          <w:highlight w:val="none"/>
          <w:vertAlign w:val="subscript"/>
        </w:rPr>
        <w:t>A</w:t>
      </w:r>
      <w:r>
        <w:rPr>
          <w:rFonts w:hint="default" w:ascii="Times New Roman" w:hAnsi="Times New Roman" w:cs="Times New Roman"/>
          <w:color w:val="auto"/>
          <w:sz w:val="24"/>
          <w:szCs w:val="24"/>
          <w:highlight w:val="none"/>
        </w:rPr>
        <w:t>(r)=L</w:t>
      </w:r>
      <w:r>
        <w:rPr>
          <w:rFonts w:hint="default" w:ascii="Times New Roman" w:hAnsi="Times New Roman" w:cs="Times New Roman"/>
          <w:color w:val="auto"/>
          <w:sz w:val="24"/>
          <w:szCs w:val="24"/>
          <w:highlight w:val="none"/>
          <w:vertAlign w:val="subscript"/>
        </w:rPr>
        <w:t>Aw</w:t>
      </w:r>
      <w:r>
        <w:rPr>
          <w:rFonts w:hint="default" w:ascii="Times New Roman" w:hAnsi="Times New Roman" w:cs="Times New Roman"/>
          <w:color w:val="auto"/>
          <w:sz w:val="24"/>
          <w:szCs w:val="24"/>
          <w:highlight w:val="none"/>
        </w:rPr>
        <w:t>-20lg(r/r</w:t>
      </w:r>
      <w:r>
        <w:rPr>
          <w:rFonts w:hint="default" w:ascii="Times New Roman" w:hAnsi="Times New Roman" w:cs="Times New Roman"/>
          <w:color w:val="auto"/>
          <w:sz w:val="24"/>
          <w:szCs w:val="24"/>
          <w:highlight w:val="none"/>
          <w:vertAlign w:val="subscript"/>
        </w:rPr>
        <w:t>0</w:t>
      </w:r>
      <w:r>
        <w:rPr>
          <w:rFonts w:hint="default" w:ascii="Times New Roman" w:hAnsi="Times New Roman" w:cs="Times New Roman"/>
          <w:color w:val="auto"/>
          <w:sz w:val="24"/>
          <w:szCs w:val="24"/>
          <w:highlight w:val="none"/>
        </w:rPr>
        <w:t>)-8</w:t>
      </w:r>
    </w:p>
    <w:p w14:paraId="6834005A">
      <w:pPr>
        <w:spacing w:line="360" w:lineRule="auto"/>
        <w:ind w:firstLine="480" w:firstLineChars="200"/>
        <w:outlineLvl w:val="0"/>
        <w:rPr>
          <w:rFonts w:hint="default" w:ascii="Times New Roman" w:hAnsi="Times New Roman" w:eastAsia="黑体" w:cs="Times New Roman"/>
          <w:color w:val="auto"/>
          <w:highlight w:val="none"/>
        </w:rPr>
      </w:pPr>
      <w:r>
        <w:rPr>
          <w:rFonts w:hint="default" w:ascii="Times New Roman" w:hAnsi="Times New Roman" w:cs="Times New Roman"/>
          <w:color w:val="auto"/>
          <w:sz w:val="24"/>
          <w:szCs w:val="24"/>
          <w:highlight w:val="none"/>
        </w:rPr>
        <w:t>（3）预测结果与评价</w:t>
      </w:r>
    </w:p>
    <w:p w14:paraId="1EDBA932">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从下表可以中看出，在采取降噪措施后，</w:t>
      </w:r>
      <w:r>
        <w:rPr>
          <w:rFonts w:hint="eastAsia" w:ascii="宋体" w:hAnsi="宋体"/>
          <w:color w:val="auto"/>
          <w:sz w:val="24"/>
          <w:highlight w:val="none"/>
        </w:rPr>
        <w:t>各噪声源对院界噪声贡献值在</w:t>
      </w:r>
      <w:r>
        <w:rPr>
          <w:rFonts w:hint="eastAsia" w:cs="Times New Roman"/>
          <w:color w:val="auto"/>
          <w:sz w:val="24"/>
          <w:highlight w:val="none"/>
          <w:lang w:val="en-US" w:eastAsia="zh-CN"/>
        </w:rPr>
        <w:t>22.4</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39</w:t>
      </w:r>
      <w:r>
        <w:rPr>
          <w:rFonts w:hint="default" w:ascii="Times New Roman" w:hAnsi="Times New Roman" w:cs="Times New Roman"/>
          <w:color w:val="auto"/>
          <w:sz w:val="24"/>
          <w:highlight w:val="none"/>
        </w:rPr>
        <w:t>dB（A）</w:t>
      </w:r>
      <w:r>
        <w:rPr>
          <w:rFonts w:hint="eastAsia" w:ascii="宋体" w:hAnsi="宋体"/>
          <w:color w:val="auto"/>
          <w:sz w:val="24"/>
          <w:highlight w:val="none"/>
        </w:rPr>
        <w:t>之间，</w:t>
      </w:r>
      <w:r>
        <w:rPr>
          <w:rFonts w:hint="default" w:ascii="Times New Roman" w:hAnsi="Times New Roman" w:cs="Times New Roman"/>
          <w:color w:val="auto"/>
          <w:sz w:val="24"/>
          <w:szCs w:val="24"/>
          <w:highlight w:val="none"/>
        </w:rPr>
        <w:t>厂界噪声均满足《工业企业厂界环境噪声排放标准》(GBl2348-2008)</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类标准限值，靠近道路一侧满足4类标准限值，设备噪声对声环境影响较小。</w:t>
      </w:r>
    </w:p>
    <w:p w14:paraId="656D8B2D">
      <w:pPr>
        <w:pStyle w:val="2"/>
        <w:rPr>
          <w:rFonts w:hint="default" w:ascii="Times New Roman" w:hAnsi="Times New Roman" w:cs="Times New Roman"/>
          <w:color w:val="auto"/>
          <w:sz w:val="24"/>
          <w:szCs w:val="24"/>
          <w:highlight w:val="none"/>
        </w:rPr>
      </w:pPr>
    </w:p>
    <w:p w14:paraId="7CEFEE85">
      <w:pPr>
        <w:spacing w:line="360" w:lineRule="auto"/>
        <w:jc w:val="both"/>
        <w:rPr>
          <w:rFonts w:hint="default"/>
          <w:color w:val="auto"/>
          <w:highlight w:val="none"/>
        </w:rPr>
      </w:pPr>
      <w:r>
        <w:rPr>
          <w:rFonts w:hint="default" w:ascii="Times New Roman" w:hAnsi="Times New Roman" w:cs="Times New Roman"/>
          <w:b/>
          <w:bCs/>
          <w:color w:val="auto"/>
          <w:highlight w:val="none"/>
        </w:rPr>
        <w:t>表</w:t>
      </w:r>
      <w:r>
        <w:rPr>
          <w:rFonts w:hint="eastAsia" w:cs="Times New Roman"/>
          <w:b/>
          <w:bCs/>
          <w:color w:val="auto"/>
          <w:highlight w:val="none"/>
          <w:lang w:val="en-US" w:eastAsia="zh-CN"/>
        </w:rPr>
        <w:t xml:space="preserve">38                      </w:t>
      </w:r>
      <w:r>
        <w:rPr>
          <w:rFonts w:hint="default" w:ascii="Times New Roman" w:hAnsi="Times New Roman" w:cs="Times New Roman"/>
          <w:b/>
          <w:bCs/>
          <w:color w:val="auto"/>
          <w:highlight w:val="none"/>
        </w:rPr>
        <w:t>各类机械设备的噪声影响计算结果</w:t>
      </w:r>
    </w:p>
    <w:tbl>
      <w:tblPr>
        <w:tblStyle w:val="24"/>
        <w:tblW w:w="924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0" w:type="dxa"/>
          <w:bottom w:w="0" w:type="dxa"/>
          <w:right w:w="0" w:type="dxa"/>
        </w:tblCellMar>
      </w:tblPr>
      <w:tblGrid>
        <w:gridCol w:w="881"/>
        <w:gridCol w:w="1172"/>
        <w:gridCol w:w="885"/>
        <w:gridCol w:w="804"/>
        <w:gridCol w:w="1512"/>
        <w:gridCol w:w="988"/>
        <w:gridCol w:w="800"/>
        <w:gridCol w:w="934"/>
        <w:gridCol w:w="640"/>
        <w:gridCol w:w="632"/>
      </w:tblGrid>
      <w:tr w14:paraId="5FDAD366">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779" w:hRule="exact"/>
          <w:jc w:val="center"/>
        </w:trPr>
        <w:tc>
          <w:tcPr>
            <w:tcW w:w="881" w:type="dxa"/>
            <w:tcBorders>
              <w:tl2br w:val="nil"/>
              <w:tr2bl w:val="nil"/>
            </w:tcBorders>
            <w:vAlign w:val="center"/>
          </w:tcPr>
          <w:p w14:paraId="7C7C839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评价</w:t>
            </w:r>
          </w:p>
          <w:p w14:paraId="1A9F912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点</w:t>
            </w:r>
          </w:p>
        </w:tc>
        <w:tc>
          <w:tcPr>
            <w:tcW w:w="1172" w:type="dxa"/>
            <w:tcBorders>
              <w:tl2br w:val="nil"/>
              <w:tr2bl w:val="nil"/>
            </w:tcBorders>
            <w:vAlign w:val="center"/>
          </w:tcPr>
          <w:p w14:paraId="05FA06C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污染源</w:t>
            </w:r>
          </w:p>
          <w:p w14:paraId="4B2DB17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名称</w:t>
            </w:r>
          </w:p>
        </w:tc>
        <w:tc>
          <w:tcPr>
            <w:tcW w:w="885" w:type="dxa"/>
            <w:tcBorders>
              <w:tl2br w:val="nil"/>
              <w:tr2bl w:val="nil"/>
            </w:tcBorders>
            <w:vAlign w:val="center"/>
          </w:tcPr>
          <w:p w14:paraId="2C17DBF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spacing w:val="-20"/>
                <w:highlight w:val="none"/>
              </w:rPr>
            </w:pPr>
            <w:r>
              <w:rPr>
                <w:rFonts w:hint="default" w:ascii="Times New Roman" w:hAnsi="Times New Roman" w:cs="Times New Roman"/>
                <w:color w:val="auto"/>
                <w:spacing w:val="-20"/>
                <w:highlight w:val="none"/>
              </w:rPr>
              <w:t>源强</w:t>
            </w:r>
          </w:p>
          <w:p w14:paraId="598DB6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spacing w:val="-20"/>
                <w:highlight w:val="none"/>
              </w:rPr>
            </w:pPr>
            <w:r>
              <w:rPr>
                <w:rFonts w:hint="default" w:ascii="Times New Roman" w:hAnsi="Times New Roman" w:cs="Times New Roman"/>
                <w:color w:val="auto"/>
                <w:spacing w:val="-20"/>
                <w:highlight w:val="none"/>
              </w:rPr>
              <w:t>dB（A）</w:t>
            </w:r>
          </w:p>
        </w:tc>
        <w:tc>
          <w:tcPr>
            <w:tcW w:w="804" w:type="dxa"/>
            <w:tcBorders>
              <w:tl2br w:val="nil"/>
              <w:tr2bl w:val="nil"/>
            </w:tcBorders>
            <w:vAlign w:val="center"/>
          </w:tcPr>
          <w:p w14:paraId="39E1D0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pacing w:val="-20"/>
                <w:highlight w:val="none"/>
                <w:lang w:eastAsia="zh-CN"/>
              </w:rPr>
            </w:pPr>
            <w:r>
              <w:rPr>
                <w:rFonts w:hint="eastAsia" w:cs="Times New Roman"/>
                <w:color w:val="auto"/>
                <w:spacing w:val="-20"/>
                <w:highlight w:val="none"/>
                <w:lang w:eastAsia="zh-CN"/>
              </w:rPr>
              <w:t>数量</w:t>
            </w:r>
          </w:p>
        </w:tc>
        <w:tc>
          <w:tcPr>
            <w:tcW w:w="1512" w:type="dxa"/>
            <w:tcBorders>
              <w:tl2br w:val="nil"/>
              <w:tr2bl w:val="nil"/>
            </w:tcBorders>
            <w:vAlign w:val="center"/>
          </w:tcPr>
          <w:p w14:paraId="15DA67E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降噪措施</w:t>
            </w:r>
          </w:p>
          <w:p w14:paraId="3416160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消减量</w:t>
            </w:r>
            <w:r>
              <w:rPr>
                <w:rFonts w:hint="default" w:ascii="Times New Roman" w:hAnsi="Times New Roman" w:cs="Times New Roman"/>
                <w:color w:val="auto"/>
                <w:spacing w:val="-20"/>
                <w:highlight w:val="none"/>
              </w:rPr>
              <w:t>dB（A）</w:t>
            </w:r>
          </w:p>
        </w:tc>
        <w:tc>
          <w:tcPr>
            <w:tcW w:w="988" w:type="dxa"/>
            <w:tcBorders>
              <w:tl2br w:val="nil"/>
              <w:tr2bl w:val="nil"/>
            </w:tcBorders>
            <w:vAlign w:val="center"/>
          </w:tcPr>
          <w:p w14:paraId="5A0BDB3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衰减距离</w:t>
            </w:r>
          </w:p>
          <w:p w14:paraId="630B8A7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spacing w:val="-20"/>
                <w:highlight w:val="none"/>
              </w:rPr>
            </w:pPr>
            <w:r>
              <w:rPr>
                <w:rFonts w:hint="default" w:ascii="Times New Roman" w:hAnsi="Times New Roman" w:cs="Times New Roman"/>
                <w:color w:val="auto"/>
                <w:spacing w:val="-20"/>
                <w:highlight w:val="none"/>
              </w:rPr>
              <w:t>（m</w:t>
            </w:r>
            <w:r>
              <w:rPr>
                <w:rFonts w:hint="default" w:ascii="Times New Roman" w:hAnsi="Times New Roman" w:cs="Times New Roman"/>
                <w:color w:val="auto"/>
                <w:highlight w:val="none"/>
              </w:rPr>
              <w:t>）</w:t>
            </w:r>
          </w:p>
        </w:tc>
        <w:tc>
          <w:tcPr>
            <w:tcW w:w="800" w:type="dxa"/>
            <w:tcBorders>
              <w:tl2br w:val="nil"/>
              <w:tr2bl w:val="nil"/>
            </w:tcBorders>
            <w:vAlign w:val="center"/>
          </w:tcPr>
          <w:p w14:paraId="1128ABC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时段</w:t>
            </w:r>
          </w:p>
        </w:tc>
        <w:tc>
          <w:tcPr>
            <w:tcW w:w="934" w:type="dxa"/>
            <w:tcBorders>
              <w:tl2br w:val="nil"/>
              <w:tr2bl w:val="nil"/>
            </w:tcBorders>
            <w:vAlign w:val="center"/>
          </w:tcPr>
          <w:p w14:paraId="3EA38AA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spacing w:val="-20"/>
                <w:highlight w:val="none"/>
              </w:rPr>
            </w:pPr>
            <w:r>
              <w:rPr>
                <w:rFonts w:hint="default" w:ascii="Times New Roman" w:hAnsi="Times New Roman" w:cs="Times New Roman"/>
                <w:color w:val="auto"/>
                <w:spacing w:val="-20"/>
                <w:highlight w:val="none"/>
              </w:rPr>
              <w:t>预测值</w:t>
            </w:r>
          </w:p>
          <w:p w14:paraId="6A4ED9B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spacing w:val="-20"/>
                <w:highlight w:val="none"/>
              </w:rPr>
            </w:pPr>
            <w:r>
              <w:rPr>
                <w:rFonts w:hint="default" w:ascii="Times New Roman" w:hAnsi="Times New Roman" w:cs="Times New Roman"/>
                <w:color w:val="auto"/>
                <w:spacing w:val="-20"/>
                <w:highlight w:val="none"/>
              </w:rPr>
              <w:t>dB（A）</w:t>
            </w:r>
          </w:p>
        </w:tc>
        <w:tc>
          <w:tcPr>
            <w:tcW w:w="640" w:type="dxa"/>
            <w:tcBorders>
              <w:tl2br w:val="nil"/>
              <w:tr2bl w:val="nil"/>
            </w:tcBorders>
            <w:vAlign w:val="center"/>
          </w:tcPr>
          <w:p w14:paraId="09B0FEC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标准</w:t>
            </w:r>
          </w:p>
        </w:tc>
        <w:tc>
          <w:tcPr>
            <w:tcW w:w="632" w:type="dxa"/>
            <w:tcBorders>
              <w:tl2br w:val="nil"/>
              <w:tr2bl w:val="nil"/>
            </w:tcBorders>
            <w:vAlign w:val="center"/>
          </w:tcPr>
          <w:p w14:paraId="1BD64EA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评价</w:t>
            </w:r>
          </w:p>
        </w:tc>
      </w:tr>
      <w:tr w14:paraId="4F35727B">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253" w:hRule="atLeast"/>
          <w:jc w:val="center"/>
        </w:trPr>
        <w:tc>
          <w:tcPr>
            <w:tcW w:w="881" w:type="dxa"/>
            <w:vMerge w:val="restart"/>
            <w:tcBorders>
              <w:tl2br w:val="nil"/>
              <w:tr2bl w:val="nil"/>
            </w:tcBorders>
            <w:vAlign w:val="center"/>
          </w:tcPr>
          <w:p w14:paraId="34DF559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spacing w:val="-20"/>
                <w:highlight w:val="none"/>
              </w:rPr>
            </w:pPr>
            <w:r>
              <w:rPr>
                <w:rFonts w:hint="eastAsia" w:cs="Times New Roman"/>
                <w:color w:val="auto"/>
                <w:spacing w:val="-20"/>
                <w:highlight w:val="none"/>
                <w:lang w:eastAsia="zh-CN"/>
              </w:rPr>
              <w:t>东</w:t>
            </w:r>
            <w:r>
              <w:rPr>
                <w:rFonts w:hint="default" w:ascii="Times New Roman" w:hAnsi="Times New Roman" w:cs="Times New Roman"/>
                <w:color w:val="auto"/>
                <w:spacing w:val="-20"/>
                <w:highlight w:val="none"/>
              </w:rPr>
              <w:t>界</w:t>
            </w:r>
          </w:p>
        </w:tc>
        <w:tc>
          <w:tcPr>
            <w:tcW w:w="1172" w:type="dxa"/>
            <w:tcBorders>
              <w:tl2br w:val="nil"/>
              <w:tr2bl w:val="nil"/>
            </w:tcBorders>
            <w:vAlign w:val="center"/>
          </w:tcPr>
          <w:p w14:paraId="60C1C0F2">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color w:val="auto"/>
                <w:highlight w:val="none"/>
                <w:lang w:eastAsia="zh-CN"/>
              </w:rPr>
            </w:pPr>
            <w:r>
              <w:rPr>
                <w:rFonts w:hint="eastAsia" w:cs="Times New Roman"/>
                <w:color w:val="auto"/>
                <w:szCs w:val="21"/>
                <w:highlight w:val="none"/>
                <w:lang w:eastAsia="zh-CN"/>
              </w:rPr>
              <w:t>水泵</w:t>
            </w:r>
          </w:p>
        </w:tc>
        <w:tc>
          <w:tcPr>
            <w:tcW w:w="885" w:type="dxa"/>
            <w:tcBorders>
              <w:tl2br w:val="nil"/>
              <w:tr2bl w:val="nil"/>
            </w:tcBorders>
            <w:vAlign w:val="center"/>
          </w:tcPr>
          <w:p w14:paraId="47801D9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highlight w:val="none"/>
                <w:lang w:val="en-US" w:eastAsia="zh-CN"/>
              </w:rPr>
            </w:pPr>
            <w:r>
              <w:rPr>
                <w:rFonts w:hint="eastAsia" w:cs="Times New Roman"/>
                <w:color w:val="auto"/>
                <w:sz w:val="21"/>
                <w:szCs w:val="21"/>
                <w:highlight w:val="none"/>
                <w:lang w:val="en-US" w:eastAsia="zh-CN"/>
              </w:rPr>
              <w:t>70</w:t>
            </w:r>
          </w:p>
        </w:tc>
        <w:tc>
          <w:tcPr>
            <w:tcW w:w="804" w:type="dxa"/>
            <w:tcBorders>
              <w:tl2br w:val="nil"/>
              <w:tr2bl w:val="nil"/>
            </w:tcBorders>
            <w:vAlign w:val="center"/>
          </w:tcPr>
          <w:p w14:paraId="5FDB972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2</w:t>
            </w:r>
          </w:p>
        </w:tc>
        <w:tc>
          <w:tcPr>
            <w:tcW w:w="1512" w:type="dxa"/>
            <w:vMerge w:val="restart"/>
            <w:tcBorders>
              <w:tl2br w:val="nil"/>
              <w:tr2bl w:val="nil"/>
            </w:tcBorders>
            <w:vAlign w:val="center"/>
          </w:tcPr>
          <w:p w14:paraId="3978379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减振、隔声25</w:t>
            </w:r>
          </w:p>
        </w:tc>
        <w:tc>
          <w:tcPr>
            <w:tcW w:w="988" w:type="dxa"/>
            <w:tcBorders>
              <w:tl2br w:val="nil"/>
              <w:tr2bl w:val="nil"/>
            </w:tcBorders>
            <w:vAlign w:val="center"/>
          </w:tcPr>
          <w:p w14:paraId="798FE7E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3</w:t>
            </w:r>
          </w:p>
        </w:tc>
        <w:tc>
          <w:tcPr>
            <w:tcW w:w="800" w:type="dxa"/>
            <w:tcBorders>
              <w:tl2br w:val="nil"/>
              <w:tr2bl w:val="nil"/>
            </w:tcBorders>
            <w:vAlign w:val="center"/>
          </w:tcPr>
          <w:p w14:paraId="3565C0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昼</w:t>
            </w:r>
          </w:p>
        </w:tc>
        <w:tc>
          <w:tcPr>
            <w:tcW w:w="934" w:type="dxa"/>
            <w:tcBorders>
              <w:tl2br w:val="nil"/>
              <w:tr2bl w:val="nil"/>
            </w:tcBorders>
            <w:vAlign w:val="center"/>
          </w:tcPr>
          <w:p w14:paraId="27D391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38.6</w:t>
            </w:r>
          </w:p>
        </w:tc>
        <w:tc>
          <w:tcPr>
            <w:tcW w:w="640" w:type="dxa"/>
            <w:tcBorders>
              <w:tl2br w:val="nil"/>
              <w:tr2bl w:val="nil"/>
            </w:tcBorders>
            <w:vAlign w:val="center"/>
          </w:tcPr>
          <w:p w14:paraId="0DBB02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632" w:type="dxa"/>
            <w:vMerge w:val="restart"/>
            <w:tcBorders>
              <w:tl2br w:val="nil"/>
              <w:tr2bl w:val="nil"/>
            </w:tcBorders>
            <w:vAlign w:val="center"/>
          </w:tcPr>
          <w:p w14:paraId="1FBF94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3993357A">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276" w:hRule="atLeast"/>
          <w:jc w:val="center"/>
        </w:trPr>
        <w:tc>
          <w:tcPr>
            <w:tcW w:w="881" w:type="dxa"/>
            <w:vMerge w:val="continue"/>
            <w:tcBorders>
              <w:tl2br w:val="nil"/>
              <w:tr2bl w:val="nil"/>
            </w:tcBorders>
            <w:vAlign w:val="center"/>
          </w:tcPr>
          <w:p w14:paraId="6A9CEDE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spacing w:val="-20"/>
                <w:highlight w:val="none"/>
              </w:rPr>
            </w:pPr>
          </w:p>
        </w:tc>
        <w:tc>
          <w:tcPr>
            <w:tcW w:w="1172" w:type="dxa"/>
            <w:tcBorders>
              <w:tl2br w:val="nil"/>
              <w:tr2bl w:val="nil"/>
            </w:tcBorders>
            <w:vAlign w:val="center"/>
          </w:tcPr>
          <w:p w14:paraId="17E28C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auto"/>
                <w:spacing w:val="-20"/>
                <w:highlight w:val="none"/>
                <w:lang w:eastAsia="zh-CN"/>
              </w:rPr>
            </w:pPr>
            <w:r>
              <w:rPr>
                <w:rFonts w:hint="eastAsia" w:cs="Times New Roman"/>
                <w:color w:val="auto"/>
                <w:szCs w:val="21"/>
                <w:highlight w:val="none"/>
                <w:lang w:eastAsia="zh-CN"/>
              </w:rPr>
              <w:t>冷却机组</w:t>
            </w:r>
          </w:p>
        </w:tc>
        <w:tc>
          <w:tcPr>
            <w:tcW w:w="885" w:type="dxa"/>
            <w:tcBorders>
              <w:tl2br w:val="nil"/>
              <w:tr2bl w:val="nil"/>
            </w:tcBorders>
            <w:vAlign w:val="center"/>
          </w:tcPr>
          <w:p w14:paraId="3EE4EDBC">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804" w:type="dxa"/>
            <w:tcBorders>
              <w:tl2br w:val="nil"/>
              <w:tr2bl w:val="nil"/>
            </w:tcBorders>
            <w:vAlign w:val="center"/>
          </w:tcPr>
          <w:p w14:paraId="637AAC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1</w:t>
            </w:r>
          </w:p>
        </w:tc>
        <w:tc>
          <w:tcPr>
            <w:tcW w:w="1512" w:type="dxa"/>
            <w:vMerge w:val="continue"/>
            <w:tcBorders>
              <w:tl2br w:val="nil"/>
              <w:tr2bl w:val="nil"/>
            </w:tcBorders>
            <w:vAlign w:val="center"/>
          </w:tcPr>
          <w:p w14:paraId="1C48BC3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p>
        </w:tc>
        <w:tc>
          <w:tcPr>
            <w:tcW w:w="988" w:type="dxa"/>
            <w:tcBorders>
              <w:tl2br w:val="nil"/>
              <w:tr2bl w:val="nil"/>
            </w:tcBorders>
            <w:vAlign w:val="center"/>
          </w:tcPr>
          <w:p w14:paraId="79AA7FA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22</w:t>
            </w:r>
          </w:p>
        </w:tc>
        <w:tc>
          <w:tcPr>
            <w:tcW w:w="800" w:type="dxa"/>
            <w:tcBorders>
              <w:tl2br w:val="nil"/>
              <w:tr2bl w:val="nil"/>
            </w:tcBorders>
            <w:vAlign w:val="center"/>
          </w:tcPr>
          <w:p w14:paraId="2C47B92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highlight w:val="none"/>
                <w:lang w:eastAsia="zh-CN"/>
              </w:rPr>
            </w:pPr>
            <w:r>
              <w:rPr>
                <w:rFonts w:hint="eastAsia" w:cs="Times New Roman"/>
                <w:color w:val="auto"/>
                <w:highlight w:val="none"/>
                <w:lang w:eastAsia="zh-CN"/>
              </w:rPr>
              <w:t>夜</w:t>
            </w:r>
          </w:p>
        </w:tc>
        <w:tc>
          <w:tcPr>
            <w:tcW w:w="934" w:type="dxa"/>
            <w:tcBorders>
              <w:tl2br w:val="nil"/>
              <w:tr2bl w:val="nil"/>
            </w:tcBorders>
            <w:vAlign w:val="center"/>
          </w:tcPr>
          <w:p w14:paraId="5E206CC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38.6</w:t>
            </w:r>
          </w:p>
        </w:tc>
        <w:tc>
          <w:tcPr>
            <w:tcW w:w="640" w:type="dxa"/>
            <w:tcBorders>
              <w:tl2br w:val="nil"/>
              <w:tr2bl w:val="nil"/>
            </w:tcBorders>
            <w:vAlign w:val="center"/>
          </w:tcPr>
          <w:p w14:paraId="049E27C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50</w:t>
            </w:r>
          </w:p>
        </w:tc>
        <w:tc>
          <w:tcPr>
            <w:tcW w:w="632" w:type="dxa"/>
            <w:vMerge w:val="continue"/>
            <w:tcBorders>
              <w:tl2br w:val="nil"/>
              <w:tr2bl w:val="nil"/>
            </w:tcBorders>
            <w:vAlign w:val="center"/>
          </w:tcPr>
          <w:p w14:paraId="45B261D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p>
        </w:tc>
      </w:tr>
      <w:tr w14:paraId="49F106D9">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270" w:hRule="atLeast"/>
          <w:jc w:val="center"/>
        </w:trPr>
        <w:tc>
          <w:tcPr>
            <w:tcW w:w="881" w:type="dxa"/>
            <w:vMerge w:val="restart"/>
            <w:tcBorders>
              <w:tl2br w:val="nil"/>
              <w:tr2bl w:val="nil"/>
            </w:tcBorders>
            <w:vAlign w:val="center"/>
          </w:tcPr>
          <w:p w14:paraId="18306A9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spacing w:val="-20"/>
                <w:highlight w:val="none"/>
              </w:rPr>
            </w:pPr>
            <w:r>
              <w:rPr>
                <w:rFonts w:hint="eastAsia" w:cs="Times New Roman"/>
                <w:color w:val="auto"/>
                <w:spacing w:val="-20"/>
                <w:highlight w:val="none"/>
                <w:lang w:eastAsia="zh-CN"/>
              </w:rPr>
              <w:t>南</w:t>
            </w:r>
            <w:r>
              <w:rPr>
                <w:rFonts w:hint="default" w:ascii="Times New Roman" w:hAnsi="Times New Roman" w:cs="Times New Roman"/>
                <w:color w:val="auto"/>
                <w:spacing w:val="-20"/>
                <w:highlight w:val="none"/>
              </w:rPr>
              <w:t>界</w:t>
            </w:r>
          </w:p>
        </w:tc>
        <w:tc>
          <w:tcPr>
            <w:tcW w:w="1172" w:type="dxa"/>
            <w:tcBorders>
              <w:tl2br w:val="nil"/>
              <w:tr2bl w:val="nil"/>
            </w:tcBorders>
            <w:vAlign w:val="center"/>
          </w:tcPr>
          <w:p w14:paraId="2F36660E">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pacing w:val="-20"/>
                <w:highlight w:val="none"/>
                <w:lang w:eastAsia="zh-CN"/>
              </w:rPr>
            </w:pPr>
            <w:r>
              <w:rPr>
                <w:rFonts w:hint="eastAsia" w:cs="Times New Roman"/>
                <w:color w:val="auto"/>
                <w:szCs w:val="21"/>
                <w:highlight w:val="none"/>
                <w:lang w:eastAsia="zh-CN"/>
              </w:rPr>
              <w:t>水泵</w:t>
            </w:r>
          </w:p>
        </w:tc>
        <w:tc>
          <w:tcPr>
            <w:tcW w:w="885" w:type="dxa"/>
            <w:tcBorders>
              <w:tl2br w:val="nil"/>
              <w:tr2bl w:val="nil"/>
            </w:tcBorders>
            <w:vAlign w:val="center"/>
          </w:tcPr>
          <w:p w14:paraId="6DF9BF0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highlight w:val="none"/>
              </w:rPr>
            </w:pPr>
            <w:r>
              <w:rPr>
                <w:rFonts w:hint="eastAsia" w:cs="Times New Roman"/>
                <w:color w:val="auto"/>
                <w:sz w:val="21"/>
                <w:szCs w:val="21"/>
                <w:highlight w:val="none"/>
                <w:lang w:val="en-US" w:eastAsia="zh-CN"/>
              </w:rPr>
              <w:t>70</w:t>
            </w:r>
          </w:p>
        </w:tc>
        <w:tc>
          <w:tcPr>
            <w:tcW w:w="804" w:type="dxa"/>
            <w:tcBorders>
              <w:tl2br w:val="nil"/>
              <w:tr2bl w:val="nil"/>
            </w:tcBorders>
            <w:vAlign w:val="center"/>
          </w:tcPr>
          <w:p w14:paraId="724E061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2</w:t>
            </w:r>
          </w:p>
        </w:tc>
        <w:tc>
          <w:tcPr>
            <w:tcW w:w="1512" w:type="dxa"/>
            <w:vMerge w:val="restart"/>
            <w:tcBorders>
              <w:tl2br w:val="nil"/>
              <w:tr2bl w:val="nil"/>
            </w:tcBorders>
            <w:vAlign w:val="center"/>
          </w:tcPr>
          <w:p w14:paraId="04E82D8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减振、隔声25</w:t>
            </w:r>
          </w:p>
        </w:tc>
        <w:tc>
          <w:tcPr>
            <w:tcW w:w="988" w:type="dxa"/>
            <w:tcBorders>
              <w:tl2br w:val="nil"/>
              <w:tr2bl w:val="nil"/>
            </w:tcBorders>
            <w:vAlign w:val="center"/>
          </w:tcPr>
          <w:p w14:paraId="3C33D36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4</w:t>
            </w:r>
          </w:p>
        </w:tc>
        <w:tc>
          <w:tcPr>
            <w:tcW w:w="800" w:type="dxa"/>
            <w:tcBorders>
              <w:tl2br w:val="nil"/>
              <w:tr2bl w:val="nil"/>
            </w:tcBorders>
            <w:vAlign w:val="center"/>
          </w:tcPr>
          <w:p w14:paraId="2FFFCED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昼</w:t>
            </w:r>
          </w:p>
        </w:tc>
        <w:tc>
          <w:tcPr>
            <w:tcW w:w="934" w:type="dxa"/>
            <w:tcBorders>
              <w:tl2br w:val="nil"/>
              <w:tr2bl w:val="nil"/>
            </w:tcBorders>
            <w:vAlign w:val="center"/>
          </w:tcPr>
          <w:p w14:paraId="01FB0E2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39</w:t>
            </w:r>
          </w:p>
        </w:tc>
        <w:tc>
          <w:tcPr>
            <w:tcW w:w="640" w:type="dxa"/>
            <w:tcBorders>
              <w:tl2br w:val="nil"/>
              <w:tr2bl w:val="nil"/>
            </w:tcBorders>
            <w:vAlign w:val="center"/>
          </w:tcPr>
          <w:p w14:paraId="350B93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70</w:t>
            </w:r>
          </w:p>
        </w:tc>
        <w:tc>
          <w:tcPr>
            <w:tcW w:w="632" w:type="dxa"/>
            <w:vMerge w:val="restart"/>
            <w:tcBorders>
              <w:tl2br w:val="nil"/>
              <w:tr2bl w:val="nil"/>
            </w:tcBorders>
            <w:vAlign w:val="center"/>
          </w:tcPr>
          <w:p w14:paraId="6D3E7AB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0902F921">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103" w:hRule="atLeast"/>
          <w:jc w:val="center"/>
        </w:trPr>
        <w:tc>
          <w:tcPr>
            <w:tcW w:w="881" w:type="dxa"/>
            <w:vMerge w:val="continue"/>
            <w:tcBorders>
              <w:tl2br w:val="nil"/>
              <w:tr2bl w:val="nil"/>
            </w:tcBorders>
            <w:vAlign w:val="center"/>
          </w:tcPr>
          <w:p w14:paraId="63D82DA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spacing w:val="-20"/>
                <w:highlight w:val="none"/>
              </w:rPr>
            </w:pPr>
          </w:p>
        </w:tc>
        <w:tc>
          <w:tcPr>
            <w:tcW w:w="1172" w:type="dxa"/>
            <w:tcBorders>
              <w:tl2br w:val="nil"/>
              <w:tr2bl w:val="nil"/>
            </w:tcBorders>
            <w:vAlign w:val="center"/>
          </w:tcPr>
          <w:p w14:paraId="730553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pacing w:val="-20"/>
                <w:highlight w:val="none"/>
                <w:lang w:eastAsia="zh-CN"/>
              </w:rPr>
            </w:pPr>
            <w:r>
              <w:rPr>
                <w:rFonts w:hint="eastAsia" w:cs="Times New Roman"/>
                <w:color w:val="auto"/>
                <w:szCs w:val="21"/>
                <w:highlight w:val="none"/>
                <w:lang w:eastAsia="zh-CN"/>
              </w:rPr>
              <w:t>冷却机组</w:t>
            </w:r>
          </w:p>
        </w:tc>
        <w:tc>
          <w:tcPr>
            <w:tcW w:w="885" w:type="dxa"/>
            <w:tcBorders>
              <w:tl2br w:val="nil"/>
              <w:tr2bl w:val="nil"/>
            </w:tcBorders>
            <w:vAlign w:val="center"/>
          </w:tcPr>
          <w:p w14:paraId="5899DD68">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default" w:ascii="Times New Roman" w:hAnsi="Times New Roman" w:eastAsia="宋体" w:cs="Times New Roman"/>
                <w:color w:val="auto"/>
                <w:highlight w:val="none"/>
              </w:rPr>
            </w:pPr>
            <w:r>
              <w:rPr>
                <w:rFonts w:hint="eastAsia" w:cs="Times New Roman"/>
                <w:color w:val="auto"/>
                <w:sz w:val="21"/>
                <w:szCs w:val="21"/>
                <w:highlight w:val="none"/>
                <w:lang w:val="en-US" w:eastAsia="zh-CN"/>
              </w:rPr>
              <w:t>75</w:t>
            </w:r>
          </w:p>
        </w:tc>
        <w:tc>
          <w:tcPr>
            <w:tcW w:w="804" w:type="dxa"/>
            <w:tcBorders>
              <w:tl2br w:val="nil"/>
              <w:tr2bl w:val="nil"/>
            </w:tcBorders>
            <w:vAlign w:val="center"/>
          </w:tcPr>
          <w:p w14:paraId="214F35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1</w:t>
            </w:r>
          </w:p>
        </w:tc>
        <w:tc>
          <w:tcPr>
            <w:tcW w:w="1512" w:type="dxa"/>
            <w:vMerge w:val="continue"/>
            <w:tcBorders>
              <w:tl2br w:val="nil"/>
              <w:tr2bl w:val="nil"/>
            </w:tcBorders>
            <w:vAlign w:val="center"/>
          </w:tcPr>
          <w:p w14:paraId="7AB6CCE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p>
        </w:tc>
        <w:tc>
          <w:tcPr>
            <w:tcW w:w="988" w:type="dxa"/>
            <w:tcBorders>
              <w:tl2br w:val="nil"/>
              <w:tr2bl w:val="nil"/>
            </w:tcBorders>
            <w:vAlign w:val="center"/>
          </w:tcPr>
          <w:p w14:paraId="3EAECE6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5</w:t>
            </w:r>
          </w:p>
        </w:tc>
        <w:tc>
          <w:tcPr>
            <w:tcW w:w="800" w:type="dxa"/>
            <w:tcBorders>
              <w:tl2br w:val="nil"/>
              <w:tr2bl w:val="nil"/>
            </w:tcBorders>
            <w:vAlign w:val="center"/>
          </w:tcPr>
          <w:p w14:paraId="7D337E4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eastAsia" w:cs="Times New Roman"/>
                <w:color w:val="auto"/>
                <w:highlight w:val="none"/>
                <w:lang w:eastAsia="zh-CN"/>
              </w:rPr>
              <w:t>夜</w:t>
            </w:r>
          </w:p>
        </w:tc>
        <w:tc>
          <w:tcPr>
            <w:tcW w:w="934" w:type="dxa"/>
            <w:tcBorders>
              <w:tl2br w:val="nil"/>
              <w:tr2bl w:val="nil"/>
            </w:tcBorders>
            <w:vAlign w:val="center"/>
          </w:tcPr>
          <w:p w14:paraId="5627E3F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39</w:t>
            </w:r>
          </w:p>
        </w:tc>
        <w:tc>
          <w:tcPr>
            <w:tcW w:w="640" w:type="dxa"/>
            <w:tcBorders>
              <w:tl2br w:val="nil"/>
              <w:tr2bl w:val="nil"/>
            </w:tcBorders>
            <w:vAlign w:val="center"/>
          </w:tcPr>
          <w:p w14:paraId="14C417A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55</w:t>
            </w:r>
          </w:p>
        </w:tc>
        <w:tc>
          <w:tcPr>
            <w:tcW w:w="632" w:type="dxa"/>
            <w:vMerge w:val="continue"/>
            <w:tcBorders>
              <w:tl2br w:val="nil"/>
              <w:tr2bl w:val="nil"/>
            </w:tcBorders>
            <w:vAlign w:val="center"/>
          </w:tcPr>
          <w:p w14:paraId="6A7F449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p>
        </w:tc>
      </w:tr>
      <w:tr w14:paraId="24C980F2">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263" w:hRule="atLeast"/>
          <w:jc w:val="center"/>
        </w:trPr>
        <w:tc>
          <w:tcPr>
            <w:tcW w:w="881" w:type="dxa"/>
            <w:vMerge w:val="restart"/>
            <w:tcBorders>
              <w:tl2br w:val="nil"/>
              <w:tr2bl w:val="nil"/>
            </w:tcBorders>
            <w:vAlign w:val="center"/>
          </w:tcPr>
          <w:p w14:paraId="1B628C4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spacing w:val="-20"/>
                <w:highlight w:val="none"/>
              </w:rPr>
            </w:pPr>
            <w:r>
              <w:rPr>
                <w:rFonts w:hint="eastAsia" w:cs="Times New Roman"/>
                <w:color w:val="auto"/>
                <w:spacing w:val="-20"/>
                <w:highlight w:val="none"/>
                <w:lang w:eastAsia="zh-CN"/>
              </w:rPr>
              <w:t>西</w:t>
            </w:r>
            <w:r>
              <w:rPr>
                <w:rFonts w:hint="default" w:ascii="Times New Roman" w:hAnsi="Times New Roman" w:cs="Times New Roman"/>
                <w:color w:val="auto"/>
                <w:spacing w:val="-20"/>
                <w:highlight w:val="none"/>
              </w:rPr>
              <w:t>界</w:t>
            </w:r>
          </w:p>
        </w:tc>
        <w:tc>
          <w:tcPr>
            <w:tcW w:w="1172" w:type="dxa"/>
            <w:tcBorders>
              <w:tl2br w:val="nil"/>
              <w:tr2bl w:val="nil"/>
            </w:tcBorders>
            <w:vAlign w:val="center"/>
          </w:tcPr>
          <w:p w14:paraId="57810F3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pacing w:val="-20"/>
                <w:highlight w:val="none"/>
                <w:lang w:eastAsia="zh-CN"/>
              </w:rPr>
            </w:pPr>
            <w:r>
              <w:rPr>
                <w:rFonts w:hint="eastAsia" w:cs="Times New Roman"/>
                <w:color w:val="auto"/>
                <w:szCs w:val="21"/>
                <w:highlight w:val="none"/>
                <w:lang w:eastAsia="zh-CN"/>
              </w:rPr>
              <w:t>水泵</w:t>
            </w:r>
          </w:p>
        </w:tc>
        <w:tc>
          <w:tcPr>
            <w:tcW w:w="885" w:type="dxa"/>
            <w:tcBorders>
              <w:tl2br w:val="nil"/>
              <w:tr2bl w:val="nil"/>
            </w:tcBorders>
            <w:vAlign w:val="center"/>
          </w:tcPr>
          <w:p w14:paraId="100B729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highlight w:val="none"/>
              </w:rPr>
            </w:pPr>
            <w:r>
              <w:rPr>
                <w:rFonts w:hint="eastAsia" w:cs="Times New Roman"/>
                <w:color w:val="auto"/>
                <w:sz w:val="21"/>
                <w:szCs w:val="21"/>
                <w:highlight w:val="none"/>
                <w:lang w:val="en-US" w:eastAsia="zh-CN"/>
              </w:rPr>
              <w:t>70</w:t>
            </w:r>
          </w:p>
        </w:tc>
        <w:tc>
          <w:tcPr>
            <w:tcW w:w="804" w:type="dxa"/>
            <w:tcBorders>
              <w:tl2br w:val="nil"/>
              <w:tr2bl w:val="nil"/>
            </w:tcBorders>
            <w:vAlign w:val="center"/>
          </w:tcPr>
          <w:p w14:paraId="022A344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2</w:t>
            </w:r>
          </w:p>
        </w:tc>
        <w:tc>
          <w:tcPr>
            <w:tcW w:w="1512" w:type="dxa"/>
            <w:vMerge w:val="restart"/>
            <w:tcBorders>
              <w:tl2br w:val="nil"/>
              <w:tr2bl w:val="nil"/>
            </w:tcBorders>
            <w:vAlign w:val="center"/>
          </w:tcPr>
          <w:p w14:paraId="02C4BE3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减振、隔声25</w:t>
            </w:r>
          </w:p>
        </w:tc>
        <w:tc>
          <w:tcPr>
            <w:tcW w:w="988" w:type="dxa"/>
            <w:tcBorders>
              <w:tl2br w:val="nil"/>
              <w:tr2bl w:val="nil"/>
            </w:tcBorders>
            <w:vAlign w:val="center"/>
          </w:tcPr>
          <w:p w14:paraId="026EB2F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30.5</w:t>
            </w:r>
          </w:p>
        </w:tc>
        <w:tc>
          <w:tcPr>
            <w:tcW w:w="800" w:type="dxa"/>
            <w:tcBorders>
              <w:tl2br w:val="nil"/>
              <w:tr2bl w:val="nil"/>
            </w:tcBorders>
            <w:vAlign w:val="center"/>
          </w:tcPr>
          <w:p w14:paraId="777F1F5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昼</w:t>
            </w:r>
          </w:p>
        </w:tc>
        <w:tc>
          <w:tcPr>
            <w:tcW w:w="934" w:type="dxa"/>
            <w:tcBorders>
              <w:tl2br w:val="nil"/>
              <w:tr2bl w:val="nil"/>
            </w:tcBorders>
            <w:vAlign w:val="center"/>
          </w:tcPr>
          <w:p w14:paraId="2666D41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28.5</w:t>
            </w:r>
          </w:p>
        </w:tc>
        <w:tc>
          <w:tcPr>
            <w:tcW w:w="640" w:type="dxa"/>
            <w:tcBorders>
              <w:tl2br w:val="nil"/>
              <w:tr2bl w:val="nil"/>
            </w:tcBorders>
            <w:vAlign w:val="center"/>
          </w:tcPr>
          <w:p w14:paraId="646E74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highlight w:val="none"/>
                <w:lang w:eastAsia="zh-CN"/>
              </w:rPr>
            </w:pPr>
            <w:r>
              <w:rPr>
                <w:rFonts w:hint="eastAsia" w:cs="Times New Roman"/>
                <w:color w:val="auto"/>
                <w:highlight w:val="none"/>
                <w:lang w:val="en-US" w:eastAsia="zh-CN"/>
              </w:rPr>
              <w:t>60</w:t>
            </w:r>
          </w:p>
        </w:tc>
        <w:tc>
          <w:tcPr>
            <w:tcW w:w="632" w:type="dxa"/>
            <w:vMerge w:val="restart"/>
            <w:tcBorders>
              <w:tl2br w:val="nil"/>
              <w:tr2bl w:val="nil"/>
            </w:tcBorders>
            <w:vAlign w:val="center"/>
          </w:tcPr>
          <w:p w14:paraId="6F39674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1E30FB5B">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271" w:hRule="atLeast"/>
          <w:jc w:val="center"/>
        </w:trPr>
        <w:tc>
          <w:tcPr>
            <w:tcW w:w="881" w:type="dxa"/>
            <w:vMerge w:val="continue"/>
            <w:tcBorders>
              <w:tl2br w:val="nil"/>
              <w:tr2bl w:val="nil"/>
            </w:tcBorders>
            <w:vAlign w:val="center"/>
          </w:tcPr>
          <w:p w14:paraId="371F685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spacing w:val="-20"/>
                <w:highlight w:val="none"/>
              </w:rPr>
            </w:pPr>
          </w:p>
        </w:tc>
        <w:tc>
          <w:tcPr>
            <w:tcW w:w="1172" w:type="dxa"/>
            <w:tcBorders>
              <w:tl2br w:val="nil"/>
              <w:tr2bl w:val="nil"/>
            </w:tcBorders>
            <w:vAlign w:val="center"/>
          </w:tcPr>
          <w:p w14:paraId="4FE813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auto"/>
                <w:spacing w:val="-20"/>
                <w:highlight w:val="none"/>
                <w:lang w:eastAsia="zh-CN"/>
              </w:rPr>
            </w:pPr>
            <w:r>
              <w:rPr>
                <w:rFonts w:hint="eastAsia" w:cs="Times New Roman"/>
                <w:color w:val="auto"/>
                <w:szCs w:val="21"/>
                <w:highlight w:val="none"/>
                <w:lang w:eastAsia="zh-CN"/>
              </w:rPr>
              <w:t>冷却机组</w:t>
            </w:r>
          </w:p>
        </w:tc>
        <w:tc>
          <w:tcPr>
            <w:tcW w:w="885" w:type="dxa"/>
            <w:tcBorders>
              <w:tl2br w:val="nil"/>
              <w:tr2bl w:val="nil"/>
            </w:tcBorders>
            <w:vAlign w:val="center"/>
          </w:tcPr>
          <w:p w14:paraId="28D28391">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804" w:type="dxa"/>
            <w:tcBorders>
              <w:tl2br w:val="nil"/>
              <w:tr2bl w:val="nil"/>
            </w:tcBorders>
            <w:vAlign w:val="center"/>
          </w:tcPr>
          <w:p w14:paraId="1B8A7A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1</w:t>
            </w:r>
          </w:p>
        </w:tc>
        <w:tc>
          <w:tcPr>
            <w:tcW w:w="1512" w:type="dxa"/>
            <w:vMerge w:val="continue"/>
            <w:tcBorders>
              <w:tl2br w:val="nil"/>
              <w:tr2bl w:val="nil"/>
            </w:tcBorders>
            <w:vAlign w:val="center"/>
          </w:tcPr>
          <w:p w14:paraId="24C8569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p>
        </w:tc>
        <w:tc>
          <w:tcPr>
            <w:tcW w:w="988" w:type="dxa"/>
            <w:tcBorders>
              <w:tl2br w:val="nil"/>
              <w:tr2bl w:val="nil"/>
            </w:tcBorders>
            <w:vAlign w:val="center"/>
          </w:tcPr>
          <w:p w14:paraId="0BD9EF2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12.5</w:t>
            </w:r>
          </w:p>
        </w:tc>
        <w:tc>
          <w:tcPr>
            <w:tcW w:w="800" w:type="dxa"/>
            <w:tcBorders>
              <w:tl2br w:val="nil"/>
              <w:tr2bl w:val="nil"/>
            </w:tcBorders>
            <w:vAlign w:val="center"/>
          </w:tcPr>
          <w:p w14:paraId="3993C93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eastAsia" w:cs="Times New Roman"/>
                <w:color w:val="auto"/>
                <w:highlight w:val="none"/>
                <w:lang w:eastAsia="zh-CN"/>
              </w:rPr>
              <w:t>夜</w:t>
            </w:r>
          </w:p>
        </w:tc>
        <w:tc>
          <w:tcPr>
            <w:tcW w:w="934" w:type="dxa"/>
            <w:tcBorders>
              <w:tl2br w:val="nil"/>
              <w:tr2bl w:val="nil"/>
            </w:tcBorders>
            <w:vAlign w:val="center"/>
          </w:tcPr>
          <w:p w14:paraId="1A8473D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28.5</w:t>
            </w:r>
          </w:p>
        </w:tc>
        <w:tc>
          <w:tcPr>
            <w:tcW w:w="640" w:type="dxa"/>
            <w:tcBorders>
              <w:tl2br w:val="nil"/>
              <w:tr2bl w:val="nil"/>
            </w:tcBorders>
            <w:vAlign w:val="center"/>
          </w:tcPr>
          <w:p w14:paraId="2ED2F0C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50</w:t>
            </w:r>
          </w:p>
        </w:tc>
        <w:tc>
          <w:tcPr>
            <w:tcW w:w="632" w:type="dxa"/>
            <w:vMerge w:val="continue"/>
            <w:tcBorders>
              <w:tl2br w:val="nil"/>
              <w:tr2bl w:val="nil"/>
            </w:tcBorders>
            <w:vAlign w:val="center"/>
          </w:tcPr>
          <w:p w14:paraId="46C706B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p>
        </w:tc>
      </w:tr>
      <w:tr w14:paraId="560B5C25">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283" w:hRule="atLeast"/>
          <w:jc w:val="center"/>
        </w:trPr>
        <w:tc>
          <w:tcPr>
            <w:tcW w:w="881" w:type="dxa"/>
            <w:vMerge w:val="restart"/>
            <w:tcBorders>
              <w:tl2br w:val="nil"/>
              <w:tr2bl w:val="nil"/>
            </w:tcBorders>
            <w:vAlign w:val="center"/>
          </w:tcPr>
          <w:p w14:paraId="6A69F56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spacing w:val="-20"/>
                <w:highlight w:val="none"/>
              </w:rPr>
            </w:pPr>
            <w:r>
              <w:rPr>
                <w:rFonts w:hint="eastAsia" w:cs="Times New Roman"/>
                <w:color w:val="auto"/>
                <w:spacing w:val="-20"/>
                <w:highlight w:val="none"/>
                <w:lang w:eastAsia="zh-CN"/>
              </w:rPr>
              <w:t>北</w:t>
            </w:r>
            <w:r>
              <w:rPr>
                <w:rFonts w:hint="default" w:ascii="Times New Roman" w:hAnsi="Times New Roman" w:cs="Times New Roman"/>
                <w:color w:val="auto"/>
                <w:spacing w:val="-20"/>
                <w:highlight w:val="none"/>
              </w:rPr>
              <w:t>界</w:t>
            </w:r>
          </w:p>
        </w:tc>
        <w:tc>
          <w:tcPr>
            <w:tcW w:w="1172" w:type="dxa"/>
            <w:tcBorders>
              <w:tl2br w:val="nil"/>
              <w:tr2bl w:val="nil"/>
            </w:tcBorders>
            <w:vAlign w:val="center"/>
          </w:tcPr>
          <w:p w14:paraId="0CFCD451">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pacing w:val="-20"/>
                <w:highlight w:val="none"/>
                <w:lang w:eastAsia="zh-CN"/>
              </w:rPr>
            </w:pPr>
            <w:r>
              <w:rPr>
                <w:rFonts w:hint="eastAsia" w:cs="Times New Roman"/>
                <w:color w:val="auto"/>
                <w:szCs w:val="21"/>
                <w:highlight w:val="none"/>
                <w:lang w:eastAsia="zh-CN"/>
              </w:rPr>
              <w:t>水泵</w:t>
            </w:r>
          </w:p>
        </w:tc>
        <w:tc>
          <w:tcPr>
            <w:tcW w:w="885" w:type="dxa"/>
            <w:tcBorders>
              <w:tl2br w:val="nil"/>
              <w:tr2bl w:val="nil"/>
            </w:tcBorders>
            <w:vAlign w:val="center"/>
          </w:tcPr>
          <w:p w14:paraId="2C628D8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highlight w:val="none"/>
              </w:rPr>
            </w:pPr>
            <w:r>
              <w:rPr>
                <w:rFonts w:hint="eastAsia" w:cs="Times New Roman"/>
                <w:color w:val="auto"/>
                <w:sz w:val="21"/>
                <w:szCs w:val="21"/>
                <w:highlight w:val="none"/>
                <w:lang w:val="en-US" w:eastAsia="zh-CN"/>
              </w:rPr>
              <w:t>70</w:t>
            </w:r>
          </w:p>
        </w:tc>
        <w:tc>
          <w:tcPr>
            <w:tcW w:w="804" w:type="dxa"/>
            <w:tcBorders>
              <w:tl2br w:val="nil"/>
              <w:tr2bl w:val="nil"/>
            </w:tcBorders>
            <w:vAlign w:val="center"/>
          </w:tcPr>
          <w:p w14:paraId="6AD9F1F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2</w:t>
            </w:r>
          </w:p>
        </w:tc>
        <w:tc>
          <w:tcPr>
            <w:tcW w:w="1512" w:type="dxa"/>
            <w:vMerge w:val="restart"/>
            <w:tcBorders>
              <w:tl2br w:val="nil"/>
              <w:tr2bl w:val="nil"/>
            </w:tcBorders>
            <w:vAlign w:val="center"/>
          </w:tcPr>
          <w:p w14:paraId="54B3246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减振、隔声25</w:t>
            </w:r>
          </w:p>
        </w:tc>
        <w:tc>
          <w:tcPr>
            <w:tcW w:w="988" w:type="dxa"/>
            <w:tcBorders>
              <w:tl2br w:val="nil"/>
              <w:tr2bl w:val="nil"/>
            </w:tcBorders>
            <w:vAlign w:val="center"/>
          </w:tcPr>
          <w:p w14:paraId="3D0197C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32</w:t>
            </w:r>
          </w:p>
        </w:tc>
        <w:tc>
          <w:tcPr>
            <w:tcW w:w="800" w:type="dxa"/>
            <w:tcBorders>
              <w:tl2br w:val="nil"/>
              <w:tr2bl w:val="nil"/>
            </w:tcBorders>
            <w:vAlign w:val="center"/>
          </w:tcPr>
          <w:p w14:paraId="5F3F8A0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昼</w:t>
            </w:r>
          </w:p>
        </w:tc>
        <w:tc>
          <w:tcPr>
            <w:tcW w:w="934" w:type="dxa"/>
            <w:tcBorders>
              <w:tl2br w:val="nil"/>
              <w:tr2bl w:val="nil"/>
            </w:tcBorders>
            <w:vAlign w:val="center"/>
          </w:tcPr>
          <w:p w14:paraId="07366AA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22.4</w:t>
            </w:r>
          </w:p>
        </w:tc>
        <w:tc>
          <w:tcPr>
            <w:tcW w:w="640" w:type="dxa"/>
            <w:tcBorders>
              <w:tl2br w:val="nil"/>
              <w:tr2bl w:val="nil"/>
            </w:tcBorders>
            <w:vAlign w:val="center"/>
          </w:tcPr>
          <w:p w14:paraId="3FA929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632" w:type="dxa"/>
            <w:vMerge w:val="restart"/>
            <w:tcBorders>
              <w:tl2br w:val="nil"/>
              <w:tr2bl w:val="nil"/>
            </w:tcBorders>
            <w:vAlign w:val="center"/>
          </w:tcPr>
          <w:p w14:paraId="4581030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63540958">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278" w:hRule="atLeast"/>
          <w:jc w:val="center"/>
        </w:trPr>
        <w:tc>
          <w:tcPr>
            <w:tcW w:w="881" w:type="dxa"/>
            <w:vMerge w:val="continue"/>
            <w:tcBorders>
              <w:tl2br w:val="nil"/>
              <w:tr2bl w:val="nil"/>
            </w:tcBorders>
            <w:vAlign w:val="center"/>
          </w:tcPr>
          <w:p w14:paraId="4B651C9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spacing w:val="-20"/>
                <w:highlight w:val="none"/>
              </w:rPr>
            </w:pPr>
          </w:p>
        </w:tc>
        <w:tc>
          <w:tcPr>
            <w:tcW w:w="1172" w:type="dxa"/>
            <w:tcBorders>
              <w:tl2br w:val="nil"/>
              <w:tr2bl w:val="nil"/>
            </w:tcBorders>
            <w:vAlign w:val="center"/>
          </w:tcPr>
          <w:p w14:paraId="48FD16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auto"/>
                <w:spacing w:val="-20"/>
                <w:highlight w:val="none"/>
                <w:lang w:eastAsia="zh-CN"/>
              </w:rPr>
            </w:pPr>
            <w:r>
              <w:rPr>
                <w:rFonts w:hint="eastAsia" w:cs="Times New Roman"/>
                <w:color w:val="auto"/>
                <w:szCs w:val="21"/>
                <w:highlight w:val="none"/>
                <w:lang w:eastAsia="zh-CN"/>
              </w:rPr>
              <w:t>冷却机组</w:t>
            </w:r>
          </w:p>
        </w:tc>
        <w:tc>
          <w:tcPr>
            <w:tcW w:w="885" w:type="dxa"/>
            <w:tcBorders>
              <w:tl2br w:val="nil"/>
              <w:tr2bl w:val="nil"/>
            </w:tcBorders>
            <w:vAlign w:val="center"/>
          </w:tcPr>
          <w:p w14:paraId="7AB632B7">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804" w:type="dxa"/>
            <w:tcBorders>
              <w:tl2br w:val="nil"/>
              <w:tr2bl w:val="nil"/>
            </w:tcBorders>
            <w:vAlign w:val="center"/>
          </w:tcPr>
          <w:p w14:paraId="6AC712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1</w:t>
            </w:r>
          </w:p>
        </w:tc>
        <w:tc>
          <w:tcPr>
            <w:tcW w:w="1512" w:type="dxa"/>
            <w:vMerge w:val="continue"/>
            <w:tcBorders>
              <w:tl2br w:val="nil"/>
              <w:tr2bl w:val="nil"/>
            </w:tcBorders>
            <w:vAlign w:val="center"/>
          </w:tcPr>
          <w:p w14:paraId="1E60904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p>
        </w:tc>
        <w:tc>
          <w:tcPr>
            <w:tcW w:w="988" w:type="dxa"/>
            <w:tcBorders>
              <w:tl2br w:val="nil"/>
              <w:tr2bl w:val="nil"/>
            </w:tcBorders>
            <w:vAlign w:val="center"/>
          </w:tcPr>
          <w:p w14:paraId="65D019C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30</w:t>
            </w:r>
          </w:p>
        </w:tc>
        <w:tc>
          <w:tcPr>
            <w:tcW w:w="800" w:type="dxa"/>
            <w:tcBorders>
              <w:tl2br w:val="nil"/>
              <w:tr2bl w:val="nil"/>
            </w:tcBorders>
            <w:vAlign w:val="center"/>
          </w:tcPr>
          <w:p w14:paraId="33B0424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eastAsia" w:cs="Times New Roman"/>
                <w:color w:val="auto"/>
                <w:highlight w:val="none"/>
                <w:lang w:eastAsia="zh-CN"/>
              </w:rPr>
              <w:t>夜</w:t>
            </w:r>
          </w:p>
        </w:tc>
        <w:tc>
          <w:tcPr>
            <w:tcW w:w="934" w:type="dxa"/>
            <w:tcBorders>
              <w:tl2br w:val="nil"/>
              <w:tr2bl w:val="nil"/>
            </w:tcBorders>
            <w:vAlign w:val="center"/>
          </w:tcPr>
          <w:p w14:paraId="2935950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22.4</w:t>
            </w:r>
          </w:p>
        </w:tc>
        <w:tc>
          <w:tcPr>
            <w:tcW w:w="640" w:type="dxa"/>
            <w:tcBorders>
              <w:tl2br w:val="nil"/>
              <w:tr2bl w:val="nil"/>
            </w:tcBorders>
            <w:vAlign w:val="center"/>
          </w:tcPr>
          <w:p w14:paraId="2F80F4F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50</w:t>
            </w:r>
          </w:p>
        </w:tc>
        <w:tc>
          <w:tcPr>
            <w:tcW w:w="632" w:type="dxa"/>
            <w:vMerge w:val="continue"/>
            <w:tcBorders>
              <w:tl2br w:val="nil"/>
              <w:tr2bl w:val="nil"/>
            </w:tcBorders>
            <w:vAlign w:val="center"/>
          </w:tcPr>
          <w:p w14:paraId="3B89760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p>
        </w:tc>
      </w:tr>
      <w:tr w14:paraId="19C936C7">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212" w:hRule="atLeast"/>
          <w:jc w:val="center"/>
        </w:trPr>
        <w:tc>
          <w:tcPr>
            <w:tcW w:w="881" w:type="dxa"/>
            <w:vMerge w:val="restart"/>
            <w:tcBorders>
              <w:tl2br w:val="nil"/>
              <w:tr2bl w:val="nil"/>
            </w:tcBorders>
            <w:vAlign w:val="center"/>
          </w:tcPr>
          <w:p w14:paraId="5AE159C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eastAsia" w:cs="Times New Roman"/>
                <w:color w:val="auto"/>
                <w:highlight w:val="none"/>
                <w:lang w:eastAsia="zh-CN"/>
              </w:rPr>
              <w:t>站前</w:t>
            </w:r>
            <w:r>
              <w:rPr>
                <w:rFonts w:hint="default" w:ascii="Times New Roman" w:hAnsi="Times New Roman" w:cs="Times New Roman"/>
                <w:color w:val="auto"/>
                <w:highlight w:val="none"/>
              </w:rPr>
              <w:t>社区居民</w:t>
            </w:r>
          </w:p>
        </w:tc>
        <w:tc>
          <w:tcPr>
            <w:tcW w:w="1172" w:type="dxa"/>
            <w:tcBorders>
              <w:tl2br w:val="nil"/>
              <w:tr2bl w:val="nil"/>
            </w:tcBorders>
            <w:vAlign w:val="center"/>
          </w:tcPr>
          <w:p w14:paraId="466FF2A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auto"/>
                <w:spacing w:val="-20"/>
                <w:highlight w:val="none"/>
                <w:lang w:eastAsia="zh-CN"/>
              </w:rPr>
            </w:pPr>
            <w:r>
              <w:rPr>
                <w:rFonts w:hint="eastAsia" w:cs="Times New Roman"/>
                <w:color w:val="auto"/>
                <w:szCs w:val="21"/>
                <w:highlight w:val="none"/>
                <w:lang w:eastAsia="zh-CN"/>
              </w:rPr>
              <w:t>水泵</w:t>
            </w:r>
          </w:p>
        </w:tc>
        <w:tc>
          <w:tcPr>
            <w:tcW w:w="885" w:type="dxa"/>
            <w:tcBorders>
              <w:tl2br w:val="nil"/>
              <w:tr2bl w:val="nil"/>
            </w:tcBorders>
            <w:vAlign w:val="center"/>
          </w:tcPr>
          <w:p w14:paraId="3EE8837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70</w:t>
            </w:r>
          </w:p>
        </w:tc>
        <w:tc>
          <w:tcPr>
            <w:tcW w:w="804" w:type="dxa"/>
            <w:tcBorders>
              <w:tl2br w:val="nil"/>
              <w:tr2bl w:val="nil"/>
            </w:tcBorders>
            <w:vAlign w:val="center"/>
          </w:tcPr>
          <w:p w14:paraId="53814F1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szCs w:val="21"/>
                <w:highlight w:val="none"/>
                <w:lang w:val="en-US" w:eastAsia="zh-CN"/>
              </w:rPr>
              <w:t>2</w:t>
            </w:r>
          </w:p>
        </w:tc>
        <w:tc>
          <w:tcPr>
            <w:tcW w:w="1512" w:type="dxa"/>
            <w:vMerge w:val="restart"/>
            <w:tcBorders>
              <w:tl2br w:val="nil"/>
              <w:tr2bl w:val="nil"/>
            </w:tcBorders>
            <w:vAlign w:val="center"/>
          </w:tcPr>
          <w:p w14:paraId="02D0DEE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减振、隔声25</w:t>
            </w:r>
          </w:p>
        </w:tc>
        <w:tc>
          <w:tcPr>
            <w:tcW w:w="988" w:type="dxa"/>
            <w:tcBorders>
              <w:tl2br w:val="nil"/>
              <w:tr2bl w:val="nil"/>
            </w:tcBorders>
            <w:vAlign w:val="center"/>
          </w:tcPr>
          <w:p w14:paraId="11AC0AE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31</w:t>
            </w:r>
          </w:p>
        </w:tc>
        <w:tc>
          <w:tcPr>
            <w:tcW w:w="800" w:type="dxa"/>
            <w:tcBorders>
              <w:tl2br w:val="nil"/>
              <w:tr2bl w:val="nil"/>
            </w:tcBorders>
            <w:vAlign w:val="center"/>
          </w:tcPr>
          <w:p w14:paraId="0085C92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昼</w:t>
            </w:r>
          </w:p>
        </w:tc>
        <w:tc>
          <w:tcPr>
            <w:tcW w:w="934" w:type="dxa"/>
            <w:tcBorders>
              <w:tl2br w:val="nil"/>
              <w:tr2bl w:val="nil"/>
            </w:tcBorders>
            <w:vAlign w:val="center"/>
          </w:tcPr>
          <w:p w14:paraId="6319512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54.5</w:t>
            </w:r>
          </w:p>
        </w:tc>
        <w:tc>
          <w:tcPr>
            <w:tcW w:w="640" w:type="dxa"/>
            <w:tcBorders>
              <w:tl2br w:val="nil"/>
              <w:tr2bl w:val="nil"/>
            </w:tcBorders>
            <w:vAlign w:val="center"/>
          </w:tcPr>
          <w:p w14:paraId="10839F5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60</w:t>
            </w:r>
          </w:p>
        </w:tc>
        <w:tc>
          <w:tcPr>
            <w:tcW w:w="632" w:type="dxa"/>
            <w:vMerge w:val="restart"/>
            <w:tcBorders>
              <w:tl2br w:val="nil"/>
              <w:tr2bl w:val="nil"/>
            </w:tcBorders>
            <w:vAlign w:val="center"/>
          </w:tcPr>
          <w:p w14:paraId="2BF21E0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color w:val="auto"/>
                <w:highlight w:val="none"/>
              </w:rPr>
            </w:pPr>
            <w:r>
              <w:rPr>
                <w:rFonts w:hint="default" w:ascii="Times New Roman" w:hAnsi="Times New Roman" w:cs="Times New Roman"/>
                <w:color w:val="auto"/>
                <w:highlight w:val="none"/>
              </w:rPr>
              <w:t>达标</w:t>
            </w:r>
          </w:p>
        </w:tc>
      </w:tr>
      <w:tr w14:paraId="211A2133">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130" w:hRule="atLeast"/>
          <w:jc w:val="center"/>
        </w:trPr>
        <w:tc>
          <w:tcPr>
            <w:tcW w:w="881" w:type="dxa"/>
            <w:vMerge w:val="continue"/>
            <w:tcBorders>
              <w:tl2br w:val="nil"/>
              <w:tr2bl w:val="nil"/>
            </w:tcBorders>
            <w:vAlign w:val="center"/>
          </w:tcPr>
          <w:p w14:paraId="13E8F1D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p>
        </w:tc>
        <w:tc>
          <w:tcPr>
            <w:tcW w:w="1172" w:type="dxa"/>
            <w:tcBorders>
              <w:tl2br w:val="nil"/>
              <w:tr2bl w:val="nil"/>
            </w:tcBorders>
            <w:vAlign w:val="center"/>
          </w:tcPr>
          <w:p w14:paraId="168EE4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color w:val="auto"/>
                <w:spacing w:val="-20"/>
                <w:highlight w:val="none"/>
                <w:lang w:eastAsia="zh-CN"/>
              </w:rPr>
            </w:pPr>
            <w:r>
              <w:rPr>
                <w:rFonts w:hint="eastAsia" w:cs="Times New Roman"/>
                <w:color w:val="auto"/>
                <w:szCs w:val="21"/>
                <w:highlight w:val="none"/>
                <w:lang w:eastAsia="zh-CN"/>
              </w:rPr>
              <w:t>冷却机组</w:t>
            </w:r>
          </w:p>
        </w:tc>
        <w:tc>
          <w:tcPr>
            <w:tcW w:w="885" w:type="dxa"/>
            <w:tcBorders>
              <w:tl2br w:val="nil"/>
              <w:tr2bl w:val="nil"/>
            </w:tcBorders>
            <w:vAlign w:val="center"/>
          </w:tcPr>
          <w:p w14:paraId="1BD0F073">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804" w:type="dxa"/>
            <w:tcBorders>
              <w:tl2br w:val="nil"/>
              <w:tr2bl w:val="nil"/>
            </w:tcBorders>
            <w:vAlign w:val="center"/>
          </w:tcPr>
          <w:p w14:paraId="772E22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szCs w:val="21"/>
                <w:highlight w:val="none"/>
                <w:lang w:val="en-US" w:eastAsia="zh-CN"/>
              </w:rPr>
              <w:t>1</w:t>
            </w:r>
          </w:p>
        </w:tc>
        <w:tc>
          <w:tcPr>
            <w:tcW w:w="1512" w:type="dxa"/>
            <w:vMerge w:val="continue"/>
            <w:tcBorders>
              <w:tl2br w:val="nil"/>
              <w:tr2bl w:val="nil"/>
            </w:tcBorders>
            <w:vAlign w:val="center"/>
          </w:tcPr>
          <w:p w14:paraId="50EFAFF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p>
        </w:tc>
        <w:tc>
          <w:tcPr>
            <w:tcW w:w="988" w:type="dxa"/>
            <w:tcBorders>
              <w:tl2br w:val="nil"/>
              <w:tr2bl w:val="nil"/>
            </w:tcBorders>
            <w:vAlign w:val="center"/>
          </w:tcPr>
          <w:p w14:paraId="09D916C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42</w:t>
            </w:r>
          </w:p>
        </w:tc>
        <w:tc>
          <w:tcPr>
            <w:tcW w:w="800" w:type="dxa"/>
            <w:tcBorders>
              <w:tl2br w:val="nil"/>
              <w:tr2bl w:val="nil"/>
            </w:tcBorders>
            <w:vAlign w:val="center"/>
          </w:tcPr>
          <w:p w14:paraId="10DDA6B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eastAsia" w:cs="Times New Roman"/>
                <w:color w:val="auto"/>
                <w:highlight w:val="none"/>
                <w:lang w:eastAsia="zh-CN"/>
              </w:rPr>
              <w:t>夜</w:t>
            </w:r>
          </w:p>
        </w:tc>
        <w:tc>
          <w:tcPr>
            <w:tcW w:w="934" w:type="dxa"/>
            <w:tcBorders>
              <w:tl2br w:val="nil"/>
              <w:tr2bl w:val="nil"/>
            </w:tcBorders>
            <w:vAlign w:val="center"/>
          </w:tcPr>
          <w:p w14:paraId="1962DE9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42.5</w:t>
            </w:r>
          </w:p>
        </w:tc>
        <w:tc>
          <w:tcPr>
            <w:tcW w:w="640" w:type="dxa"/>
            <w:tcBorders>
              <w:tl2br w:val="nil"/>
              <w:tr2bl w:val="nil"/>
            </w:tcBorders>
            <w:vAlign w:val="center"/>
          </w:tcPr>
          <w:p w14:paraId="5994DB8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50</w:t>
            </w:r>
          </w:p>
        </w:tc>
        <w:tc>
          <w:tcPr>
            <w:tcW w:w="632" w:type="dxa"/>
            <w:vMerge w:val="continue"/>
            <w:tcBorders>
              <w:tl2br w:val="nil"/>
              <w:tr2bl w:val="nil"/>
            </w:tcBorders>
            <w:vAlign w:val="center"/>
          </w:tcPr>
          <w:p w14:paraId="6787813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p>
        </w:tc>
      </w:tr>
      <w:tr w14:paraId="3482084F">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361" w:hRule="atLeast"/>
          <w:jc w:val="center"/>
        </w:trPr>
        <w:tc>
          <w:tcPr>
            <w:tcW w:w="881" w:type="dxa"/>
            <w:vMerge w:val="restart"/>
            <w:tcBorders>
              <w:tl2br w:val="nil"/>
              <w:tr2bl w:val="nil"/>
            </w:tcBorders>
            <w:vAlign w:val="center"/>
          </w:tcPr>
          <w:p w14:paraId="127330B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highlight w:val="none"/>
                <w:lang w:eastAsia="zh-CN"/>
              </w:rPr>
            </w:pPr>
            <w:r>
              <w:rPr>
                <w:rFonts w:hint="eastAsia" w:cs="Times New Roman"/>
                <w:color w:val="auto"/>
                <w:highlight w:val="none"/>
                <w:lang w:eastAsia="zh-CN"/>
              </w:rPr>
              <w:t>站前</w:t>
            </w:r>
            <w:r>
              <w:rPr>
                <w:rFonts w:hint="default" w:ascii="Times New Roman" w:hAnsi="Times New Roman" w:cs="Times New Roman"/>
                <w:color w:val="auto"/>
                <w:highlight w:val="none"/>
              </w:rPr>
              <w:t>社区居民</w:t>
            </w:r>
            <w:r>
              <w:rPr>
                <w:rFonts w:hint="eastAsia" w:cs="Times New Roman"/>
                <w:color w:val="auto"/>
                <w:highlight w:val="none"/>
                <w:lang w:eastAsia="zh-CN"/>
              </w:rPr>
              <w:t>（东侧紧邻）</w:t>
            </w:r>
          </w:p>
        </w:tc>
        <w:tc>
          <w:tcPr>
            <w:tcW w:w="1172" w:type="dxa"/>
            <w:tcBorders>
              <w:tl2br w:val="nil"/>
              <w:tr2bl w:val="nil"/>
            </w:tcBorders>
            <w:vAlign w:val="center"/>
          </w:tcPr>
          <w:p w14:paraId="02D8F1C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cs="Times New Roman"/>
                <w:color w:val="auto"/>
                <w:szCs w:val="21"/>
                <w:highlight w:val="none"/>
                <w:lang w:eastAsia="zh-CN"/>
              </w:rPr>
            </w:pPr>
            <w:r>
              <w:rPr>
                <w:rFonts w:hint="eastAsia" w:cs="Times New Roman"/>
                <w:color w:val="auto"/>
                <w:szCs w:val="21"/>
                <w:highlight w:val="none"/>
                <w:lang w:eastAsia="zh-CN"/>
              </w:rPr>
              <w:t>水泵</w:t>
            </w:r>
          </w:p>
        </w:tc>
        <w:tc>
          <w:tcPr>
            <w:tcW w:w="885" w:type="dxa"/>
            <w:tcBorders>
              <w:tl2br w:val="nil"/>
              <w:tr2bl w:val="nil"/>
            </w:tcBorders>
            <w:vAlign w:val="center"/>
          </w:tcPr>
          <w:p w14:paraId="2EA2A66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70</w:t>
            </w:r>
          </w:p>
        </w:tc>
        <w:tc>
          <w:tcPr>
            <w:tcW w:w="804" w:type="dxa"/>
            <w:tcBorders>
              <w:tl2br w:val="nil"/>
              <w:tr2bl w:val="nil"/>
            </w:tcBorders>
            <w:vAlign w:val="center"/>
          </w:tcPr>
          <w:p w14:paraId="29BC268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2</w:t>
            </w:r>
          </w:p>
        </w:tc>
        <w:tc>
          <w:tcPr>
            <w:tcW w:w="1512" w:type="dxa"/>
            <w:vMerge w:val="restart"/>
            <w:tcBorders>
              <w:tl2br w:val="nil"/>
              <w:tr2bl w:val="nil"/>
            </w:tcBorders>
            <w:vAlign w:val="center"/>
          </w:tcPr>
          <w:p w14:paraId="731127A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减振、隔声25</w:t>
            </w:r>
          </w:p>
        </w:tc>
        <w:tc>
          <w:tcPr>
            <w:tcW w:w="988" w:type="dxa"/>
            <w:tcBorders>
              <w:tl2br w:val="nil"/>
              <w:tr2bl w:val="nil"/>
            </w:tcBorders>
            <w:vAlign w:val="center"/>
          </w:tcPr>
          <w:p w14:paraId="42F669B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3</w:t>
            </w:r>
          </w:p>
        </w:tc>
        <w:tc>
          <w:tcPr>
            <w:tcW w:w="800" w:type="dxa"/>
            <w:tcBorders>
              <w:tl2br w:val="nil"/>
              <w:tr2bl w:val="nil"/>
            </w:tcBorders>
            <w:vAlign w:val="center"/>
          </w:tcPr>
          <w:p w14:paraId="115C05B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eastAsia="zh-CN"/>
              </w:rPr>
            </w:pPr>
            <w:r>
              <w:rPr>
                <w:rFonts w:hint="default" w:ascii="Times New Roman" w:hAnsi="Times New Roman" w:cs="Times New Roman"/>
                <w:color w:val="auto"/>
                <w:highlight w:val="none"/>
              </w:rPr>
              <w:t>昼</w:t>
            </w:r>
          </w:p>
        </w:tc>
        <w:tc>
          <w:tcPr>
            <w:tcW w:w="934" w:type="dxa"/>
            <w:tcBorders>
              <w:tl2br w:val="nil"/>
              <w:tr2bl w:val="nil"/>
            </w:tcBorders>
            <w:vAlign w:val="center"/>
          </w:tcPr>
          <w:p w14:paraId="3047717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52.7</w:t>
            </w:r>
          </w:p>
        </w:tc>
        <w:tc>
          <w:tcPr>
            <w:tcW w:w="640" w:type="dxa"/>
            <w:tcBorders>
              <w:tl2br w:val="nil"/>
              <w:tr2bl w:val="nil"/>
            </w:tcBorders>
            <w:vAlign w:val="center"/>
          </w:tcPr>
          <w:p w14:paraId="4FAB1B2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70</w:t>
            </w:r>
          </w:p>
        </w:tc>
        <w:tc>
          <w:tcPr>
            <w:tcW w:w="632" w:type="dxa"/>
            <w:tcBorders>
              <w:tl2br w:val="nil"/>
              <w:tr2bl w:val="nil"/>
            </w:tcBorders>
            <w:vAlign w:val="center"/>
          </w:tcPr>
          <w:p w14:paraId="77C5FF8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51AD22F0">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391" w:hRule="atLeast"/>
          <w:jc w:val="center"/>
        </w:trPr>
        <w:tc>
          <w:tcPr>
            <w:tcW w:w="881" w:type="dxa"/>
            <w:vMerge w:val="continue"/>
            <w:tcBorders>
              <w:tl2br w:val="nil"/>
              <w:tr2bl w:val="nil"/>
            </w:tcBorders>
            <w:vAlign w:val="center"/>
          </w:tcPr>
          <w:p w14:paraId="1A68E5D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eastAsia="zh-CN"/>
              </w:rPr>
            </w:pPr>
          </w:p>
        </w:tc>
        <w:tc>
          <w:tcPr>
            <w:tcW w:w="1172" w:type="dxa"/>
            <w:tcBorders>
              <w:tl2br w:val="nil"/>
              <w:tr2bl w:val="nil"/>
            </w:tcBorders>
            <w:vAlign w:val="center"/>
          </w:tcPr>
          <w:p w14:paraId="09FD08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auto"/>
                <w:szCs w:val="21"/>
                <w:highlight w:val="none"/>
                <w:lang w:eastAsia="zh-CN"/>
              </w:rPr>
            </w:pPr>
            <w:r>
              <w:rPr>
                <w:rFonts w:hint="eastAsia" w:cs="Times New Roman"/>
                <w:color w:val="auto"/>
                <w:szCs w:val="21"/>
                <w:highlight w:val="none"/>
                <w:lang w:eastAsia="zh-CN"/>
              </w:rPr>
              <w:t>冷却机组</w:t>
            </w:r>
          </w:p>
        </w:tc>
        <w:tc>
          <w:tcPr>
            <w:tcW w:w="885" w:type="dxa"/>
            <w:tcBorders>
              <w:tl2br w:val="nil"/>
              <w:tr2bl w:val="nil"/>
            </w:tcBorders>
            <w:vAlign w:val="center"/>
          </w:tcPr>
          <w:p w14:paraId="1055FD52">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804" w:type="dxa"/>
            <w:tcBorders>
              <w:tl2br w:val="nil"/>
              <w:tr2bl w:val="nil"/>
            </w:tcBorders>
            <w:vAlign w:val="center"/>
          </w:tcPr>
          <w:p w14:paraId="0DBF53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1</w:t>
            </w:r>
          </w:p>
        </w:tc>
        <w:tc>
          <w:tcPr>
            <w:tcW w:w="1512" w:type="dxa"/>
            <w:vMerge w:val="continue"/>
            <w:tcBorders>
              <w:tl2br w:val="nil"/>
              <w:tr2bl w:val="nil"/>
            </w:tcBorders>
            <w:vAlign w:val="center"/>
          </w:tcPr>
          <w:p w14:paraId="4263DAC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p>
        </w:tc>
        <w:tc>
          <w:tcPr>
            <w:tcW w:w="988" w:type="dxa"/>
            <w:tcBorders>
              <w:tl2br w:val="nil"/>
              <w:tr2bl w:val="nil"/>
            </w:tcBorders>
            <w:vAlign w:val="center"/>
          </w:tcPr>
          <w:p w14:paraId="7AC2D99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22</w:t>
            </w:r>
          </w:p>
        </w:tc>
        <w:tc>
          <w:tcPr>
            <w:tcW w:w="800" w:type="dxa"/>
            <w:tcBorders>
              <w:tl2br w:val="nil"/>
              <w:tr2bl w:val="nil"/>
            </w:tcBorders>
            <w:vAlign w:val="center"/>
          </w:tcPr>
          <w:p w14:paraId="55D003C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eastAsia="zh-CN"/>
              </w:rPr>
            </w:pPr>
            <w:r>
              <w:rPr>
                <w:rFonts w:hint="eastAsia" w:cs="Times New Roman"/>
                <w:color w:val="auto"/>
                <w:highlight w:val="none"/>
                <w:lang w:eastAsia="zh-CN"/>
              </w:rPr>
              <w:t>夜</w:t>
            </w:r>
          </w:p>
        </w:tc>
        <w:tc>
          <w:tcPr>
            <w:tcW w:w="934" w:type="dxa"/>
            <w:tcBorders>
              <w:tl2br w:val="nil"/>
              <w:tr2bl w:val="nil"/>
            </w:tcBorders>
            <w:vAlign w:val="center"/>
          </w:tcPr>
          <w:p w14:paraId="09054C7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43.3</w:t>
            </w:r>
          </w:p>
        </w:tc>
        <w:tc>
          <w:tcPr>
            <w:tcW w:w="640" w:type="dxa"/>
            <w:tcBorders>
              <w:tl2br w:val="nil"/>
              <w:tr2bl w:val="nil"/>
            </w:tcBorders>
            <w:vAlign w:val="center"/>
          </w:tcPr>
          <w:p w14:paraId="23ED058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55</w:t>
            </w:r>
          </w:p>
        </w:tc>
        <w:tc>
          <w:tcPr>
            <w:tcW w:w="632" w:type="dxa"/>
            <w:tcBorders>
              <w:tl2br w:val="nil"/>
              <w:tr2bl w:val="nil"/>
            </w:tcBorders>
            <w:vAlign w:val="center"/>
          </w:tcPr>
          <w:p w14:paraId="0669720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70E270AB">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261" w:hRule="atLeast"/>
          <w:jc w:val="center"/>
        </w:trPr>
        <w:tc>
          <w:tcPr>
            <w:tcW w:w="881" w:type="dxa"/>
            <w:vMerge w:val="restart"/>
            <w:tcBorders>
              <w:tl2br w:val="nil"/>
              <w:tr2bl w:val="nil"/>
            </w:tcBorders>
            <w:vAlign w:val="center"/>
          </w:tcPr>
          <w:p w14:paraId="775AA8D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highlight w:val="none"/>
                <w:lang w:eastAsia="zh-CN"/>
              </w:rPr>
            </w:pPr>
            <w:r>
              <w:rPr>
                <w:rFonts w:hint="eastAsia" w:cs="Times New Roman"/>
                <w:color w:val="auto"/>
                <w:highlight w:val="none"/>
                <w:lang w:eastAsia="zh-CN"/>
              </w:rPr>
              <w:t>溪湖区公安局</w:t>
            </w:r>
          </w:p>
        </w:tc>
        <w:tc>
          <w:tcPr>
            <w:tcW w:w="1172" w:type="dxa"/>
            <w:tcBorders>
              <w:tl2br w:val="nil"/>
              <w:tr2bl w:val="nil"/>
            </w:tcBorders>
            <w:vAlign w:val="center"/>
          </w:tcPr>
          <w:p w14:paraId="012C681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cs="Times New Roman"/>
                <w:color w:val="auto"/>
                <w:szCs w:val="21"/>
                <w:highlight w:val="none"/>
                <w:lang w:eastAsia="zh-CN"/>
              </w:rPr>
            </w:pPr>
            <w:r>
              <w:rPr>
                <w:rFonts w:hint="eastAsia" w:cs="Times New Roman"/>
                <w:color w:val="auto"/>
                <w:szCs w:val="21"/>
                <w:highlight w:val="none"/>
                <w:lang w:eastAsia="zh-CN"/>
              </w:rPr>
              <w:t>水泵</w:t>
            </w:r>
          </w:p>
        </w:tc>
        <w:tc>
          <w:tcPr>
            <w:tcW w:w="885" w:type="dxa"/>
            <w:tcBorders>
              <w:tl2br w:val="nil"/>
              <w:tr2bl w:val="nil"/>
            </w:tcBorders>
            <w:vAlign w:val="center"/>
          </w:tcPr>
          <w:p w14:paraId="7E0BF83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70</w:t>
            </w:r>
          </w:p>
        </w:tc>
        <w:tc>
          <w:tcPr>
            <w:tcW w:w="804" w:type="dxa"/>
            <w:tcBorders>
              <w:tl2br w:val="nil"/>
              <w:tr2bl w:val="nil"/>
            </w:tcBorders>
            <w:vAlign w:val="center"/>
          </w:tcPr>
          <w:p w14:paraId="00F35CD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2</w:t>
            </w:r>
          </w:p>
        </w:tc>
        <w:tc>
          <w:tcPr>
            <w:tcW w:w="1512" w:type="dxa"/>
            <w:vMerge w:val="restart"/>
            <w:tcBorders>
              <w:tl2br w:val="nil"/>
              <w:tr2bl w:val="nil"/>
            </w:tcBorders>
            <w:vAlign w:val="center"/>
          </w:tcPr>
          <w:p w14:paraId="19E5692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减振、隔声25</w:t>
            </w:r>
          </w:p>
        </w:tc>
        <w:tc>
          <w:tcPr>
            <w:tcW w:w="988" w:type="dxa"/>
            <w:tcBorders>
              <w:tl2br w:val="nil"/>
              <w:tr2bl w:val="nil"/>
            </w:tcBorders>
            <w:vAlign w:val="center"/>
          </w:tcPr>
          <w:p w14:paraId="014E6A5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32</w:t>
            </w:r>
          </w:p>
        </w:tc>
        <w:tc>
          <w:tcPr>
            <w:tcW w:w="800" w:type="dxa"/>
            <w:tcBorders>
              <w:tl2br w:val="nil"/>
              <w:tr2bl w:val="nil"/>
            </w:tcBorders>
            <w:vAlign w:val="center"/>
          </w:tcPr>
          <w:p w14:paraId="7D9AE55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eastAsia="zh-CN"/>
              </w:rPr>
            </w:pPr>
            <w:r>
              <w:rPr>
                <w:rFonts w:hint="default" w:ascii="Times New Roman" w:hAnsi="Times New Roman" w:cs="Times New Roman"/>
                <w:color w:val="auto"/>
                <w:highlight w:val="none"/>
              </w:rPr>
              <w:t>昼</w:t>
            </w:r>
          </w:p>
        </w:tc>
        <w:tc>
          <w:tcPr>
            <w:tcW w:w="934" w:type="dxa"/>
            <w:tcBorders>
              <w:tl2br w:val="nil"/>
              <w:tr2bl w:val="nil"/>
            </w:tcBorders>
            <w:vAlign w:val="center"/>
          </w:tcPr>
          <w:p w14:paraId="1B2338E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54.5</w:t>
            </w:r>
          </w:p>
        </w:tc>
        <w:tc>
          <w:tcPr>
            <w:tcW w:w="640" w:type="dxa"/>
            <w:tcBorders>
              <w:tl2br w:val="nil"/>
              <w:tr2bl w:val="nil"/>
            </w:tcBorders>
            <w:vAlign w:val="center"/>
          </w:tcPr>
          <w:p w14:paraId="583165A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60</w:t>
            </w:r>
          </w:p>
        </w:tc>
        <w:tc>
          <w:tcPr>
            <w:tcW w:w="632" w:type="dxa"/>
            <w:tcBorders>
              <w:tl2br w:val="nil"/>
              <w:tr2bl w:val="nil"/>
            </w:tcBorders>
            <w:vAlign w:val="center"/>
          </w:tcPr>
          <w:p w14:paraId="3377078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75F6B399">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343" w:hRule="atLeast"/>
          <w:jc w:val="center"/>
        </w:trPr>
        <w:tc>
          <w:tcPr>
            <w:tcW w:w="881" w:type="dxa"/>
            <w:vMerge w:val="continue"/>
            <w:tcBorders>
              <w:tl2br w:val="nil"/>
              <w:tr2bl w:val="nil"/>
            </w:tcBorders>
            <w:vAlign w:val="center"/>
          </w:tcPr>
          <w:p w14:paraId="5952E9D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eastAsia="zh-CN"/>
              </w:rPr>
            </w:pPr>
          </w:p>
        </w:tc>
        <w:tc>
          <w:tcPr>
            <w:tcW w:w="1172" w:type="dxa"/>
            <w:tcBorders>
              <w:tl2br w:val="nil"/>
              <w:tr2bl w:val="nil"/>
            </w:tcBorders>
            <w:vAlign w:val="center"/>
          </w:tcPr>
          <w:p w14:paraId="7341CE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cs="Times New Roman"/>
                <w:color w:val="auto"/>
                <w:szCs w:val="21"/>
                <w:highlight w:val="none"/>
                <w:lang w:eastAsia="zh-CN"/>
              </w:rPr>
            </w:pPr>
            <w:r>
              <w:rPr>
                <w:rFonts w:hint="eastAsia" w:cs="Times New Roman"/>
                <w:color w:val="auto"/>
                <w:szCs w:val="21"/>
                <w:highlight w:val="none"/>
                <w:lang w:eastAsia="zh-CN"/>
              </w:rPr>
              <w:t>冷却机组</w:t>
            </w:r>
          </w:p>
        </w:tc>
        <w:tc>
          <w:tcPr>
            <w:tcW w:w="885" w:type="dxa"/>
            <w:tcBorders>
              <w:tl2br w:val="nil"/>
              <w:tr2bl w:val="nil"/>
            </w:tcBorders>
            <w:vAlign w:val="center"/>
          </w:tcPr>
          <w:p w14:paraId="23974105">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804" w:type="dxa"/>
            <w:tcBorders>
              <w:tl2br w:val="nil"/>
              <w:tr2bl w:val="nil"/>
            </w:tcBorders>
            <w:vAlign w:val="center"/>
          </w:tcPr>
          <w:p w14:paraId="3777B5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1</w:t>
            </w:r>
          </w:p>
        </w:tc>
        <w:tc>
          <w:tcPr>
            <w:tcW w:w="1512" w:type="dxa"/>
            <w:vMerge w:val="continue"/>
            <w:tcBorders>
              <w:tl2br w:val="nil"/>
              <w:tr2bl w:val="nil"/>
            </w:tcBorders>
            <w:vAlign w:val="center"/>
          </w:tcPr>
          <w:p w14:paraId="114CCD9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p>
        </w:tc>
        <w:tc>
          <w:tcPr>
            <w:tcW w:w="988" w:type="dxa"/>
            <w:tcBorders>
              <w:tl2br w:val="nil"/>
              <w:tr2bl w:val="nil"/>
            </w:tcBorders>
            <w:vAlign w:val="center"/>
          </w:tcPr>
          <w:p w14:paraId="1389075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30</w:t>
            </w:r>
          </w:p>
        </w:tc>
        <w:tc>
          <w:tcPr>
            <w:tcW w:w="800" w:type="dxa"/>
            <w:tcBorders>
              <w:tl2br w:val="nil"/>
              <w:tr2bl w:val="nil"/>
            </w:tcBorders>
            <w:vAlign w:val="center"/>
          </w:tcPr>
          <w:p w14:paraId="4BA3E8F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eastAsia="zh-CN"/>
              </w:rPr>
            </w:pPr>
            <w:r>
              <w:rPr>
                <w:rFonts w:hint="eastAsia" w:cs="Times New Roman"/>
                <w:color w:val="auto"/>
                <w:highlight w:val="none"/>
                <w:lang w:eastAsia="zh-CN"/>
              </w:rPr>
              <w:t>夜</w:t>
            </w:r>
          </w:p>
        </w:tc>
        <w:tc>
          <w:tcPr>
            <w:tcW w:w="934" w:type="dxa"/>
            <w:tcBorders>
              <w:tl2br w:val="nil"/>
              <w:tr2bl w:val="nil"/>
            </w:tcBorders>
            <w:vAlign w:val="center"/>
          </w:tcPr>
          <w:p w14:paraId="5AB79AE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43.5</w:t>
            </w:r>
          </w:p>
        </w:tc>
        <w:tc>
          <w:tcPr>
            <w:tcW w:w="640" w:type="dxa"/>
            <w:tcBorders>
              <w:tl2br w:val="nil"/>
              <w:tr2bl w:val="nil"/>
            </w:tcBorders>
            <w:vAlign w:val="center"/>
          </w:tcPr>
          <w:p w14:paraId="749C18D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50</w:t>
            </w:r>
          </w:p>
        </w:tc>
        <w:tc>
          <w:tcPr>
            <w:tcW w:w="632" w:type="dxa"/>
            <w:tcBorders>
              <w:tl2br w:val="nil"/>
              <w:tr2bl w:val="nil"/>
            </w:tcBorders>
            <w:vAlign w:val="center"/>
          </w:tcPr>
          <w:p w14:paraId="3ABEB11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1D21A4AF">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324" w:hRule="atLeast"/>
          <w:jc w:val="center"/>
        </w:trPr>
        <w:tc>
          <w:tcPr>
            <w:tcW w:w="881" w:type="dxa"/>
            <w:vMerge w:val="restart"/>
            <w:tcBorders>
              <w:tl2br w:val="nil"/>
              <w:tr2bl w:val="nil"/>
            </w:tcBorders>
            <w:vAlign w:val="center"/>
          </w:tcPr>
          <w:p w14:paraId="0FCC68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eastAsia="zh-CN"/>
              </w:rPr>
            </w:pPr>
            <w:r>
              <w:rPr>
                <w:rFonts w:hint="eastAsia"/>
                <w:color w:val="auto"/>
                <w:highlight w:val="none"/>
                <w:lang w:val="zh-CN"/>
              </w:rPr>
              <w:t>溪湖区人民法院</w:t>
            </w:r>
          </w:p>
        </w:tc>
        <w:tc>
          <w:tcPr>
            <w:tcW w:w="1172" w:type="dxa"/>
            <w:tcBorders>
              <w:bottom w:val="single" w:color="000000" w:sz="4" w:space="0"/>
              <w:tl2br w:val="nil"/>
              <w:tr2bl w:val="nil"/>
            </w:tcBorders>
            <w:vAlign w:val="center"/>
          </w:tcPr>
          <w:p w14:paraId="1A131E4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cs="Times New Roman"/>
                <w:color w:val="auto"/>
                <w:szCs w:val="21"/>
                <w:highlight w:val="none"/>
                <w:lang w:eastAsia="zh-CN"/>
              </w:rPr>
            </w:pPr>
            <w:r>
              <w:rPr>
                <w:rFonts w:hint="eastAsia" w:cs="Times New Roman"/>
                <w:color w:val="auto"/>
                <w:szCs w:val="21"/>
                <w:highlight w:val="none"/>
                <w:lang w:eastAsia="zh-CN"/>
              </w:rPr>
              <w:t>水泵</w:t>
            </w:r>
          </w:p>
        </w:tc>
        <w:tc>
          <w:tcPr>
            <w:tcW w:w="885" w:type="dxa"/>
            <w:tcBorders>
              <w:bottom w:val="single" w:color="000000" w:sz="4" w:space="0"/>
              <w:tl2br w:val="nil"/>
              <w:tr2bl w:val="nil"/>
            </w:tcBorders>
            <w:vAlign w:val="center"/>
          </w:tcPr>
          <w:p w14:paraId="334DE71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70</w:t>
            </w:r>
          </w:p>
        </w:tc>
        <w:tc>
          <w:tcPr>
            <w:tcW w:w="804" w:type="dxa"/>
            <w:tcBorders>
              <w:bottom w:val="single" w:color="000000" w:sz="4" w:space="0"/>
              <w:tl2br w:val="nil"/>
              <w:tr2bl w:val="nil"/>
            </w:tcBorders>
            <w:vAlign w:val="center"/>
          </w:tcPr>
          <w:p w14:paraId="3E09FB5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2</w:t>
            </w:r>
          </w:p>
        </w:tc>
        <w:tc>
          <w:tcPr>
            <w:tcW w:w="1512" w:type="dxa"/>
            <w:vMerge w:val="restart"/>
            <w:tcBorders>
              <w:tl2br w:val="nil"/>
              <w:tr2bl w:val="nil"/>
            </w:tcBorders>
            <w:vAlign w:val="center"/>
          </w:tcPr>
          <w:p w14:paraId="5FD4364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减振、隔声25</w:t>
            </w:r>
          </w:p>
        </w:tc>
        <w:tc>
          <w:tcPr>
            <w:tcW w:w="988" w:type="dxa"/>
            <w:tcBorders>
              <w:bottom w:val="single" w:color="000000" w:sz="4" w:space="0"/>
              <w:tl2br w:val="nil"/>
              <w:tr2bl w:val="nil"/>
            </w:tcBorders>
            <w:vAlign w:val="center"/>
          </w:tcPr>
          <w:p w14:paraId="3C9FDC9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90</w:t>
            </w:r>
          </w:p>
        </w:tc>
        <w:tc>
          <w:tcPr>
            <w:tcW w:w="800" w:type="dxa"/>
            <w:tcBorders>
              <w:bottom w:val="single" w:color="000000" w:sz="4" w:space="0"/>
              <w:tl2br w:val="nil"/>
              <w:tr2bl w:val="nil"/>
            </w:tcBorders>
            <w:vAlign w:val="center"/>
          </w:tcPr>
          <w:p w14:paraId="3216CD6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eastAsia="zh-CN"/>
              </w:rPr>
            </w:pPr>
            <w:r>
              <w:rPr>
                <w:rFonts w:hint="default" w:ascii="Times New Roman" w:hAnsi="Times New Roman" w:cs="Times New Roman"/>
                <w:color w:val="auto"/>
                <w:highlight w:val="none"/>
              </w:rPr>
              <w:t>昼</w:t>
            </w:r>
          </w:p>
        </w:tc>
        <w:tc>
          <w:tcPr>
            <w:tcW w:w="934" w:type="dxa"/>
            <w:tcBorders>
              <w:bottom w:val="single" w:color="000000" w:sz="4" w:space="0"/>
              <w:tl2br w:val="nil"/>
              <w:tr2bl w:val="nil"/>
            </w:tcBorders>
            <w:vAlign w:val="center"/>
          </w:tcPr>
          <w:p w14:paraId="428B114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54.5</w:t>
            </w:r>
          </w:p>
        </w:tc>
        <w:tc>
          <w:tcPr>
            <w:tcW w:w="640" w:type="dxa"/>
            <w:tcBorders>
              <w:bottom w:val="single" w:color="000000" w:sz="4" w:space="0"/>
              <w:tl2br w:val="nil"/>
              <w:tr2bl w:val="nil"/>
            </w:tcBorders>
            <w:vAlign w:val="center"/>
          </w:tcPr>
          <w:p w14:paraId="24186CE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60</w:t>
            </w:r>
          </w:p>
        </w:tc>
        <w:tc>
          <w:tcPr>
            <w:tcW w:w="632" w:type="dxa"/>
            <w:tcBorders>
              <w:bottom w:val="single" w:color="000000" w:sz="4" w:space="0"/>
              <w:tl2br w:val="nil"/>
              <w:tr2bl w:val="nil"/>
            </w:tcBorders>
            <w:vAlign w:val="center"/>
          </w:tcPr>
          <w:p w14:paraId="332BA71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286E4216">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230" w:hRule="atLeast"/>
          <w:jc w:val="center"/>
        </w:trPr>
        <w:tc>
          <w:tcPr>
            <w:tcW w:w="881" w:type="dxa"/>
            <w:vMerge w:val="continue"/>
            <w:tcBorders>
              <w:tl2br w:val="nil"/>
              <w:tr2bl w:val="nil"/>
            </w:tcBorders>
            <w:vAlign w:val="center"/>
          </w:tcPr>
          <w:p w14:paraId="4E01B2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olor w:val="auto"/>
                <w:highlight w:val="none"/>
                <w:lang w:val="zh-CN"/>
              </w:rPr>
            </w:pPr>
          </w:p>
        </w:tc>
        <w:tc>
          <w:tcPr>
            <w:tcW w:w="1172" w:type="dxa"/>
            <w:tcBorders>
              <w:top w:val="single" w:color="000000" w:sz="4" w:space="0"/>
              <w:tl2br w:val="nil"/>
              <w:tr2bl w:val="nil"/>
            </w:tcBorders>
            <w:vAlign w:val="center"/>
          </w:tcPr>
          <w:p w14:paraId="6260909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cs="Times New Roman"/>
                <w:color w:val="auto"/>
                <w:szCs w:val="21"/>
                <w:highlight w:val="none"/>
                <w:lang w:eastAsia="zh-CN"/>
              </w:rPr>
            </w:pPr>
            <w:r>
              <w:rPr>
                <w:rFonts w:hint="eastAsia" w:cs="Times New Roman"/>
                <w:color w:val="auto"/>
                <w:szCs w:val="21"/>
                <w:highlight w:val="none"/>
                <w:lang w:eastAsia="zh-CN"/>
              </w:rPr>
              <w:t>冷却机组</w:t>
            </w:r>
          </w:p>
        </w:tc>
        <w:tc>
          <w:tcPr>
            <w:tcW w:w="885" w:type="dxa"/>
            <w:tcBorders>
              <w:top w:val="single" w:color="000000" w:sz="4" w:space="0"/>
              <w:tl2br w:val="nil"/>
              <w:tr2bl w:val="nil"/>
            </w:tcBorders>
            <w:vAlign w:val="center"/>
          </w:tcPr>
          <w:p w14:paraId="2400730C">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804" w:type="dxa"/>
            <w:tcBorders>
              <w:top w:val="single" w:color="000000" w:sz="4" w:space="0"/>
              <w:tl2br w:val="nil"/>
              <w:tr2bl w:val="nil"/>
            </w:tcBorders>
            <w:vAlign w:val="center"/>
          </w:tcPr>
          <w:p w14:paraId="03D991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1</w:t>
            </w:r>
          </w:p>
        </w:tc>
        <w:tc>
          <w:tcPr>
            <w:tcW w:w="1512" w:type="dxa"/>
            <w:vMerge w:val="continue"/>
            <w:tcBorders>
              <w:tl2br w:val="nil"/>
              <w:tr2bl w:val="nil"/>
            </w:tcBorders>
            <w:vAlign w:val="center"/>
          </w:tcPr>
          <w:p w14:paraId="332258A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p>
        </w:tc>
        <w:tc>
          <w:tcPr>
            <w:tcW w:w="988" w:type="dxa"/>
            <w:tcBorders>
              <w:top w:val="single" w:color="000000" w:sz="4" w:space="0"/>
              <w:tl2br w:val="nil"/>
              <w:tr2bl w:val="nil"/>
            </w:tcBorders>
            <w:vAlign w:val="center"/>
          </w:tcPr>
          <w:p w14:paraId="31255AF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80</w:t>
            </w:r>
          </w:p>
        </w:tc>
        <w:tc>
          <w:tcPr>
            <w:tcW w:w="800" w:type="dxa"/>
            <w:tcBorders>
              <w:top w:val="single" w:color="000000" w:sz="4" w:space="0"/>
              <w:tl2br w:val="nil"/>
              <w:tr2bl w:val="nil"/>
            </w:tcBorders>
            <w:vAlign w:val="center"/>
          </w:tcPr>
          <w:p w14:paraId="6AD3CAC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eastAsia="zh-CN"/>
              </w:rPr>
            </w:pPr>
            <w:r>
              <w:rPr>
                <w:rFonts w:hint="eastAsia" w:cs="Times New Roman"/>
                <w:color w:val="auto"/>
                <w:highlight w:val="none"/>
                <w:lang w:eastAsia="zh-CN"/>
              </w:rPr>
              <w:t>夜</w:t>
            </w:r>
          </w:p>
        </w:tc>
        <w:tc>
          <w:tcPr>
            <w:tcW w:w="934" w:type="dxa"/>
            <w:tcBorders>
              <w:top w:val="single" w:color="000000" w:sz="4" w:space="0"/>
              <w:tl2br w:val="nil"/>
              <w:tr2bl w:val="nil"/>
            </w:tcBorders>
            <w:vAlign w:val="center"/>
          </w:tcPr>
          <w:p w14:paraId="7663816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42.5</w:t>
            </w:r>
          </w:p>
        </w:tc>
        <w:tc>
          <w:tcPr>
            <w:tcW w:w="640" w:type="dxa"/>
            <w:tcBorders>
              <w:top w:val="single" w:color="000000" w:sz="4" w:space="0"/>
              <w:tl2br w:val="nil"/>
              <w:tr2bl w:val="nil"/>
            </w:tcBorders>
            <w:vAlign w:val="center"/>
          </w:tcPr>
          <w:p w14:paraId="47B3A3D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50</w:t>
            </w:r>
          </w:p>
        </w:tc>
        <w:tc>
          <w:tcPr>
            <w:tcW w:w="632" w:type="dxa"/>
            <w:tcBorders>
              <w:top w:val="single" w:color="000000" w:sz="4" w:space="0"/>
              <w:tl2br w:val="nil"/>
              <w:tr2bl w:val="nil"/>
            </w:tcBorders>
            <w:vAlign w:val="center"/>
          </w:tcPr>
          <w:p w14:paraId="04F34D9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1F20EBBF">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301" w:hRule="atLeast"/>
          <w:jc w:val="center"/>
        </w:trPr>
        <w:tc>
          <w:tcPr>
            <w:tcW w:w="881" w:type="dxa"/>
            <w:vMerge w:val="restart"/>
            <w:tcBorders>
              <w:tl2br w:val="nil"/>
              <w:tr2bl w:val="nil"/>
            </w:tcBorders>
            <w:vAlign w:val="center"/>
          </w:tcPr>
          <w:p w14:paraId="37EA4C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s="Times New Roman"/>
                <w:color w:val="auto"/>
                <w:highlight w:val="none"/>
                <w:lang w:eastAsia="zh-CN"/>
              </w:rPr>
            </w:pPr>
            <w:r>
              <w:rPr>
                <w:rFonts w:hint="eastAsia"/>
                <w:color w:val="auto"/>
                <w:highlight w:val="none"/>
                <w:lang w:val="zh-CN"/>
              </w:rPr>
              <w:t>溪湖区政府</w:t>
            </w:r>
          </w:p>
        </w:tc>
        <w:tc>
          <w:tcPr>
            <w:tcW w:w="1172" w:type="dxa"/>
            <w:tcBorders>
              <w:bottom w:val="single" w:color="000000" w:sz="4" w:space="0"/>
              <w:tl2br w:val="nil"/>
              <w:tr2bl w:val="nil"/>
            </w:tcBorders>
            <w:vAlign w:val="center"/>
          </w:tcPr>
          <w:p w14:paraId="6B47F8FE">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cs="Times New Roman"/>
                <w:color w:val="auto"/>
                <w:szCs w:val="21"/>
                <w:highlight w:val="none"/>
                <w:lang w:eastAsia="zh-CN"/>
              </w:rPr>
            </w:pPr>
            <w:r>
              <w:rPr>
                <w:rFonts w:hint="eastAsia" w:cs="Times New Roman"/>
                <w:color w:val="auto"/>
                <w:szCs w:val="21"/>
                <w:highlight w:val="none"/>
                <w:lang w:eastAsia="zh-CN"/>
              </w:rPr>
              <w:t>水泵</w:t>
            </w:r>
          </w:p>
        </w:tc>
        <w:tc>
          <w:tcPr>
            <w:tcW w:w="885" w:type="dxa"/>
            <w:tcBorders>
              <w:bottom w:val="single" w:color="000000" w:sz="4" w:space="0"/>
              <w:tl2br w:val="nil"/>
              <w:tr2bl w:val="nil"/>
            </w:tcBorders>
            <w:vAlign w:val="center"/>
          </w:tcPr>
          <w:p w14:paraId="69243F6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70</w:t>
            </w:r>
          </w:p>
        </w:tc>
        <w:tc>
          <w:tcPr>
            <w:tcW w:w="804" w:type="dxa"/>
            <w:tcBorders>
              <w:bottom w:val="single" w:color="000000" w:sz="4" w:space="0"/>
              <w:tl2br w:val="nil"/>
              <w:tr2bl w:val="nil"/>
            </w:tcBorders>
            <w:vAlign w:val="center"/>
          </w:tcPr>
          <w:p w14:paraId="4D46E11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2</w:t>
            </w:r>
          </w:p>
        </w:tc>
        <w:tc>
          <w:tcPr>
            <w:tcW w:w="1512" w:type="dxa"/>
            <w:vMerge w:val="restart"/>
            <w:tcBorders>
              <w:tl2br w:val="nil"/>
              <w:tr2bl w:val="nil"/>
            </w:tcBorders>
            <w:vAlign w:val="center"/>
          </w:tcPr>
          <w:p w14:paraId="75D14FE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减振、隔声25</w:t>
            </w:r>
          </w:p>
        </w:tc>
        <w:tc>
          <w:tcPr>
            <w:tcW w:w="988" w:type="dxa"/>
            <w:tcBorders>
              <w:bottom w:val="single" w:color="000000" w:sz="4" w:space="0"/>
              <w:tl2br w:val="nil"/>
              <w:tr2bl w:val="nil"/>
            </w:tcBorders>
            <w:vAlign w:val="center"/>
          </w:tcPr>
          <w:p w14:paraId="4F81C40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116</w:t>
            </w:r>
          </w:p>
        </w:tc>
        <w:tc>
          <w:tcPr>
            <w:tcW w:w="800" w:type="dxa"/>
            <w:tcBorders>
              <w:bottom w:val="single" w:color="000000" w:sz="4" w:space="0"/>
              <w:tl2br w:val="nil"/>
              <w:tr2bl w:val="nil"/>
            </w:tcBorders>
            <w:vAlign w:val="center"/>
          </w:tcPr>
          <w:p w14:paraId="2A08FCE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eastAsia="zh-CN"/>
              </w:rPr>
            </w:pPr>
            <w:r>
              <w:rPr>
                <w:rFonts w:hint="default" w:ascii="Times New Roman" w:hAnsi="Times New Roman" w:cs="Times New Roman"/>
                <w:color w:val="auto"/>
                <w:highlight w:val="none"/>
              </w:rPr>
              <w:t>昼</w:t>
            </w:r>
          </w:p>
        </w:tc>
        <w:tc>
          <w:tcPr>
            <w:tcW w:w="934" w:type="dxa"/>
            <w:tcBorders>
              <w:bottom w:val="single" w:color="000000" w:sz="4" w:space="0"/>
              <w:tl2br w:val="nil"/>
              <w:tr2bl w:val="nil"/>
            </w:tcBorders>
            <w:vAlign w:val="center"/>
          </w:tcPr>
          <w:p w14:paraId="3964C98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54.5</w:t>
            </w:r>
          </w:p>
        </w:tc>
        <w:tc>
          <w:tcPr>
            <w:tcW w:w="640" w:type="dxa"/>
            <w:tcBorders>
              <w:bottom w:val="single" w:color="000000" w:sz="4" w:space="0"/>
              <w:tl2br w:val="nil"/>
              <w:tr2bl w:val="nil"/>
            </w:tcBorders>
            <w:vAlign w:val="center"/>
          </w:tcPr>
          <w:p w14:paraId="2FD92F9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60</w:t>
            </w:r>
          </w:p>
        </w:tc>
        <w:tc>
          <w:tcPr>
            <w:tcW w:w="632" w:type="dxa"/>
            <w:tcBorders>
              <w:bottom w:val="single" w:color="000000" w:sz="4" w:space="0"/>
              <w:tl2br w:val="nil"/>
              <w:tr2bl w:val="nil"/>
            </w:tcBorders>
            <w:vAlign w:val="center"/>
          </w:tcPr>
          <w:p w14:paraId="223D8F1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3ED5AFA9">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341" w:hRule="atLeast"/>
          <w:jc w:val="center"/>
        </w:trPr>
        <w:tc>
          <w:tcPr>
            <w:tcW w:w="881" w:type="dxa"/>
            <w:vMerge w:val="continue"/>
            <w:tcBorders>
              <w:tl2br w:val="nil"/>
              <w:tr2bl w:val="nil"/>
            </w:tcBorders>
            <w:vAlign w:val="center"/>
          </w:tcPr>
          <w:p w14:paraId="10C1BE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olor w:val="auto"/>
                <w:highlight w:val="none"/>
                <w:lang w:val="zh-CN"/>
              </w:rPr>
            </w:pPr>
          </w:p>
        </w:tc>
        <w:tc>
          <w:tcPr>
            <w:tcW w:w="1172" w:type="dxa"/>
            <w:tcBorders>
              <w:top w:val="single" w:color="000000" w:sz="4" w:space="0"/>
              <w:bottom w:val="single" w:color="000000" w:sz="4" w:space="0"/>
              <w:tl2br w:val="nil"/>
              <w:tr2bl w:val="nil"/>
            </w:tcBorders>
            <w:vAlign w:val="center"/>
          </w:tcPr>
          <w:p w14:paraId="5BEDC33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cs="Times New Roman"/>
                <w:color w:val="auto"/>
                <w:szCs w:val="21"/>
                <w:highlight w:val="none"/>
                <w:lang w:eastAsia="zh-CN"/>
              </w:rPr>
            </w:pPr>
            <w:r>
              <w:rPr>
                <w:rFonts w:hint="eastAsia" w:cs="Times New Roman"/>
                <w:color w:val="auto"/>
                <w:szCs w:val="21"/>
                <w:highlight w:val="none"/>
                <w:lang w:eastAsia="zh-CN"/>
              </w:rPr>
              <w:t>冷却机组</w:t>
            </w:r>
          </w:p>
        </w:tc>
        <w:tc>
          <w:tcPr>
            <w:tcW w:w="885" w:type="dxa"/>
            <w:tcBorders>
              <w:top w:val="single" w:color="000000" w:sz="4" w:space="0"/>
              <w:bottom w:val="single" w:color="000000" w:sz="4" w:space="0"/>
              <w:tl2br w:val="nil"/>
              <w:tr2bl w:val="nil"/>
            </w:tcBorders>
            <w:vAlign w:val="center"/>
          </w:tcPr>
          <w:p w14:paraId="77C599D7">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804" w:type="dxa"/>
            <w:tcBorders>
              <w:top w:val="single" w:color="000000" w:sz="4" w:space="0"/>
              <w:bottom w:val="single" w:color="000000" w:sz="4" w:space="0"/>
              <w:tl2br w:val="nil"/>
              <w:tr2bl w:val="nil"/>
            </w:tcBorders>
            <w:vAlign w:val="center"/>
          </w:tcPr>
          <w:p w14:paraId="506599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1</w:t>
            </w:r>
          </w:p>
        </w:tc>
        <w:tc>
          <w:tcPr>
            <w:tcW w:w="1512" w:type="dxa"/>
            <w:vMerge w:val="continue"/>
            <w:tcBorders>
              <w:tl2br w:val="nil"/>
              <w:tr2bl w:val="nil"/>
            </w:tcBorders>
            <w:vAlign w:val="center"/>
          </w:tcPr>
          <w:p w14:paraId="005153E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p>
        </w:tc>
        <w:tc>
          <w:tcPr>
            <w:tcW w:w="988" w:type="dxa"/>
            <w:tcBorders>
              <w:top w:val="single" w:color="000000" w:sz="4" w:space="0"/>
              <w:bottom w:val="single" w:color="000000" w:sz="4" w:space="0"/>
              <w:tl2br w:val="nil"/>
              <w:tr2bl w:val="nil"/>
            </w:tcBorders>
            <w:vAlign w:val="center"/>
          </w:tcPr>
          <w:p w14:paraId="18956F1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110</w:t>
            </w:r>
          </w:p>
        </w:tc>
        <w:tc>
          <w:tcPr>
            <w:tcW w:w="800" w:type="dxa"/>
            <w:tcBorders>
              <w:top w:val="single" w:color="000000" w:sz="4" w:space="0"/>
              <w:bottom w:val="single" w:color="000000" w:sz="4" w:space="0"/>
              <w:tl2br w:val="nil"/>
              <w:tr2bl w:val="nil"/>
            </w:tcBorders>
            <w:vAlign w:val="center"/>
          </w:tcPr>
          <w:p w14:paraId="149CB68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eastAsia="zh-CN"/>
              </w:rPr>
            </w:pPr>
            <w:r>
              <w:rPr>
                <w:rFonts w:hint="eastAsia" w:cs="Times New Roman"/>
                <w:color w:val="auto"/>
                <w:highlight w:val="none"/>
                <w:lang w:eastAsia="zh-CN"/>
              </w:rPr>
              <w:t>夜</w:t>
            </w:r>
          </w:p>
        </w:tc>
        <w:tc>
          <w:tcPr>
            <w:tcW w:w="934" w:type="dxa"/>
            <w:tcBorders>
              <w:top w:val="single" w:color="000000" w:sz="4" w:space="0"/>
              <w:bottom w:val="single" w:color="000000" w:sz="4" w:space="0"/>
              <w:tl2br w:val="nil"/>
              <w:tr2bl w:val="nil"/>
            </w:tcBorders>
            <w:vAlign w:val="center"/>
          </w:tcPr>
          <w:p w14:paraId="4079592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42.5</w:t>
            </w:r>
          </w:p>
        </w:tc>
        <w:tc>
          <w:tcPr>
            <w:tcW w:w="640" w:type="dxa"/>
            <w:tcBorders>
              <w:top w:val="single" w:color="000000" w:sz="4" w:space="0"/>
              <w:bottom w:val="single" w:color="000000" w:sz="4" w:space="0"/>
              <w:tl2br w:val="nil"/>
              <w:tr2bl w:val="nil"/>
            </w:tcBorders>
            <w:vAlign w:val="center"/>
          </w:tcPr>
          <w:p w14:paraId="5281ABC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50</w:t>
            </w:r>
          </w:p>
        </w:tc>
        <w:tc>
          <w:tcPr>
            <w:tcW w:w="632" w:type="dxa"/>
            <w:tcBorders>
              <w:top w:val="single" w:color="000000" w:sz="4" w:space="0"/>
              <w:bottom w:val="single" w:color="000000" w:sz="4" w:space="0"/>
              <w:tl2br w:val="nil"/>
              <w:tr2bl w:val="nil"/>
            </w:tcBorders>
            <w:vAlign w:val="center"/>
          </w:tcPr>
          <w:p w14:paraId="5A8D9BE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0B7A8415">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191" w:hRule="atLeast"/>
          <w:jc w:val="center"/>
        </w:trPr>
        <w:tc>
          <w:tcPr>
            <w:tcW w:w="881" w:type="dxa"/>
            <w:vMerge w:val="restart"/>
            <w:tcBorders>
              <w:tl2br w:val="nil"/>
              <w:tr2bl w:val="nil"/>
            </w:tcBorders>
            <w:vAlign w:val="center"/>
          </w:tcPr>
          <w:p w14:paraId="7B5551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olor w:val="auto"/>
                <w:highlight w:val="none"/>
                <w:lang w:val="zh-CN"/>
              </w:rPr>
            </w:pPr>
            <w:r>
              <w:rPr>
                <w:rFonts w:hint="eastAsia"/>
                <w:color w:val="auto"/>
                <w:highlight w:val="none"/>
                <w:lang w:val="zh-CN"/>
              </w:rPr>
              <w:t>病房</w:t>
            </w:r>
          </w:p>
        </w:tc>
        <w:tc>
          <w:tcPr>
            <w:tcW w:w="1172" w:type="dxa"/>
            <w:tcBorders>
              <w:top w:val="single" w:color="000000" w:sz="4" w:space="0"/>
              <w:bottom w:val="single" w:color="auto" w:sz="4" w:space="0"/>
              <w:tl2br w:val="nil"/>
              <w:tr2bl w:val="nil"/>
            </w:tcBorders>
            <w:vAlign w:val="center"/>
          </w:tcPr>
          <w:p w14:paraId="1D93491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cs="Times New Roman"/>
                <w:color w:val="auto"/>
                <w:szCs w:val="21"/>
                <w:highlight w:val="none"/>
                <w:lang w:eastAsia="zh-CN"/>
              </w:rPr>
            </w:pPr>
            <w:r>
              <w:rPr>
                <w:rFonts w:hint="eastAsia" w:cs="Times New Roman"/>
                <w:color w:val="auto"/>
                <w:szCs w:val="21"/>
                <w:highlight w:val="none"/>
                <w:lang w:eastAsia="zh-CN"/>
              </w:rPr>
              <w:t>水泵</w:t>
            </w:r>
          </w:p>
        </w:tc>
        <w:tc>
          <w:tcPr>
            <w:tcW w:w="885" w:type="dxa"/>
            <w:tcBorders>
              <w:top w:val="single" w:color="000000" w:sz="4" w:space="0"/>
              <w:bottom w:val="single" w:color="auto" w:sz="4" w:space="0"/>
              <w:tl2br w:val="nil"/>
              <w:tr2bl w:val="nil"/>
            </w:tcBorders>
            <w:vAlign w:val="center"/>
          </w:tcPr>
          <w:p w14:paraId="04A00B2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70</w:t>
            </w:r>
          </w:p>
        </w:tc>
        <w:tc>
          <w:tcPr>
            <w:tcW w:w="804" w:type="dxa"/>
            <w:tcBorders>
              <w:top w:val="single" w:color="000000" w:sz="4" w:space="0"/>
              <w:bottom w:val="single" w:color="auto" w:sz="4" w:space="0"/>
              <w:tl2br w:val="nil"/>
              <w:tr2bl w:val="nil"/>
            </w:tcBorders>
            <w:vAlign w:val="center"/>
          </w:tcPr>
          <w:p w14:paraId="60D561C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2</w:t>
            </w:r>
          </w:p>
        </w:tc>
        <w:tc>
          <w:tcPr>
            <w:tcW w:w="1512" w:type="dxa"/>
            <w:vMerge w:val="restart"/>
            <w:tcBorders>
              <w:tl2br w:val="nil"/>
              <w:tr2bl w:val="nil"/>
            </w:tcBorders>
            <w:vAlign w:val="center"/>
          </w:tcPr>
          <w:p w14:paraId="2FE831A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减振、隔声25</w:t>
            </w:r>
          </w:p>
        </w:tc>
        <w:tc>
          <w:tcPr>
            <w:tcW w:w="988" w:type="dxa"/>
            <w:tcBorders>
              <w:top w:val="single" w:color="000000" w:sz="4" w:space="0"/>
              <w:bottom w:val="single" w:color="auto" w:sz="4" w:space="0"/>
              <w:tl2br w:val="nil"/>
              <w:tr2bl w:val="nil"/>
            </w:tcBorders>
            <w:vAlign w:val="center"/>
          </w:tcPr>
          <w:p w14:paraId="0F18967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7</w:t>
            </w:r>
          </w:p>
        </w:tc>
        <w:tc>
          <w:tcPr>
            <w:tcW w:w="800" w:type="dxa"/>
            <w:tcBorders>
              <w:top w:val="single" w:color="000000" w:sz="4" w:space="0"/>
              <w:bottom w:val="single" w:color="auto" w:sz="4" w:space="0"/>
              <w:tl2br w:val="nil"/>
              <w:tr2bl w:val="nil"/>
            </w:tcBorders>
            <w:vAlign w:val="center"/>
          </w:tcPr>
          <w:p w14:paraId="33983CC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eastAsia="zh-CN"/>
              </w:rPr>
            </w:pPr>
            <w:r>
              <w:rPr>
                <w:rFonts w:hint="default" w:ascii="Times New Roman" w:hAnsi="Times New Roman" w:cs="Times New Roman"/>
                <w:color w:val="auto"/>
                <w:highlight w:val="none"/>
              </w:rPr>
              <w:t>昼</w:t>
            </w:r>
          </w:p>
        </w:tc>
        <w:tc>
          <w:tcPr>
            <w:tcW w:w="934" w:type="dxa"/>
            <w:tcBorders>
              <w:top w:val="single" w:color="000000" w:sz="4" w:space="0"/>
              <w:bottom w:val="single" w:color="auto" w:sz="4" w:space="0"/>
              <w:tl2br w:val="nil"/>
              <w:tr2bl w:val="nil"/>
            </w:tcBorders>
            <w:vAlign w:val="center"/>
          </w:tcPr>
          <w:p w14:paraId="112C502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32.4</w:t>
            </w:r>
          </w:p>
        </w:tc>
        <w:tc>
          <w:tcPr>
            <w:tcW w:w="640" w:type="dxa"/>
            <w:tcBorders>
              <w:top w:val="single" w:color="000000" w:sz="4" w:space="0"/>
              <w:bottom w:val="single" w:color="auto" w:sz="4" w:space="0"/>
              <w:tl2br w:val="nil"/>
              <w:tr2bl w:val="nil"/>
            </w:tcBorders>
            <w:vAlign w:val="center"/>
          </w:tcPr>
          <w:p w14:paraId="54D0DEE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45</w:t>
            </w:r>
          </w:p>
        </w:tc>
        <w:tc>
          <w:tcPr>
            <w:tcW w:w="632" w:type="dxa"/>
            <w:tcBorders>
              <w:top w:val="single" w:color="000000" w:sz="4" w:space="0"/>
              <w:bottom w:val="single" w:color="auto" w:sz="4" w:space="0"/>
              <w:tl2br w:val="nil"/>
              <w:tr2bl w:val="nil"/>
            </w:tcBorders>
            <w:vAlign w:val="center"/>
          </w:tcPr>
          <w:p w14:paraId="5BD2E44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r w14:paraId="55E5E155">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0" w:type="dxa"/>
            <w:bottom w:w="0" w:type="dxa"/>
            <w:right w:w="0" w:type="dxa"/>
          </w:tblCellMar>
        </w:tblPrEx>
        <w:trPr>
          <w:trHeight w:val="190" w:hRule="atLeast"/>
          <w:jc w:val="center"/>
        </w:trPr>
        <w:tc>
          <w:tcPr>
            <w:tcW w:w="881" w:type="dxa"/>
            <w:vMerge w:val="continue"/>
            <w:tcBorders>
              <w:tl2br w:val="nil"/>
              <w:tr2bl w:val="nil"/>
            </w:tcBorders>
            <w:vAlign w:val="center"/>
          </w:tcPr>
          <w:p w14:paraId="7BD6506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color w:val="auto"/>
                <w:highlight w:val="none"/>
                <w:lang w:val="zh-CN"/>
              </w:rPr>
            </w:pPr>
          </w:p>
        </w:tc>
        <w:tc>
          <w:tcPr>
            <w:tcW w:w="1172" w:type="dxa"/>
            <w:tcBorders>
              <w:top w:val="single" w:color="auto" w:sz="4" w:space="0"/>
              <w:tl2br w:val="nil"/>
              <w:tr2bl w:val="nil"/>
            </w:tcBorders>
            <w:vAlign w:val="center"/>
          </w:tcPr>
          <w:p w14:paraId="688D9E3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cs="Times New Roman"/>
                <w:color w:val="auto"/>
                <w:szCs w:val="21"/>
                <w:highlight w:val="none"/>
                <w:lang w:eastAsia="zh-CN"/>
              </w:rPr>
            </w:pPr>
            <w:r>
              <w:rPr>
                <w:rFonts w:hint="eastAsia" w:cs="Times New Roman"/>
                <w:color w:val="auto"/>
                <w:szCs w:val="21"/>
                <w:highlight w:val="none"/>
                <w:lang w:eastAsia="zh-CN"/>
              </w:rPr>
              <w:t>冷却机组</w:t>
            </w:r>
          </w:p>
        </w:tc>
        <w:tc>
          <w:tcPr>
            <w:tcW w:w="885" w:type="dxa"/>
            <w:tcBorders>
              <w:top w:val="single" w:color="auto" w:sz="4" w:space="0"/>
              <w:tl2br w:val="nil"/>
              <w:tr2bl w:val="nil"/>
            </w:tcBorders>
            <w:vAlign w:val="center"/>
          </w:tcPr>
          <w:p w14:paraId="5E5858D5">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804" w:type="dxa"/>
            <w:tcBorders>
              <w:top w:val="single" w:color="auto" w:sz="4" w:space="0"/>
              <w:tl2br w:val="nil"/>
              <w:tr2bl w:val="nil"/>
            </w:tcBorders>
            <w:vAlign w:val="center"/>
          </w:tcPr>
          <w:p w14:paraId="63552D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szCs w:val="21"/>
                <w:highlight w:val="none"/>
                <w:lang w:val="en-US" w:eastAsia="zh-CN"/>
              </w:rPr>
            </w:pPr>
            <w:r>
              <w:rPr>
                <w:rFonts w:hint="eastAsia" w:cs="Times New Roman"/>
                <w:color w:val="auto"/>
                <w:szCs w:val="21"/>
                <w:highlight w:val="none"/>
                <w:lang w:val="en-US" w:eastAsia="zh-CN"/>
              </w:rPr>
              <w:t>1</w:t>
            </w:r>
          </w:p>
        </w:tc>
        <w:tc>
          <w:tcPr>
            <w:tcW w:w="1512" w:type="dxa"/>
            <w:vMerge w:val="continue"/>
            <w:tcBorders>
              <w:tl2br w:val="nil"/>
              <w:tr2bl w:val="nil"/>
            </w:tcBorders>
            <w:vAlign w:val="center"/>
          </w:tcPr>
          <w:p w14:paraId="0295ED85">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p>
        </w:tc>
        <w:tc>
          <w:tcPr>
            <w:tcW w:w="988" w:type="dxa"/>
            <w:tcBorders>
              <w:top w:val="single" w:color="auto" w:sz="4" w:space="0"/>
              <w:tl2br w:val="nil"/>
              <w:tr2bl w:val="nil"/>
            </w:tcBorders>
            <w:vAlign w:val="center"/>
          </w:tcPr>
          <w:p w14:paraId="6E29EC1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15</w:t>
            </w:r>
          </w:p>
        </w:tc>
        <w:tc>
          <w:tcPr>
            <w:tcW w:w="800" w:type="dxa"/>
            <w:tcBorders>
              <w:top w:val="single" w:color="auto" w:sz="4" w:space="0"/>
              <w:tl2br w:val="nil"/>
              <w:tr2bl w:val="nil"/>
            </w:tcBorders>
            <w:vAlign w:val="center"/>
          </w:tcPr>
          <w:p w14:paraId="5A03733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eastAsia="zh-CN"/>
              </w:rPr>
            </w:pPr>
            <w:r>
              <w:rPr>
                <w:rFonts w:hint="eastAsia" w:cs="Times New Roman"/>
                <w:color w:val="auto"/>
                <w:highlight w:val="none"/>
                <w:lang w:eastAsia="zh-CN"/>
              </w:rPr>
              <w:t>夜</w:t>
            </w:r>
          </w:p>
        </w:tc>
        <w:tc>
          <w:tcPr>
            <w:tcW w:w="934" w:type="dxa"/>
            <w:tcBorders>
              <w:top w:val="single" w:color="auto" w:sz="4" w:space="0"/>
              <w:tl2br w:val="nil"/>
              <w:tr2bl w:val="nil"/>
            </w:tcBorders>
            <w:vAlign w:val="center"/>
          </w:tcPr>
          <w:p w14:paraId="4FB692D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32.4</w:t>
            </w:r>
          </w:p>
        </w:tc>
        <w:tc>
          <w:tcPr>
            <w:tcW w:w="640" w:type="dxa"/>
            <w:tcBorders>
              <w:top w:val="single" w:color="auto" w:sz="4" w:space="0"/>
              <w:tl2br w:val="nil"/>
              <w:tr2bl w:val="nil"/>
            </w:tcBorders>
            <w:vAlign w:val="center"/>
          </w:tcPr>
          <w:p w14:paraId="47F2CCC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cs="Times New Roman"/>
                <w:color w:val="auto"/>
                <w:highlight w:val="none"/>
                <w:lang w:val="en-US" w:eastAsia="zh-CN"/>
              </w:rPr>
            </w:pPr>
            <w:r>
              <w:rPr>
                <w:rFonts w:hint="eastAsia" w:cs="Times New Roman"/>
                <w:color w:val="auto"/>
                <w:highlight w:val="none"/>
                <w:lang w:val="en-US" w:eastAsia="zh-CN"/>
              </w:rPr>
              <w:t>35</w:t>
            </w:r>
          </w:p>
        </w:tc>
        <w:tc>
          <w:tcPr>
            <w:tcW w:w="632" w:type="dxa"/>
            <w:tcBorders>
              <w:top w:val="single" w:color="auto" w:sz="4" w:space="0"/>
              <w:tl2br w:val="nil"/>
              <w:tr2bl w:val="nil"/>
            </w:tcBorders>
            <w:vAlign w:val="center"/>
          </w:tcPr>
          <w:p w14:paraId="319CF7D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达标</w:t>
            </w:r>
          </w:p>
        </w:tc>
      </w:tr>
    </w:tbl>
    <w:p w14:paraId="6FC1834A">
      <w:pPr>
        <w:adjustRightInd w:val="0"/>
        <w:snapToGrid w:val="0"/>
        <w:spacing w:line="360" w:lineRule="auto"/>
        <w:ind w:firstLine="470" w:firstLineChars="196"/>
        <w:rPr>
          <w:rFonts w:hint="eastAsia" w:cs="Times New Roman"/>
          <w:color w:val="auto"/>
          <w:sz w:val="24"/>
          <w:szCs w:val="24"/>
          <w:highlight w:val="none"/>
          <w:lang w:eastAsia="zh-CN"/>
        </w:rPr>
      </w:pPr>
      <w:r>
        <w:rPr>
          <w:rFonts w:hint="eastAsia" w:cs="Times New Roman"/>
          <w:color w:val="auto"/>
          <w:sz w:val="24"/>
          <w:szCs w:val="24"/>
          <w:highlight w:val="none"/>
          <w:lang w:eastAsia="zh-CN"/>
        </w:rPr>
        <w:t>由上表可知，采取相应噪声防治措施后，本项目院区四界噪声可以满足《</w:t>
      </w:r>
      <w:r>
        <w:rPr>
          <w:rFonts w:hint="default" w:ascii="Times New Roman" w:hAnsi="Times New Roman" w:cs="Times New Roman"/>
          <w:color w:val="auto"/>
          <w:sz w:val="24"/>
          <w:szCs w:val="24"/>
          <w:highlight w:val="none"/>
        </w:rPr>
        <w:t>工业企业厂界环境噪声排放标准》（GB12348-2008）</w:t>
      </w:r>
      <w:r>
        <w:rPr>
          <w:rFonts w:hint="eastAsia" w:cs="Times New Roman"/>
          <w:color w:val="auto"/>
          <w:sz w:val="24"/>
          <w:szCs w:val="24"/>
          <w:highlight w:val="none"/>
          <w:lang w:eastAsia="zh-CN"/>
        </w:rPr>
        <w:t>中</w:t>
      </w:r>
      <w:r>
        <w:rPr>
          <w:rFonts w:hint="default" w:ascii="Times New Roman" w:hAnsi="Times New Roman" w:cs="Times New Roman"/>
          <w:color w:val="auto"/>
          <w:sz w:val="24"/>
          <w:szCs w:val="24"/>
          <w:highlight w:val="none"/>
        </w:rPr>
        <w:t>的</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类</w:t>
      </w:r>
      <w:r>
        <w:rPr>
          <w:rFonts w:hint="eastAsia" w:cs="Times New Roman"/>
          <w:color w:val="auto"/>
          <w:sz w:val="24"/>
          <w:szCs w:val="24"/>
          <w:highlight w:val="none"/>
          <w:lang w:eastAsia="zh-CN"/>
        </w:rPr>
        <w:t>及</w:t>
      </w:r>
      <w:r>
        <w:rPr>
          <w:rFonts w:hint="default" w:ascii="Times New Roman" w:hAnsi="Times New Roman" w:cs="Times New Roman"/>
          <w:color w:val="auto"/>
          <w:sz w:val="24"/>
          <w:szCs w:val="24"/>
          <w:highlight w:val="none"/>
        </w:rPr>
        <w:t>4类标准</w:t>
      </w:r>
      <w:r>
        <w:rPr>
          <w:rFonts w:hint="eastAsia" w:cs="Times New Roman"/>
          <w:color w:val="auto"/>
          <w:sz w:val="24"/>
          <w:szCs w:val="24"/>
          <w:highlight w:val="none"/>
          <w:lang w:eastAsia="zh-CN"/>
        </w:rPr>
        <w:t>要求，各敏感点可以满足《声环境质量标准》</w:t>
      </w:r>
      <w:r>
        <w:rPr>
          <w:rFonts w:hint="eastAsia" w:cs="Times New Roman"/>
          <w:color w:val="auto"/>
          <w:sz w:val="24"/>
          <w:szCs w:val="24"/>
          <w:highlight w:val="none"/>
          <w:lang w:val="en-US" w:eastAsia="zh-CN"/>
        </w:rPr>
        <w:t>（GB3096-2008）中的2类、4a标准要求，病房满足</w:t>
      </w:r>
      <w:r>
        <w:rPr>
          <w:rFonts w:hint="eastAsia" w:ascii="宋体" w:hAnsi="宋体" w:cs="宋体"/>
          <w:sz w:val="24"/>
          <w:szCs w:val="24"/>
          <w:highlight w:val="none"/>
        </w:rPr>
        <w:t>《工业企业厂界环境噪声排放标准》（</w:t>
      </w:r>
      <w:r>
        <w:rPr>
          <w:rFonts w:ascii="宋体" w:hAnsi="宋体" w:cs="宋体"/>
          <w:sz w:val="24"/>
          <w:szCs w:val="24"/>
          <w:highlight w:val="none"/>
        </w:rPr>
        <w:t>GB13248-2</w:t>
      </w:r>
      <w:r>
        <w:rPr>
          <w:rFonts w:ascii="宋体" w:hAnsi="宋体" w:cs="宋体"/>
          <w:color w:val="auto"/>
          <w:sz w:val="24"/>
          <w:szCs w:val="24"/>
          <w:highlight w:val="none"/>
        </w:rPr>
        <w:t>008</w:t>
      </w:r>
      <w:r>
        <w:rPr>
          <w:rFonts w:hint="eastAsia" w:ascii="宋体" w:hAnsi="宋体" w:cs="宋体"/>
          <w:color w:val="auto"/>
          <w:sz w:val="24"/>
          <w:szCs w:val="24"/>
          <w:highlight w:val="none"/>
        </w:rPr>
        <w:t>）</w:t>
      </w:r>
      <w:r>
        <w:rPr>
          <w:rFonts w:hint="default" w:ascii="Times New Roman" w:hAnsi="Times New Roman" w:cs="Times New Roman"/>
          <w:color w:val="auto"/>
          <w:sz w:val="24"/>
          <w:szCs w:val="24"/>
          <w:highlight w:val="none"/>
          <w:lang w:eastAsia="zh-CN"/>
        </w:rPr>
        <w:t>表2中3类功能区A类</w:t>
      </w:r>
      <w:r>
        <w:rPr>
          <w:rFonts w:hint="default" w:ascii="Times New Roman" w:hAnsi="Times New Roman" w:cs="Times New Roman"/>
          <w:color w:val="auto"/>
          <w:sz w:val="24"/>
          <w:szCs w:val="24"/>
          <w:highlight w:val="none"/>
        </w:rPr>
        <w:t>房间标准</w:t>
      </w:r>
      <w:r>
        <w:rPr>
          <w:rFonts w:hint="default" w:ascii="Times New Roman" w:hAnsi="Times New Roman" w:cs="Times New Roman"/>
          <w:color w:val="auto"/>
          <w:sz w:val="24"/>
          <w:szCs w:val="24"/>
          <w:highlight w:val="none"/>
          <w:lang w:eastAsia="zh-CN"/>
        </w:rPr>
        <w:t>，即昼间45dB</w:t>
      </w:r>
      <w:r>
        <w:rPr>
          <w:rFonts w:hint="default" w:ascii="Times New Roman" w:hAnsi="Times New Roman" w:cs="Times New Roman"/>
          <w:color w:val="auto"/>
          <w:sz w:val="24"/>
          <w:szCs w:val="24"/>
          <w:highlight w:val="none"/>
        </w:rPr>
        <w:t>(A)、</w:t>
      </w:r>
      <w:r>
        <w:rPr>
          <w:rFonts w:hint="default" w:ascii="Times New Roman" w:hAnsi="Times New Roman" w:cs="Times New Roman"/>
          <w:color w:val="auto"/>
          <w:sz w:val="24"/>
          <w:szCs w:val="24"/>
          <w:highlight w:val="none"/>
          <w:lang w:eastAsia="zh-CN"/>
        </w:rPr>
        <w:t>夜间35dB</w:t>
      </w:r>
      <w:r>
        <w:rPr>
          <w:rFonts w:hint="default" w:ascii="Times New Roman" w:hAnsi="Times New Roman" w:cs="Times New Roman"/>
          <w:color w:val="auto"/>
          <w:sz w:val="24"/>
          <w:szCs w:val="24"/>
          <w:highlight w:val="none"/>
        </w:rPr>
        <w:t>(A)</w:t>
      </w:r>
      <w:r>
        <w:rPr>
          <w:rFonts w:hint="default" w:ascii="Times New Roman" w:hAnsi="Times New Roman" w:cs="Times New Roman"/>
          <w:color w:val="auto"/>
          <w:sz w:val="24"/>
          <w:szCs w:val="24"/>
          <w:highlight w:val="none"/>
          <w:lang w:eastAsia="zh-CN"/>
        </w:rPr>
        <w:t>，项目运营对声环境质量影响较小。</w:t>
      </w:r>
    </w:p>
    <w:p w14:paraId="35BD09FF">
      <w:pPr>
        <w:adjustRightInd w:val="0"/>
        <w:snapToGrid w:val="0"/>
        <w:spacing w:line="360" w:lineRule="auto"/>
        <w:ind w:firstLine="470" w:firstLineChars="196"/>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本项目门诊量</w:t>
      </w:r>
      <w:r>
        <w:rPr>
          <w:rFonts w:hint="eastAsia" w:cs="Times New Roman"/>
          <w:color w:val="auto"/>
          <w:sz w:val="24"/>
          <w:szCs w:val="24"/>
          <w:highlight w:val="none"/>
          <w:lang w:eastAsia="zh-CN"/>
        </w:rPr>
        <w:t>较</w:t>
      </w:r>
      <w:r>
        <w:rPr>
          <w:rFonts w:hint="default" w:ascii="Times New Roman" w:hAnsi="Times New Roman" w:cs="Times New Roman"/>
          <w:color w:val="auto"/>
          <w:sz w:val="24"/>
          <w:szCs w:val="24"/>
          <w:highlight w:val="none"/>
        </w:rPr>
        <w:t>小，所以产生的噪声值很低，且影响范围仅局限在</w:t>
      </w:r>
      <w:r>
        <w:rPr>
          <w:rFonts w:hint="eastAsia" w:cs="Times New Roman"/>
          <w:color w:val="auto"/>
          <w:sz w:val="24"/>
          <w:szCs w:val="24"/>
          <w:highlight w:val="none"/>
          <w:lang w:eastAsia="zh-CN"/>
        </w:rPr>
        <w:t>医院</w:t>
      </w:r>
      <w:r>
        <w:rPr>
          <w:rFonts w:hint="default" w:ascii="Times New Roman" w:hAnsi="Times New Roman" w:cs="Times New Roman"/>
          <w:color w:val="auto"/>
          <w:sz w:val="24"/>
          <w:szCs w:val="24"/>
          <w:highlight w:val="none"/>
        </w:rPr>
        <w:t>楼内，人群噪声经过楼体建筑物隔声后，对周围声环境质量影响极小。</w:t>
      </w:r>
    </w:p>
    <w:p w14:paraId="46E19BEF">
      <w:pPr>
        <w:adjustRightInd w:val="0"/>
        <w:snapToGrid w:val="0"/>
        <w:spacing w:line="36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由于住院部的病房本身就是声环境的敏感目标，因此项目噪声防治措施应包括项目排放噪声对外环境影响以及外环境对项目本身的影响两方面。</w:t>
      </w:r>
    </w:p>
    <w:p w14:paraId="6FFEA971">
      <w:pPr>
        <w:adjustRightInd w:val="0"/>
        <w:snapToGrid w:val="0"/>
        <w:spacing w:line="360" w:lineRule="auto"/>
        <w:ind w:firstLine="480" w:firstLineChars="2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1</w:t>
      </w: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rPr>
        <w:t>本医院的重点噪声源主要有：</w:t>
      </w:r>
      <w:r>
        <w:rPr>
          <w:rFonts w:hint="eastAsia" w:ascii="Times New Roman" w:hAnsi="Times New Roman" w:cs="Times New Roman"/>
          <w:color w:val="auto"/>
          <w:sz w:val="24"/>
          <w:szCs w:val="24"/>
          <w:highlight w:val="none"/>
          <w:lang w:eastAsia="zh-CN"/>
        </w:rPr>
        <w:t>水泵、</w:t>
      </w:r>
      <w:r>
        <w:rPr>
          <w:rFonts w:hint="eastAsia" w:cs="Times New Roman"/>
          <w:color w:val="auto"/>
          <w:sz w:val="24"/>
          <w:szCs w:val="24"/>
          <w:highlight w:val="none"/>
          <w:lang w:eastAsia="zh-CN"/>
        </w:rPr>
        <w:t>中央空调冷却机组</w:t>
      </w:r>
      <w:r>
        <w:rPr>
          <w:rFonts w:ascii="Times New Roman" w:hAnsi="Times New Roman" w:cs="Times New Roman"/>
          <w:color w:val="auto"/>
          <w:sz w:val="24"/>
          <w:szCs w:val="24"/>
          <w:highlight w:val="none"/>
        </w:rPr>
        <w:t>等。应采取一些技术措施来降低噪声对外界的影响。</w:t>
      </w:r>
    </w:p>
    <w:p w14:paraId="5FC651E5">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①为减轻设备噪声对环境的影响，设备均</w:t>
      </w:r>
      <w:r>
        <w:rPr>
          <w:rFonts w:hint="eastAsia" w:cs="Times New Roman"/>
          <w:color w:val="auto"/>
          <w:sz w:val="24"/>
          <w:szCs w:val="24"/>
          <w:highlight w:val="none"/>
          <w:lang w:eastAsia="zh-CN"/>
        </w:rPr>
        <w:t>设置减振基础</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水</w:t>
      </w:r>
      <w:r>
        <w:rPr>
          <w:rFonts w:hint="default" w:ascii="Times New Roman" w:hAnsi="Times New Roman" w:cs="Times New Roman"/>
          <w:color w:val="auto"/>
          <w:sz w:val="24"/>
          <w:szCs w:val="24"/>
          <w:highlight w:val="none"/>
        </w:rPr>
        <w:t>泵与管道连接时采用柔性方式</w:t>
      </w:r>
      <w:r>
        <w:rPr>
          <w:rFonts w:hint="eastAsia" w:cs="Times New Roman"/>
          <w:color w:val="auto"/>
          <w:sz w:val="24"/>
          <w:szCs w:val="24"/>
          <w:highlight w:val="none"/>
          <w:lang w:eastAsia="zh-CN"/>
        </w:rPr>
        <w:t>，建筑隔声</w:t>
      </w:r>
      <w:r>
        <w:rPr>
          <w:rFonts w:hint="default" w:ascii="Times New Roman" w:hAnsi="Times New Roman" w:cs="Times New Roman"/>
          <w:color w:val="auto"/>
          <w:sz w:val="24"/>
          <w:szCs w:val="24"/>
          <w:highlight w:val="none"/>
        </w:rPr>
        <w:t>。</w:t>
      </w:r>
    </w:p>
    <w:p w14:paraId="35EF45D9">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eastAsia="微软雅黑" w:cs="Times New Roman"/>
          <w:color w:val="auto"/>
          <w:sz w:val="24"/>
          <w:szCs w:val="24"/>
          <w:highlight w:val="none"/>
        </w:rPr>
        <w:t>②</w:t>
      </w:r>
      <w:r>
        <w:rPr>
          <w:rFonts w:hint="default" w:ascii="Times New Roman" w:hAnsi="Times New Roman" w:cs="Times New Roman"/>
          <w:color w:val="auto"/>
          <w:sz w:val="24"/>
          <w:szCs w:val="24"/>
          <w:highlight w:val="none"/>
        </w:rPr>
        <w:t>医院为患者提供医疗服务，要尽量避免在患者需要安静时工作，例如避免在午饭后时段对病房走廊进行清洁打扫。同时在医院对患者开放的所有诊室及病房内显著位置悬挂标有“保持肃静”类似字样的提示牌。</w:t>
      </w:r>
    </w:p>
    <w:p w14:paraId="443CCD60">
      <w:pPr>
        <w:adjustRightInd w:val="0"/>
        <w:snapToGrid w:val="0"/>
        <w:spacing w:line="360" w:lineRule="auto"/>
        <w:ind w:firstLine="480" w:firstLineChars="200"/>
        <w:rPr>
          <w:rFonts w:ascii="宋体"/>
          <w:color w:val="auto"/>
          <w:sz w:val="24"/>
          <w:highlight w:val="none"/>
        </w:rPr>
      </w:pPr>
      <w:r>
        <w:rPr>
          <w:rFonts w:hint="default" w:ascii="Times New Roman" w:hAnsi="Times New Roman" w:cs="Times New Roman"/>
          <w:color w:val="auto"/>
          <w:sz w:val="24"/>
          <w:highlight w:val="none"/>
        </w:rPr>
        <w:t>③加</w:t>
      </w:r>
      <w:r>
        <w:rPr>
          <w:rFonts w:hint="eastAsia" w:ascii="宋体" w:hAnsi="宋体"/>
          <w:color w:val="auto"/>
          <w:sz w:val="24"/>
          <w:highlight w:val="none"/>
        </w:rPr>
        <w:t>强医院进出车辆的管理。医院内汽车禁止鸣笛，改善医院内行驶道路状况，应限制医院进出机动车辆。</w:t>
      </w:r>
    </w:p>
    <w:p w14:paraId="206360FE">
      <w:pPr>
        <w:adjustRightInd w:val="0"/>
        <w:snapToGrid w:val="0"/>
        <w:spacing w:line="36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（2）加强病房隔声措施</w:t>
      </w:r>
    </w:p>
    <w:p w14:paraId="328AF1C5">
      <w:pPr>
        <w:adjustRightInd w:val="0"/>
        <w:snapToGrid w:val="0"/>
        <w:spacing w:line="360" w:lineRule="auto"/>
        <w:ind w:firstLine="480" w:firstLineChars="2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住院部各楼层的窗户，在制作工艺上要加强对隔声性能的要求，以提高窗户的隔声性能。窗户是环境噪声进入的主要途径，以增加窗户玻璃的厚度来增加窗的隔声量是很困难的和不经济的，可以采用双层玻璃窗。面对走廊的门是病房的隔声最薄弱的环节。一般双层夹板门的隔声量仅为20dB（A）左右，其主要原因在于重量轻和门缝不严，特别是门与地面之间的缝，按规定此缝为10-15mm。为了提高门的隔声能力，适当提高门的单位面积重量是必要的，同时对门缝应加密封条，门的下部最好设置门槛，或有地毯，以缩小门缝。</w:t>
      </w:r>
    </w:p>
    <w:p w14:paraId="600BF642">
      <w:pPr>
        <w:pStyle w:val="2"/>
        <w:keepNext w:val="0"/>
        <w:keepLines w:val="0"/>
        <w:pageBreakBefore w:val="0"/>
        <w:widowControl w:val="0"/>
        <w:kinsoku/>
        <w:wordWrap/>
        <w:overflowPunct/>
        <w:topLinePunct w:val="0"/>
        <w:autoSpaceDE/>
        <w:autoSpaceDN/>
        <w:bidi w:val="0"/>
        <w:adjustRightInd w:val="0"/>
        <w:snapToGrid w:val="0"/>
        <w:spacing w:after="0" w:afterLines="0" w:line="360" w:lineRule="auto"/>
        <w:ind w:left="0" w:leftChars="0" w:firstLine="480" w:firstLineChars="200"/>
        <w:textAlignment w:val="auto"/>
        <w:outlineLvl w:val="9"/>
        <w:rPr>
          <w:rFonts w:hint="eastAsia" w:ascii="Times New Roman" w:hAnsi="Times New Roman" w:cs="Times New Roman"/>
          <w:color w:val="auto"/>
          <w:sz w:val="24"/>
          <w:szCs w:val="24"/>
          <w:highlight w:val="none"/>
          <w:lang w:eastAsia="zh-CN"/>
        </w:rPr>
      </w:pPr>
      <w:r>
        <w:rPr>
          <w:rFonts w:ascii="Times New Roman" w:hAnsi="Times New Roman" w:cs="Times New Roman"/>
          <w:color w:val="auto"/>
          <w:sz w:val="24"/>
          <w:szCs w:val="24"/>
          <w:highlight w:val="none"/>
        </w:rPr>
        <w:t>采取上述措施后各噪声源对声环境影响较小，院界噪声值能满足</w:t>
      </w:r>
      <w:r>
        <w:rPr>
          <w:rFonts w:hint="eastAsia" w:ascii="Times New Roman" w:hAnsi="Times New Roman" w:cs="Times New Roman"/>
          <w:color w:val="auto"/>
          <w:sz w:val="24"/>
          <w:szCs w:val="24"/>
          <w:highlight w:val="none"/>
          <w:lang w:eastAsia="zh-CN"/>
        </w:rPr>
        <w:t>《工业企业厂界环</w:t>
      </w:r>
    </w:p>
    <w:p w14:paraId="1FE9BBD7">
      <w:pPr>
        <w:pStyle w:val="2"/>
        <w:keepNext w:val="0"/>
        <w:keepLines w:val="0"/>
        <w:pageBreakBefore w:val="0"/>
        <w:widowControl w:val="0"/>
        <w:kinsoku/>
        <w:wordWrap/>
        <w:overflowPunct/>
        <w:topLinePunct w:val="0"/>
        <w:autoSpaceDE/>
        <w:autoSpaceDN/>
        <w:bidi w:val="0"/>
        <w:adjustRightInd w:val="0"/>
        <w:snapToGrid w:val="0"/>
        <w:spacing w:after="0" w:afterLines="0" w:line="360" w:lineRule="auto"/>
        <w:ind w:left="0" w:leftChars="0" w:firstLine="0" w:firstLineChars="0"/>
        <w:textAlignment w:val="auto"/>
        <w:outlineLvl w:val="9"/>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CN"/>
        </w:rPr>
        <w:t>境噪声排放标准》(GBl2348-2008)</w:t>
      </w:r>
      <w:r>
        <w:rPr>
          <w:rFonts w:ascii="Times New Roman" w:hAnsi="Times New Roman" w:cs="Times New Roman"/>
          <w:color w:val="auto"/>
          <w:sz w:val="24"/>
          <w:szCs w:val="24"/>
          <w:highlight w:val="none"/>
        </w:rPr>
        <w:t>》中的</w:t>
      </w:r>
      <w:r>
        <w:rPr>
          <w:rFonts w:hint="eastAsia" w:ascii="Times New Roman" w:hAnsi="Times New Roman" w:cs="Times New Roman"/>
          <w:color w:val="auto"/>
          <w:sz w:val="24"/>
          <w:szCs w:val="24"/>
          <w:highlight w:val="none"/>
          <w:lang w:val="en-US" w:eastAsia="zh-CN"/>
        </w:rPr>
        <w:t>2</w:t>
      </w:r>
      <w:r>
        <w:rPr>
          <w:rFonts w:ascii="Times New Roman" w:hAnsi="Times New Roman" w:cs="Times New Roman"/>
          <w:color w:val="auto"/>
          <w:sz w:val="24"/>
          <w:szCs w:val="24"/>
          <w:highlight w:val="none"/>
        </w:rPr>
        <w:t>类</w:t>
      </w:r>
      <w:r>
        <w:rPr>
          <w:rFonts w:hint="eastAsia" w:ascii="Times New Roman" w:hAnsi="Times New Roman" w:cs="Times New Roman"/>
          <w:color w:val="auto"/>
          <w:sz w:val="24"/>
          <w:szCs w:val="24"/>
          <w:highlight w:val="none"/>
          <w:lang w:eastAsia="zh-CN"/>
        </w:rPr>
        <w:t>及</w:t>
      </w:r>
      <w:r>
        <w:rPr>
          <w:rFonts w:hint="eastAsia" w:ascii="Times New Roman" w:hAnsi="Times New Roman" w:cs="Times New Roman"/>
          <w:color w:val="auto"/>
          <w:sz w:val="24"/>
          <w:szCs w:val="24"/>
          <w:highlight w:val="none"/>
          <w:lang w:val="en-US" w:eastAsia="zh-CN"/>
        </w:rPr>
        <w:t>4类</w:t>
      </w:r>
      <w:r>
        <w:rPr>
          <w:rFonts w:ascii="Times New Roman" w:hAnsi="Times New Roman" w:cs="Times New Roman"/>
          <w:color w:val="auto"/>
          <w:sz w:val="24"/>
          <w:szCs w:val="24"/>
          <w:highlight w:val="none"/>
        </w:rPr>
        <w:t>标准要求</w:t>
      </w:r>
      <w:r>
        <w:rPr>
          <w:rFonts w:hint="eastAsia" w:hAnsi="宋体" w:cs="宋体"/>
          <w:color w:val="auto"/>
          <w:sz w:val="24"/>
          <w:szCs w:val="24"/>
          <w:highlight w:val="none"/>
        </w:rPr>
        <w:t>。</w:t>
      </w:r>
    </w:p>
    <w:p w14:paraId="2F66C055">
      <w:pPr>
        <w:keepNext w:val="0"/>
        <w:keepLines w:val="0"/>
        <w:pageBreakBefore w:val="0"/>
        <w:widowControl w:val="0"/>
        <w:kinsoku/>
        <w:wordWrap/>
        <w:overflowPunct/>
        <w:topLinePunct w:val="0"/>
        <w:autoSpaceDE/>
        <w:autoSpaceDN/>
        <w:bidi w:val="0"/>
        <w:adjustRightInd w:val="0"/>
        <w:snapToGrid w:val="0"/>
        <w:spacing w:line="360" w:lineRule="auto"/>
        <w:ind w:left="0" w:leftChars="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3.3.2</w:t>
      </w:r>
      <w:r>
        <w:rPr>
          <w:rFonts w:hint="default" w:ascii="Times New Roman" w:hAnsi="Times New Roman" w:eastAsia="宋体" w:cs="Times New Roman"/>
          <w:color w:val="auto"/>
          <w:kern w:val="2"/>
          <w:sz w:val="24"/>
          <w:szCs w:val="24"/>
          <w:highlight w:val="none"/>
          <w:lang w:val="en-US" w:eastAsia="zh-CN" w:bidi="ar-SA"/>
        </w:rPr>
        <w:t>交通噪声对医院的影响评价</w:t>
      </w:r>
    </w:p>
    <w:p w14:paraId="0BEB4927">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对本</w:t>
      </w:r>
      <w:r>
        <w:rPr>
          <w:rFonts w:hint="eastAsia" w:cs="Times New Roman"/>
          <w:color w:val="auto"/>
          <w:sz w:val="24"/>
          <w:szCs w:val="24"/>
          <w:highlight w:val="none"/>
          <w:lang w:eastAsia="zh-CN"/>
        </w:rPr>
        <w:t>医院</w:t>
      </w:r>
      <w:r>
        <w:rPr>
          <w:rFonts w:hint="default" w:ascii="Times New Roman" w:hAnsi="Times New Roman" w:cs="Times New Roman"/>
          <w:color w:val="auto"/>
          <w:sz w:val="24"/>
          <w:szCs w:val="24"/>
          <w:highlight w:val="none"/>
        </w:rPr>
        <w:t>声环境影响主要来自于</w:t>
      </w:r>
      <w:r>
        <w:rPr>
          <w:rFonts w:hint="eastAsia" w:cs="Times New Roman"/>
          <w:color w:val="auto"/>
          <w:sz w:val="24"/>
          <w:szCs w:val="24"/>
          <w:highlight w:val="none"/>
          <w:lang w:eastAsia="zh-CN"/>
        </w:rPr>
        <w:t>与医院相邻的</w:t>
      </w:r>
      <w:r>
        <w:rPr>
          <w:rFonts w:hint="default" w:ascii="Times New Roman" w:hAnsi="Times New Roman" w:cs="Times New Roman"/>
          <w:color w:val="auto"/>
          <w:sz w:val="24"/>
          <w:szCs w:val="24"/>
          <w:highlight w:val="none"/>
        </w:rPr>
        <w:t>交通干道的交通噪声，根据类比调查分析交通噪声对门诊部的影响。</w:t>
      </w:r>
    </w:p>
    <w:p w14:paraId="66495B9D">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下表</w:t>
      </w:r>
      <w:r>
        <w:rPr>
          <w:rFonts w:hint="default" w:ascii="Times New Roman" w:hAnsi="Times New Roman" w:cs="Times New Roman"/>
          <w:color w:val="auto"/>
          <w:sz w:val="24"/>
          <w:szCs w:val="24"/>
          <w:highlight w:val="none"/>
        </w:rPr>
        <w:t>列出了某一交通干线一侧建筑物不同楼层的噪声监测结果，由类比调查结果可知，随着楼层的增高，噪声级衰减并不很明显。</w:t>
      </w:r>
    </w:p>
    <w:p w14:paraId="57FF8509">
      <w:pPr>
        <w:pStyle w:val="17"/>
        <w:adjustRightInd w:val="0"/>
        <w:snapToGrid w:val="0"/>
        <w:spacing w:line="360" w:lineRule="auto"/>
        <w:jc w:val="both"/>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w:t>
      </w:r>
      <w:r>
        <w:rPr>
          <w:rFonts w:hint="eastAsia" w:ascii="Times New Roman" w:hAnsi="Times New Roman" w:cs="Times New Roman"/>
          <w:b/>
          <w:bCs/>
          <w:color w:val="auto"/>
          <w:highlight w:val="none"/>
          <w:lang w:val="en-US" w:eastAsia="zh-CN"/>
        </w:rPr>
        <w:t xml:space="preserve">39                                </w:t>
      </w:r>
      <w:r>
        <w:rPr>
          <w:rFonts w:hint="default" w:ascii="Times New Roman" w:hAnsi="Times New Roman" w:cs="Times New Roman"/>
          <w:b/>
          <w:bCs/>
          <w:color w:val="auto"/>
          <w:highlight w:val="none"/>
        </w:rPr>
        <w:t>类比监测结果</w:t>
      </w:r>
    </w:p>
    <w:tbl>
      <w:tblPr>
        <w:tblStyle w:val="24"/>
        <w:tblW w:w="878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47"/>
        <w:gridCol w:w="985"/>
        <w:gridCol w:w="985"/>
        <w:gridCol w:w="984"/>
        <w:gridCol w:w="984"/>
        <w:gridCol w:w="984"/>
        <w:gridCol w:w="984"/>
        <w:gridCol w:w="1635"/>
      </w:tblGrid>
      <w:tr w14:paraId="0B38C0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247" w:type="dxa"/>
            <w:tcBorders>
              <w:tl2br w:val="nil"/>
              <w:tr2bl w:val="nil"/>
            </w:tcBorders>
            <w:vAlign w:val="center"/>
          </w:tcPr>
          <w:p w14:paraId="6D47561F">
            <w:pPr>
              <w:jc w:val="center"/>
              <w:rPr>
                <w:rFonts w:hint="default" w:ascii="Times New Roman" w:hAnsi="Times New Roman" w:cs="Times New Roman"/>
                <w:color w:val="auto"/>
                <w:highlight w:val="none"/>
              </w:rPr>
            </w:pPr>
            <w:r>
              <w:rPr>
                <w:color w:val="auto"/>
                <w:sz w:val="21"/>
                <w:highlight w:val="none"/>
              </w:rPr>
              <mc:AlternateContent>
                <mc:Choice Requires="wps">
                  <w:drawing>
                    <wp:anchor distT="0" distB="0" distL="114300" distR="114300" simplePos="0" relativeHeight="251710464" behindDoc="0" locked="0" layoutInCell="1" allowOverlap="1">
                      <wp:simplePos x="0" y="0"/>
                      <wp:positionH relativeFrom="column">
                        <wp:posOffset>-56515</wp:posOffset>
                      </wp:positionH>
                      <wp:positionV relativeFrom="paragraph">
                        <wp:posOffset>-9525</wp:posOffset>
                      </wp:positionV>
                      <wp:extent cx="781050" cy="409575"/>
                      <wp:effectExtent l="1905" t="4445" r="17145" b="5080"/>
                      <wp:wrapNone/>
                      <wp:docPr id="62" name="直接连接符 62"/>
                      <wp:cNvGraphicFramePr/>
                      <a:graphic xmlns:a="http://schemas.openxmlformats.org/drawingml/2006/main">
                        <a:graphicData uri="http://schemas.microsoft.com/office/word/2010/wordprocessingShape">
                          <wps:wsp>
                            <wps:cNvCnPr/>
                            <wps:spPr>
                              <a:xfrm>
                                <a:off x="0" y="0"/>
                                <a:ext cx="781050" cy="40957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45pt;margin-top:-0.75pt;height:32.25pt;width:61.5pt;z-index:251710464;mso-width-relative:page;mso-height-relative:page;" filled="f" stroked="t" coordsize="21600,21600" o:gfxdata="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ouF65dcAAAAIAQAADwAAAAAAAAABACAAAAAiAAAAZHJzL2Rvd25yZXYueG1s&#10;UEsBAhQAFAAAAAgAh07iQIS2fKb5AQAA6gMAAA4AAAAAAAAAAQAgAAAAJgEAAGRycy9lMm9Eb2Mu&#10;eG1sUEsFBgAAAAAGAAYAWQEAAJEFAAAAAA==&#10;">
                      <v:fill on="f" focussize="0,0"/>
                      <v:stroke color="#000000" joinstyle="round"/>
                      <v:imagedata o:title=""/>
                      <o:lock v:ext="edit" aspectratio="f"/>
                    </v:line>
                  </w:pict>
                </mc:Fallback>
              </mc:AlternateContent>
            </w:r>
            <w:r>
              <w:rPr>
                <w:rFonts w:hint="default" w:ascii="Times New Roman" w:hAnsi="Times New Roman" w:cs="Times New Roman"/>
                <w:color w:val="auto"/>
                <w:highlight w:val="none"/>
              </w:rPr>
              <w:t xml:space="preserve">  </w:t>
            </w:r>
            <w:r>
              <w:rPr>
                <w:rFonts w:hint="eastAsia" w:cs="Times New Roman"/>
                <w:color w:val="auto"/>
                <w:highlight w:val="none"/>
                <w:lang w:val="en-US" w:eastAsia="zh-CN"/>
              </w:rPr>
              <w:t xml:space="preserve">  </w:t>
            </w:r>
            <w:r>
              <w:rPr>
                <w:rFonts w:hint="default" w:ascii="Times New Roman" w:hAnsi="Times New Roman" w:cs="Times New Roman"/>
                <w:color w:val="auto"/>
                <w:highlight w:val="none"/>
              </w:rPr>
              <w:t>指标</w:t>
            </w:r>
          </w:p>
          <w:p w14:paraId="1ECC8368">
            <w:pPr>
              <w:rPr>
                <w:rFonts w:hint="default" w:ascii="Times New Roman" w:hAnsi="Times New Roman" w:cs="Times New Roman"/>
                <w:color w:val="auto"/>
                <w:highlight w:val="none"/>
              </w:rPr>
            </w:pPr>
            <w:r>
              <w:rPr>
                <w:rFonts w:hint="default" w:ascii="Times New Roman" w:hAnsi="Times New Roman" w:cs="Times New Roman"/>
                <w:color w:val="auto"/>
                <w:highlight w:val="none"/>
              </w:rPr>
              <w:t>楼层</w:t>
            </w:r>
          </w:p>
        </w:tc>
        <w:tc>
          <w:tcPr>
            <w:tcW w:w="985" w:type="dxa"/>
            <w:tcBorders>
              <w:tl2br w:val="nil"/>
              <w:tr2bl w:val="nil"/>
            </w:tcBorders>
            <w:vAlign w:val="center"/>
          </w:tcPr>
          <w:p w14:paraId="046F3AA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Leq</w:t>
            </w:r>
          </w:p>
        </w:tc>
        <w:tc>
          <w:tcPr>
            <w:tcW w:w="985" w:type="dxa"/>
            <w:tcBorders>
              <w:tl2br w:val="nil"/>
              <w:tr2bl w:val="nil"/>
            </w:tcBorders>
            <w:vAlign w:val="center"/>
          </w:tcPr>
          <w:p w14:paraId="1612EED4">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Lmax</w:t>
            </w:r>
          </w:p>
        </w:tc>
        <w:tc>
          <w:tcPr>
            <w:tcW w:w="984" w:type="dxa"/>
            <w:tcBorders>
              <w:tl2br w:val="nil"/>
              <w:tr2bl w:val="nil"/>
            </w:tcBorders>
            <w:vAlign w:val="center"/>
          </w:tcPr>
          <w:p w14:paraId="1AFE210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L</w:t>
            </w:r>
            <w:r>
              <w:rPr>
                <w:rFonts w:hint="default" w:ascii="Times New Roman" w:hAnsi="Times New Roman" w:cs="Times New Roman"/>
                <w:color w:val="auto"/>
                <w:highlight w:val="none"/>
                <w:vertAlign w:val="subscript"/>
              </w:rPr>
              <w:t>10</w:t>
            </w:r>
          </w:p>
        </w:tc>
        <w:tc>
          <w:tcPr>
            <w:tcW w:w="984" w:type="dxa"/>
            <w:tcBorders>
              <w:tl2br w:val="nil"/>
              <w:tr2bl w:val="nil"/>
            </w:tcBorders>
            <w:vAlign w:val="center"/>
          </w:tcPr>
          <w:p w14:paraId="644DCD28">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L</w:t>
            </w:r>
            <w:r>
              <w:rPr>
                <w:rFonts w:hint="default" w:ascii="Times New Roman" w:hAnsi="Times New Roman" w:cs="Times New Roman"/>
                <w:color w:val="auto"/>
                <w:highlight w:val="none"/>
                <w:vertAlign w:val="subscript"/>
              </w:rPr>
              <w:t>50</w:t>
            </w:r>
          </w:p>
        </w:tc>
        <w:tc>
          <w:tcPr>
            <w:tcW w:w="984" w:type="dxa"/>
            <w:tcBorders>
              <w:tl2br w:val="nil"/>
              <w:tr2bl w:val="nil"/>
            </w:tcBorders>
            <w:vAlign w:val="center"/>
          </w:tcPr>
          <w:p w14:paraId="03045499">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L</w:t>
            </w:r>
            <w:r>
              <w:rPr>
                <w:rFonts w:hint="default" w:ascii="Times New Roman" w:hAnsi="Times New Roman" w:cs="Times New Roman"/>
                <w:color w:val="auto"/>
                <w:highlight w:val="none"/>
                <w:vertAlign w:val="subscript"/>
              </w:rPr>
              <w:t>90</w:t>
            </w:r>
          </w:p>
        </w:tc>
        <w:tc>
          <w:tcPr>
            <w:tcW w:w="984" w:type="dxa"/>
            <w:tcBorders>
              <w:tl2br w:val="nil"/>
              <w:tr2bl w:val="nil"/>
            </w:tcBorders>
            <w:vAlign w:val="center"/>
          </w:tcPr>
          <w:p w14:paraId="6C513CB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SD</w:t>
            </w:r>
          </w:p>
        </w:tc>
        <w:tc>
          <w:tcPr>
            <w:tcW w:w="1635" w:type="dxa"/>
            <w:tcBorders>
              <w:tl2br w:val="nil"/>
              <w:tr2bl w:val="nil"/>
            </w:tcBorders>
            <w:vAlign w:val="center"/>
          </w:tcPr>
          <w:p w14:paraId="584E5E6B">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窗开或关闭</w:t>
            </w:r>
          </w:p>
        </w:tc>
      </w:tr>
      <w:tr w14:paraId="7805B4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7" w:type="dxa"/>
            <w:tcBorders>
              <w:tl2br w:val="nil"/>
              <w:tr2bl w:val="nil"/>
            </w:tcBorders>
            <w:vAlign w:val="center"/>
          </w:tcPr>
          <w:p w14:paraId="092DA3A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１</w:t>
            </w:r>
          </w:p>
        </w:tc>
        <w:tc>
          <w:tcPr>
            <w:tcW w:w="985" w:type="dxa"/>
            <w:tcBorders>
              <w:tl2br w:val="nil"/>
              <w:tr2bl w:val="nil"/>
            </w:tcBorders>
            <w:vAlign w:val="center"/>
          </w:tcPr>
          <w:p w14:paraId="0EFE0261">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68.5</w:t>
            </w:r>
          </w:p>
        </w:tc>
        <w:tc>
          <w:tcPr>
            <w:tcW w:w="985" w:type="dxa"/>
            <w:tcBorders>
              <w:tl2br w:val="nil"/>
              <w:tr2bl w:val="nil"/>
            </w:tcBorders>
            <w:vAlign w:val="center"/>
          </w:tcPr>
          <w:p w14:paraId="0DD2530E">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85.2</w:t>
            </w:r>
          </w:p>
        </w:tc>
        <w:tc>
          <w:tcPr>
            <w:tcW w:w="984" w:type="dxa"/>
            <w:tcBorders>
              <w:tl2br w:val="nil"/>
              <w:tr2bl w:val="nil"/>
            </w:tcBorders>
            <w:vAlign w:val="center"/>
          </w:tcPr>
          <w:p w14:paraId="6FCE9A39">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72.0</w:t>
            </w:r>
          </w:p>
        </w:tc>
        <w:tc>
          <w:tcPr>
            <w:tcW w:w="984" w:type="dxa"/>
            <w:tcBorders>
              <w:tl2br w:val="nil"/>
              <w:tr2bl w:val="nil"/>
            </w:tcBorders>
            <w:vAlign w:val="center"/>
          </w:tcPr>
          <w:p w14:paraId="74191ED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68.0</w:t>
            </w:r>
          </w:p>
        </w:tc>
        <w:tc>
          <w:tcPr>
            <w:tcW w:w="984" w:type="dxa"/>
            <w:tcBorders>
              <w:tl2br w:val="nil"/>
              <w:tr2bl w:val="nil"/>
            </w:tcBorders>
            <w:vAlign w:val="center"/>
          </w:tcPr>
          <w:p w14:paraId="4EEF333A">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64.4</w:t>
            </w:r>
          </w:p>
        </w:tc>
        <w:tc>
          <w:tcPr>
            <w:tcW w:w="984" w:type="dxa"/>
            <w:tcBorders>
              <w:tl2br w:val="nil"/>
              <w:tr2bl w:val="nil"/>
            </w:tcBorders>
            <w:vAlign w:val="center"/>
          </w:tcPr>
          <w:p w14:paraId="4DB881B5">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3.3</w:t>
            </w:r>
          </w:p>
        </w:tc>
        <w:tc>
          <w:tcPr>
            <w:tcW w:w="1635" w:type="dxa"/>
            <w:tcBorders>
              <w:tl2br w:val="nil"/>
              <w:tr2bl w:val="nil"/>
            </w:tcBorders>
            <w:vAlign w:val="center"/>
          </w:tcPr>
          <w:p w14:paraId="7999C9C0">
            <w:pPr>
              <w:jc w:val="center"/>
              <w:rPr>
                <w:rFonts w:hint="default" w:ascii="Times New Roman" w:hAnsi="Times New Roman" w:cs="Times New Roman"/>
                <w:color w:val="auto"/>
                <w:highlight w:val="none"/>
              </w:rPr>
            </w:pPr>
          </w:p>
        </w:tc>
      </w:tr>
      <w:tr w14:paraId="16EA72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7" w:type="dxa"/>
            <w:tcBorders>
              <w:tl2br w:val="nil"/>
              <w:tr2bl w:val="nil"/>
            </w:tcBorders>
            <w:vAlign w:val="center"/>
          </w:tcPr>
          <w:p w14:paraId="375242F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２</w:t>
            </w:r>
          </w:p>
        </w:tc>
        <w:tc>
          <w:tcPr>
            <w:tcW w:w="985" w:type="dxa"/>
            <w:tcBorders>
              <w:tl2br w:val="nil"/>
              <w:tr2bl w:val="nil"/>
            </w:tcBorders>
            <w:vAlign w:val="center"/>
          </w:tcPr>
          <w:p w14:paraId="096BD6E0">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69.8</w:t>
            </w:r>
          </w:p>
        </w:tc>
        <w:tc>
          <w:tcPr>
            <w:tcW w:w="985" w:type="dxa"/>
            <w:tcBorders>
              <w:tl2br w:val="nil"/>
              <w:tr2bl w:val="nil"/>
            </w:tcBorders>
            <w:vAlign w:val="center"/>
          </w:tcPr>
          <w:p w14:paraId="62D7C6D9">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87.6</w:t>
            </w:r>
          </w:p>
        </w:tc>
        <w:tc>
          <w:tcPr>
            <w:tcW w:w="984" w:type="dxa"/>
            <w:tcBorders>
              <w:tl2br w:val="nil"/>
              <w:tr2bl w:val="nil"/>
            </w:tcBorders>
            <w:vAlign w:val="center"/>
          </w:tcPr>
          <w:p w14:paraId="3A0B0CD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72.0</w:t>
            </w:r>
          </w:p>
        </w:tc>
        <w:tc>
          <w:tcPr>
            <w:tcW w:w="984" w:type="dxa"/>
            <w:tcBorders>
              <w:tl2br w:val="nil"/>
              <w:tr2bl w:val="nil"/>
            </w:tcBorders>
            <w:vAlign w:val="center"/>
          </w:tcPr>
          <w:p w14:paraId="687433AC">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68.8</w:t>
            </w:r>
          </w:p>
        </w:tc>
        <w:tc>
          <w:tcPr>
            <w:tcW w:w="984" w:type="dxa"/>
            <w:tcBorders>
              <w:tl2br w:val="nil"/>
              <w:tr2bl w:val="nil"/>
            </w:tcBorders>
            <w:vAlign w:val="center"/>
          </w:tcPr>
          <w:p w14:paraId="2B779D26">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64.0</w:t>
            </w:r>
          </w:p>
        </w:tc>
        <w:tc>
          <w:tcPr>
            <w:tcW w:w="984" w:type="dxa"/>
            <w:tcBorders>
              <w:tl2br w:val="nil"/>
              <w:tr2bl w:val="nil"/>
            </w:tcBorders>
            <w:vAlign w:val="center"/>
          </w:tcPr>
          <w:p w14:paraId="38F1BFDD">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3.2</w:t>
            </w:r>
          </w:p>
        </w:tc>
        <w:tc>
          <w:tcPr>
            <w:tcW w:w="1635" w:type="dxa"/>
            <w:tcBorders>
              <w:tl2br w:val="nil"/>
              <w:tr2bl w:val="nil"/>
            </w:tcBorders>
            <w:vAlign w:val="center"/>
          </w:tcPr>
          <w:p w14:paraId="4AD135D8">
            <w:pPr>
              <w:jc w:val="center"/>
              <w:rPr>
                <w:rFonts w:hint="default" w:ascii="Times New Roman" w:hAnsi="Times New Roman" w:cs="Times New Roman"/>
                <w:color w:val="auto"/>
                <w:highlight w:val="none"/>
              </w:rPr>
            </w:pPr>
          </w:p>
        </w:tc>
      </w:tr>
      <w:tr w14:paraId="32A58D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7" w:type="dxa"/>
            <w:tcBorders>
              <w:tl2br w:val="nil"/>
              <w:tr2bl w:val="nil"/>
            </w:tcBorders>
            <w:vAlign w:val="center"/>
          </w:tcPr>
          <w:p w14:paraId="698CFFAE">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３</w:t>
            </w:r>
          </w:p>
        </w:tc>
        <w:tc>
          <w:tcPr>
            <w:tcW w:w="985" w:type="dxa"/>
            <w:tcBorders>
              <w:tl2br w:val="nil"/>
              <w:tr2bl w:val="nil"/>
            </w:tcBorders>
            <w:vAlign w:val="center"/>
          </w:tcPr>
          <w:p w14:paraId="32656E9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71.4</w:t>
            </w:r>
          </w:p>
        </w:tc>
        <w:tc>
          <w:tcPr>
            <w:tcW w:w="985" w:type="dxa"/>
            <w:tcBorders>
              <w:tl2br w:val="nil"/>
              <w:tr2bl w:val="nil"/>
            </w:tcBorders>
            <w:vAlign w:val="center"/>
          </w:tcPr>
          <w:p w14:paraId="6FC475C0">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87.6</w:t>
            </w:r>
          </w:p>
        </w:tc>
        <w:tc>
          <w:tcPr>
            <w:tcW w:w="984" w:type="dxa"/>
            <w:tcBorders>
              <w:tl2br w:val="nil"/>
              <w:tr2bl w:val="nil"/>
            </w:tcBorders>
            <w:vAlign w:val="center"/>
          </w:tcPr>
          <w:p w14:paraId="12E563E9">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74.0</w:t>
            </w:r>
          </w:p>
        </w:tc>
        <w:tc>
          <w:tcPr>
            <w:tcW w:w="984" w:type="dxa"/>
            <w:tcBorders>
              <w:tl2br w:val="nil"/>
              <w:tr2bl w:val="nil"/>
            </w:tcBorders>
            <w:vAlign w:val="center"/>
          </w:tcPr>
          <w:p w14:paraId="2AE10A5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70.0</w:t>
            </w:r>
          </w:p>
        </w:tc>
        <w:tc>
          <w:tcPr>
            <w:tcW w:w="984" w:type="dxa"/>
            <w:tcBorders>
              <w:tl2br w:val="nil"/>
              <w:tr2bl w:val="nil"/>
            </w:tcBorders>
            <w:vAlign w:val="center"/>
          </w:tcPr>
          <w:p w14:paraId="6680EB4C">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66.4</w:t>
            </w:r>
          </w:p>
        </w:tc>
        <w:tc>
          <w:tcPr>
            <w:tcW w:w="984" w:type="dxa"/>
            <w:tcBorders>
              <w:tl2br w:val="nil"/>
              <w:tr2bl w:val="nil"/>
            </w:tcBorders>
            <w:vAlign w:val="center"/>
          </w:tcPr>
          <w:p w14:paraId="2948305E">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3.1</w:t>
            </w:r>
          </w:p>
        </w:tc>
        <w:tc>
          <w:tcPr>
            <w:tcW w:w="1635" w:type="dxa"/>
            <w:tcBorders>
              <w:tl2br w:val="nil"/>
              <w:tr2bl w:val="nil"/>
            </w:tcBorders>
            <w:vAlign w:val="center"/>
          </w:tcPr>
          <w:p w14:paraId="202714A1">
            <w:pPr>
              <w:jc w:val="center"/>
              <w:rPr>
                <w:rFonts w:hint="default" w:ascii="Times New Roman" w:hAnsi="Times New Roman" w:cs="Times New Roman"/>
                <w:color w:val="auto"/>
                <w:highlight w:val="none"/>
              </w:rPr>
            </w:pPr>
          </w:p>
        </w:tc>
      </w:tr>
      <w:tr w14:paraId="0CB658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7" w:type="dxa"/>
            <w:tcBorders>
              <w:tl2br w:val="nil"/>
              <w:tr2bl w:val="nil"/>
            </w:tcBorders>
            <w:vAlign w:val="center"/>
          </w:tcPr>
          <w:p w14:paraId="55964A2A">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４</w:t>
            </w:r>
          </w:p>
        </w:tc>
        <w:tc>
          <w:tcPr>
            <w:tcW w:w="985" w:type="dxa"/>
            <w:tcBorders>
              <w:tl2br w:val="nil"/>
              <w:tr2bl w:val="nil"/>
            </w:tcBorders>
            <w:vAlign w:val="center"/>
          </w:tcPr>
          <w:p w14:paraId="2EEC547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71.5</w:t>
            </w:r>
          </w:p>
        </w:tc>
        <w:tc>
          <w:tcPr>
            <w:tcW w:w="985" w:type="dxa"/>
            <w:tcBorders>
              <w:tl2br w:val="nil"/>
              <w:tr2bl w:val="nil"/>
            </w:tcBorders>
            <w:vAlign w:val="center"/>
          </w:tcPr>
          <w:p w14:paraId="3A7E1B4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83.4</w:t>
            </w:r>
          </w:p>
        </w:tc>
        <w:tc>
          <w:tcPr>
            <w:tcW w:w="984" w:type="dxa"/>
            <w:tcBorders>
              <w:tl2br w:val="nil"/>
              <w:tr2bl w:val="nil"/>
            </w:tcBorders>
            <w:vAlign w:val="center"/>
          </w:tcPr>
          <w:p w14:paraId="1C3B47FC">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73.6</w:t>
            </w:r>
          </w:p>
        </w:tc>
        <w:tc>
          <w:tcPr>
            <w:tcW w:w="984" w:type="dxa"/>
            <w:tcBorders>
              <w:tl2br w:val="nil"/>
              <w:tr2bl w:val="nil"/>
            </w:tcBorders>
            <w:vAlign w:val="center"/>
          </w:tcPr>
          <w:p w14:paraId="7570D34E">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71.2</w:t>
            </w:r>
          </w:p>
        </w:tc>
        <w:tc>
          <w:tcPr>
            <w:tcW w:w="984" w:type="dxa"/>
            <w:tcBorders>
              <w:tl2br w:val="nil"/>
              <w:tr2bl w:val="nil"/>
            </w:tcBorders>
            <w:vAlign w:val="center"/>
          </w:tcPr>
          <w:p w14:paraId="7A380D5E">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67.2</w:t>
            </w:r>
          </w:p>
        </w:tc>
        <w:tc>
          <w:tcPr>
            <w:tcW w:w="984" w:type="dxa"/>
            <w:tcBorders>
              <w:tl2br w:val="nil"/>
              <w:tr2bl w:val="nil"/>
            </w:tcBorders>
            <w:vAlign w:val="center"/>
          </w:tcPr>
          <w:p w14:paraId="1FBCC568">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3.1</w:t>
            </w:r>
          </w:p>
        </w:tc>
        <w:tc>
          <w:tcPr>
            <w:tcW w:w="1635" w:type="dxa"/>
            <w:tcBorders>
              <w:tl2br w:val="nil"/>
              <w:tr2bl w:val="nil"/>
            </w:tcBorders>
            <w:vAlign w:val="center"/>
          </w:tcPr>
          <w:p w14:paraId="753BDB48">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开</w:t>
            </w:r>
          </w:p>
        </w:tc>
      </w:tr>
      <w:tr w14:paraId="470AEC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7" w:type="dxa"/>
            <w:tcBorders>
              <w:tl2br w:val="nil"/>
              <w:tr2bl w:val="nil"/>
            </w:tcBorders>
            <w:vAlign w:val="center"/>
          </w:tcPr>
          <w:p w14:paraId="71AF9618">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４</w:t>
            </w:r>
          </w:p>
        </w:tc>
        <w:tc>
          <w:tcPr>
            <w:tcW w:w="985" w:type="dxa"/>
            <w:tcBorders>
              <w:tl2br w:val="nil"/>
              <w:tr2bl w:val="nil"/>
            </w:tcBorders>
            <w:vAlign w:val="center"/>
          </w:tcPr>
          <w:p w14:paraId="28B7C2D1">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61.4</w:t>
            </w:r>
          </w:p>
        </w:tc>
        <w:tc>
          <w:tcPr>
            <w:tcW w:w="985" w:type="dxa"/>
            <w:tcBorders>
              <w:tl2br w:val="nil"/>
              <w:tr2bl w:val="nil"/>
            </w:tcBorders>
            <w:vAlign w:val="center"/>
          </w:tcPr>
          <w:p w14:paraId="56CC326C">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80.0</w:t>
            </w:r>
          </w:p>
        </w:tc>
        <w:tc>
          <w:tcPr>
            <w:tcW w:w="984" w:type="dxa"/>
            <w:tcBorders>
              <w:tl2br w:val="nil"/>
              <w:tr2bl w:val="nil"/>
            </w:tcBorders>
            <w:vAlign w:val="center"/>
          </w:tcPr>
          <w:p w14:paraId="703561E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64.0</w:t>
            </w:r>
          </w:p>
        </w:tc>
        <w:tc>
          <w:tcPr>
            <w:tcW w:w="984" w:type="dxa"/>
            <w:tcBorders>
              <w:tl2br w:val="nil"/>
              <w:tr2bl w:val="nil"/>
            </w:tcBorders>
            <w:vAlign w:val="center"/>
          </w:tcPr>
          <w:p w14:paraId="6B44E0D6">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59.6</w:t>
            </w:r>
          </w:p>
        </w:tc>
        <w:tc>
          <w:tcPr>
            <w:tcW w:w="984" w:type="dxa"/>
            <w:tcBorders>
              <w:tl2br w:val="nil"/>
              <w:tr2bl w:val="nil"/>
            </w:tcBorders>
            <w:vAlign w:val="center"/>
          </w:tcPr>
          <w:p w14:paraId="7429963D">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54.0</w:t>
            </w:r>
          </w:p>
        </w:tc>
        <w:tc>
          <w:tcPr>
            <w:tcW w:w="984" w:type="dxa"/>
            <w:tcBorders>
              <w:tl2br w:val="nil"/>
              <w:tr2bl w:val="nil"/>
            </w:tcBorders>
            <w:vAlign w:val="center"/>
          </w:tcPr>
          <w:p w14:paraId="3FB2EEA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3.1</w:t>
            </w:r>
          </w:p>
        </w:tc>
        <w:tc>
          <w:tcPr>
            <w:tcW w:w="1635" w:type="dxa"/>
            <w:tcBorders>
              <w:tl2br w:val="nil"/>
              <w:tr2bl w:val="nil"/>
            </w:tcBorders>
            <w:vAlign w:val="center"/>
          </w:tcPr>
          <w:p w14:paraId="0D13E72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闭</w:t>
            </w:r>
          </w:p>
        </w:tc>
      </w:tr>
      <w:tr w14:paraId="741A25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7" w:type="dxa"/>
            <w:tcBorders>
              <w:tl2br w:val="nil"/>
              <w:tr2bl w:val="nil"/>
            </w:tcBorders>
            <w:vAlign w:val="center"/>
          </w:tcPr>
          <w:p w14:paraId="33D5C0F5">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５</w:t>
            </w:r>
          </w:p>
        </w:tc>
        <w:tc>
          <w:tcPr>
            <w:tcW w:w="985" w:type="dxa"/>
            <w:tcBorders>
              <w:tl2br w:val="nil"/>
              <w:tr2bl w:val="nil"/>
            </w:tcBorders>
            <w:vAlign w:val="center"/>
          </w:tcPr>
          <w:p w14:paraId="4B041EBA">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67.5</w:t>
            </w:r>
          </w:p>
        </w:tc>
        <w:tc>
          <w:tcPr>
            <w:tcW w:w="985" w:type="dxa"/>
            <w:tcBorders>
              <w:tl2br w:val="nil"/>
              <w:tr2bl w:val="nil"/>
            </w:tcBorders>
            <w:vAlign w:val="center"/>
          </w:tcPr>
          <w:p w14:paraId="005CFAB9">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81.2</w:t>
            </w:r>
          </w:p>
        </w:tc>
        <w:tc>
          <w:tcPr>
            <w:tcW w:w="984" w:type="dxa"/>
            <w:tcBorders>
              <w:tl2br w:val="nil"/>
              <w:tr2bl w:val="nil"/>
            </w:tcBorders>
            <w:vAlign w:val="center"/>
          </w:tcPr>
          <w:p w14:paraId="086E3FC6">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68.8</w:t>
            </w:r>
          </w:p>
        </w:tc>
        <w:tc>
          <w:tcPr>
            <w:tcW w:w="984" w:type="dxa"/>
            <w:tcBorders>
              <w:tl2br w:val="nil"/>
              <w:tr2bl w:val="nil"/>
            </w:tcBorders>
            <w:vAlign w:val="center"/>
          </w:tcPr>
          <w:p w14:paraId="02DECC29">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64.4</w:t>
            </w:r>
          </w:p>
        </w:tc>
        <w:tc>
          <w:tcPr>
            <w:tcW w:w="984" w:type="dxa"/>
            <w:tcBorders>
              <w:tl2br w:val="nil"/>
              <w:tr2bl w:val="nil"/>
            </w:tcBorders>
            <w:vAlign w:val="center"/>
          </w:tcPr>
          <w:p w14:paraId="7CF17EE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63.6</w:t>
            </w:r>
          </w:p>
        </w:tc>
        <w:tc>
          <w:tcPr>
            <w:tcW w:w="984" w:type="dxa"/>
            <w:tcBorders>
              <w:tl2br w:val="nil"/>
              <w:tr2bl w:val="nil"/>
            </w:tcBorders>
            <w:vAlign w:val="center"/>
          </w:tcPr>
          <w:p w14:paraId="3A8FBE2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3.0</w:t>
            </w:r>
          </w:p>
        </w:tc>
        <w:tc>
          <w:tcPr>
            <w:tcW w:w="1635" w:type="dxa"/>
            <w:tcBorders>
              <w:tl2br w:val="nil"/>
              <w:tr2bl w:val="nil"/>
            </w:tcBorders>
            <w:vAlign w:val="center"/>
          </w:tcPr>
          <w:p w14:paraId="449C45C7">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开</w:t>
            </w:r>
          </w:p>
        </w:tc>
      </w:tr>
      <w:tr w14:paraId="03385A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7" w:type="dxa"/>
            <w:tcBorders>
              <w:tl2br w:val="nil"/>
              <w:tr2bl w:val="nil"/>
            </w:tcBorders>
            <w:vAlign w:val="center"/>
          </w:tcPr>
          <w:p w14:paraId="5C6B092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５</w:t>
            </w:r>
          </w:p>
        </w:tc>
        <w:tc>
          <w:tcPr>
            <w:tcW w:w="985" w:type="dxa"/>
            <w:tcBorders>
              <w:tl2br w:val="nil"/>
              <w:tr2bl w:val="nil"/>
            </w:tcBorders>
            <w:vAlign w:val="center"/>
          </w:tcPr>
          <w:p w14:paraId="1860C7D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59.6</w:t>
            </w:r>
          </w:p>
        </w:tc>
        <w:tc>
          <w:tcPr>
            <w:tcW w:w="985" w:type="dxa"/>
            <w:tcBorders>
              <w:tl2br w:val="nil"/>
              <w:tr2bl w:val="nil"/>
            </w:tcBorders>
            <w:vAlign w:val="center"/>
          </w:tcPr>
          <w:p w14:paraId="08DA07A8">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78.8</w:t>
            </w:r>
          </w:p>
        </w:tc>
        <w:tc>
          <w:tcPr>
            <w:tcW w:w="984" w:type="dxa"/>
            <w:tcBorders>
              <w:tl2br w:val="nil"/>
              <w:tr2bl w:val="nil"/>
            </w:tcBorders>
            <w:vAlign w:val="center"/>
          </w:tcPr>
          <w:p w14:paraId="5BC64FF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62.4</w:t>
            </w:r>
          </w:p>
        </w:tc>
        <w:tc>
          <w:tcPr>
            <w:tcW w:w="984" w:type="dxa"/>
            <w:tcBorders>
              <w:tl2br w:val="nil"/>
              <w:tr2bl w:val="nil"/>
            </w:tcBorders>
            <w:vAlign w:val="center"/>
          </w:tcPr>
          <w:p w14:paraId="081BE617">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58.0</w:t>
            </w:r>
          </w:p>
        </w:tc>
        <w:tc>
          <w:tcPr>
            <w:tcW w:w="984" w:type="dxa"/>
            <w:tcBorders>
              <w:tl2br w:val="nil"/>
              <w:tr2bl w:val="nil"/>
            </w:tcBorders>
            <w:vAlign w:val="center"/>
          </w:tcPr>
          <w:p w14:paraId="50964471">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55.6</w:t>
            </w:r>
          </w:p>
        </w:tc>
        <w:tc>
          <w:tcPr>
            <w:tcW w:w="984" w:type="dxa"/>
            <w:tcBorders>
              <w:tl2br w:val="nil"/>
              <w:tr2bl w:val="nil"/>
            </w:tcBorders>
            <w:vAlign w:val="center"/>
          </w:tcPr>
          <w:p w14:paraId="21D0DFC4">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3.3</w:t>
            </w:r>
          </w:p>
        </w:tc>
        <w:tc>
          <w:tcPr>
            <w:tcW w:w="1635" w:type="dxa"/>
            <w:tcBorders>
              <w:tl2br w:val="nil"/>
              <w:tr2bl w:val="nil"/>
            </w:tcBorders>
            <w:vAlign w:val="center"/>
          </w:tcPr>
          <w:p w14:paraId="105F0D5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闭</w:t>
            </w:r>
          </w:p>
        </w:tc>
      </w:tr>
      <w:tr w14:paraId="66D9C9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7" w:type="dxa"/>
            <w:tcBorders>
              <w:tl2br w:val="nil"/>
              <w:tr2bl w:val="nil"/>
            </w:tcBorders>
            <w:vAlign w:val="center"/>
          </w:tcPr>
          <w:p w14:paraId="4759EBA7">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６</w:t>
            </w:r>
          </w:p>
        </w:tc>
        <w:tc>
          <w:tcPr>
            <w:tcW w:w="985" w:type="dxa"/>
            <w:tcBorders>
              <w:tl2br w:val="nil"/>
              <w:tr2bl w:val="nil"/>
            </w:tcBorders>
            <w:vAlign w:val="center"/>
          </w:tcPr>
          <w:p w14:paraId="18713DD5">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71.6</w:t>
            </w:r>
          </w:p>
        </w:tc>
        <w:tc>
          <w:tcPr>
            <w:tcW w:w="985" w:type="dxa"/>
            <w:tcBorders>
              <w:tl2br w:val="nil"/>
              <w:tr2bl w:val="nil"/>
            </w:tcBorders>
            <w:vAlign w:val="center"/>
          </w:tcPr>
          <w:p w14:paraId="5072D790">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81.2</w:t>
            </w:r>
          </w:p>
        </w:tc>
        <w:tc>
          <w:tcPr>
            <w:tcW w:w="984" w:type="dxa"/>
            <w:tcBorders>
              <w:tl2br w:val="nil"/>
              <w:tr2bl w:val="nil"/>
            </w:tcBorders>
            <w:vAlign w:val="center"/>
          </w:tcPr>
          <w:p w14:paraId="07FE087D">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73.2</w:t>
            </w:r>
          </w:p>
        </w:tc>
        <w:tc>
          <w:tcPr>
            <w:tcW w:w="984" w:type="dxa"/>
            <w:tcBorders>
              <w:tl2br w:val="nil"/>
              <w:tr2bl w:val="nil"/>
            </w:tcBorders>
            <w:vAlign w:val="center"/>
          </w:tcPr>
          <w:p w14:paraId="5CEB29E6">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71.2</w:t>
            </w:r>
          </w:p>
        </w:tc>
        <w:tc>
          <w:tcPr>
            <w:tcW w:w="984" w:type="dxa"/>
            <w:tcBorders>
              <w:tl2br w:val="nil"/>
              <w:tr2bl w:val="nil"/>
            </w:tcBorders>
            <w:vAlign w:val="center"/>
          </w:tcPr>
          <w:p w14:paraId="49D21AEB">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68.8</w:t>
            </w:r>
          </w:p>
        </w:tc>
        <w:tc>
          <w:tcPr>
            <w:tcW w:w="984" w:type="dxa"/>
            <w:tcBorders>
              <w:tl2br w:val="nil"/>
              <w:tr2bl w:val="nil"/>
            </w:tcBorders>
            <w:vAlign w:val="center"/>
          </w:tcPr>
          <w:p w14:paraId="43231851">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1.9</w:t>
            </w:r>
          </w:p>
        </w:tc>
        <w:tc>
          <w:tcPr>
            <w:tcW w:w="1635" w:type="dxa"/>
            <w:tcBorders>
              <w:tl2br w:val="nil"/>
              <w:tr2bl w:val="nil"/>
            </w:tcBorders>
            <w:vAlign w:val="center"/>
          </w:tcPr>
          <w:p w14:paraId="358007A0">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开</w:t>
            </w:r>
          </w:p>
        </w:tc>
      </w:tr>
      <w:tr w14:paraId="239A59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7" w:type="dxa"/>
            <w:tcBorders>
              <w:tl2br w:val="nil"/>
              <w:tr2bl w:val="nil"/>
            </w:tcBorders>
            <w:vAlign w:val="center"/>
          </w:tcPr>
          <w:p w14:paraId="67A0B895">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６</w:t>
            </w:r>
          </w:p>
        </w:tc>
        <w:tc>
          <w:tcPr>
            <w:tcW w:w="985" w:type="dxa"/>
            <w:tcBorders>
              <w:tl2br w:val="nil"/>
              <w:tr2bl w:val="nil"/>
            </w:tcBorders>
            <w:vAlign w:val="center"/>
          </w:tcPr>
          <w:p w14:paraId="2F049A9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65.4</w:t>
            </w:r>
          </w:p>
        </w:tc>
        <w:tc>
          <w:tcPr>
            <w:tcW w:w="985" w:type="dxa"/>
            <w:tcBorders>
              <w:tl2br w:val="nil"/>
              <w:tr2bl w:val="nil"/>
            </w:tcBorders>
            <w:vAlign w:val="center"/>
          </w:tcPr>
          <w:p w14:paraId="6C6D8B8C">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80.4</w:t>
            </w:r>
          </w:p>
        </w:tc>
        <w:tc>
          <w:tcPr>
            <w:tcW w:w="984" w:type="dxa"/>
            <w:tcBorders>
              <w:tl2br w:val="nil"/>
              <w:tr2bl w:val="nil"/>
            </w:tcBorders>
            <w:vAlign w:val="center"/>
          </w:tcPr>
          <w:p w14:paraId="54FB3EC6">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68.0</w:t>
            </w:r>
          </w:p>
        </w:tc>
        <w:tc>
          <w:tcPr>
            <w:tcW w:w="984" w:type="dxa"/>
            <w:tcBorders>
              <w:tl2br w:val="nil"/>
              <w:tr2bl w:val="nil"/>
            </w:tcBorders>
            <w:vAlign w:val="center"/>
          </w:tcPr>
          <w:p w14:paraId="42C30905">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64.4</w:t>
            </w:r>
          </w:p>
        </w:tc>
        <w:tc>
          <w:tcPr>
            <w:tcW w:w="984" w:type="dxa"/>
            <w:tcBorders>
              <w:tl2br w:val="nil"/>
              <w:tr2bl w:val="nil"/>
            </w:tcBorders>
            <w:vAlign w:val="center"/>
          </w:tcPr>
          <w:p w14:paraId="01623BF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60.4</w:t>
            </w:r>
          </w:p>
        </w:tc>
        <w:tc>
          <w:tcPr>
            <w:tcW w:w="984" w:type="dxa"/>
            <w:tcBorders>
              <w:tl2br w:val="nil"/>
              <w:tr2bl w:val="nil"/>
            </w:tcBorders>
            <w:vAlign w:val="center"/>
          </w:tcPr>
          <w:p w14:paraId="248DF36E">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3.1</w:t>
            </w:r>
          </w:p>
        </w:tc>
        <w:tc>
          <w:tcPr>
            <w:tcW w:w="1635" w:type="dxa"/>
            <w:tcBorders>
              <w:tl2br w:val="nil"/>
              <w:tr2bl w:val="nil"/>
            </w:tcBorders>
            <w:vAlign w:val="center"/>
          </w:tcPr>
          <w:p w14:paraId="2C3CCF88">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闭</w:t>
            </w:r>
          </w:p>
        </w:tc>
      </w:tr>
    </w:tbl>
    <w:p w14:paraId="05C6C7DB">
      <w:pPr>
        <w:pStyle w:val="2"/>
        <w:keepNext w:val="0"/>
        <w:keepLines w:val="0"/>
        <w:pageBreakBefore w:val="0"/>
        <w:widowControl w:val="0"/>
        <w:kinsoku/>
        <w:wordWrap/>
        <w:overflowPunct/>
        <w:topLinePunct w:val="0"/>
        <w:autoSpaceDE/>
        <w:autoSpaceDN/>
        <w:bidi w:val="0"/>
        <w:adjustRightInd w:val="0"/>
        <w:snapToGrid w:val="0"/>
        <w:spacing w:after="0" w:afterLines="0" w:line="360" w:lineRule="auto"/>
        <w:ind w:left="0" w:leftChars="0" w:firstLine="480" w:firstLineChars="200"/>
        <w:textAlignment w:val="auto"/>
        <w:outlineLvl w:val="9"/>
        <w:rPr>
          <w:rFonts w:hint="default" w:ascii="Times New Roman" w:hAnsi="Times New Roman" w:cs="Times New Roman"/>
          <w:color w:val="auto"/>
          <w:highlight w:val="none"/>
        </w:rPr>
      </w:pPr>
      <w:r>
        <w:rPr>
          <w:rFonts w:hint="default" w:ascii="Times New Roman" w:hAnsi="Times New Roman" w:eastAsia="宋体" w:cs="Times New Roman"/>
          <w:color w:val="auto"/>
          <w:kern w:val="2"/>
          <w:sz w:val="24"/>
          <w:szCs w:val="24"/>
          <w:highlight w:val="none"/>
          <w:lang w:val="en-US" w:eastAsia="zh-CN" w:bidi="ar-SA"/>
        </w:rPr>
        <w:t>据噪声现状监测，主要噪声源为各交通干道的交通噪声，院界噪声值受交通噪声影响较大。因此应对临街一侧各病房采用隔声性能好的窗户，降低交通噪声对</w:t>
      </w:r>
      <w:r>
        <w:rPr>
          <w:rFonts w:hint="eastAsia" w:ascii="Times New Roman" w:hAnsi="Times New Roman" w:eastAsia="宋体" w:cs="Times New Roman"/>
          <w:color w:val="auto"/>
          <w:kern w:val="2"/>
          <w:sz w:val="24"/>
          <w:szCs w:val="24"/>
          <w:highlight w:val="none"/>
          <w:lang w:val="en-US" w:eastAsia="zh-CN" w:bidi="ar-SA"/>
        </w:rPr>
        <w:t>病房</w:t>
      </w:r>
      <w:r>
        <w:rPr>
          <w:rFonts w:hint="default" w:ascii="Times New Roman" w:hAnsi="Times New Roman" w:eastAsia="宋体" w:cs="Times New Roman"/>
          <w:color w:val="auto"/>
          <w:kern w:val="2"/>
          <w:sz w:val="24"/>
          <w:szCs w:val="24"/>
          <w:highlight w:val="none"/>
          <w:lang w:val="en-US" w:eastAsia="zh-CN" w:bidi="ar-SA"/>
        </w:rPr>
        <w:t>的影响。</w:t>
      </w:r>
    </w:p>
    <w:p w14:paraId="05672F4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4固体废物影响分析</w:t>
      </w:r>
    </w:p>
    <w:p w14:paraId="114A50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color w:val="auto"/>
          <w:sz w:val="24"/>
          <w:szCs w:val="24"/>
          <w:highlight w:val="none"/>
        </w:rPr>
      </w:pPr>
      <w:r>
        <w:rPr>
          <w:rFonts w:hint="eastAsia" w:cs="宋体"/>
          <w:color w:val="auto"/>
          <w:sz w:val="24"/>
          <w:szCs w:val="24"/>
          <w:highlight w:val="none"/>
        </w:rPr>
        <w:t>本项目营运期产生的固体废弃物主要有生活垃圾、</w:t>
      </w:r>
      <w:r>
        <w:rPr>
          <w:rFonts w:hint="eastAsia" w:cs="Times New Roman"/>
          <w:color w:val="auto"/>
          <w:sz w:val="24"/>
          <w:szCs w:val="24"/>
          <w:highlight w:val="none"/>
          <w:lang w:val="en-US" w:eastAsia="zh-CN"/>
        </w:rPr>
        <w:t>煎药药渣及废弃中药材、</w:t>
      </w:r>
      <w:r>
        <w:rPr>
          <w:rFonts w:hint="eastAsia" w:cs="宋体"/>
          <w:color w:val="auto"/>
          <w:sz w:val="24"/>
          <w:szCs w:val="24"/>
          <w:highlight w:val="none"/>
          <w:lang w:eastAsia="zh-CN"/>
        </w:rPr>
        <w:t>医疗废物、污水处理设施污泥及栅渣</w:t>
      </w:r>
      <w:r>
        <w:rPr>
          <w:rFonts w:hint="eastAsia" w:cs="Times New Roman"/>
          <w:color w:val="auto"/>
          <w:sz w:val="24"/>
          <w:szCs w:val="24"/>
          <w:highlight w:val="none"/>
          <w:lang w:val="en-US" w:eastAsia="zh-CN"/>
        </w:rPr>
        <w:t>等</w:t>
      </w:r>
      <w:r>
        <w:rPr>
          <w:rFonts w:hint="eastAsia" w:cs="宋体"/>
          <w:color w:val="auto"/>
          <w:sz w:val="24"/>
          <w:szCs w:val="24"/>
          <w:highlight w:val="none"/>
        </w:rPr>
        <w:t>。</w:t>
      </w:r>
      <w:r>
        <w:rPr>
          <w:color w:val="auto"/>
          <w:sz w:val="24"/>
          <w:szCs w:val="24"/>
          <w:highlight w:val="none"/>
        </w:rPr>
        <w:t xml:space="preserve">       </w:t>
      </w:r>
    </w:p>
    <w:p w14:paraId="7EE024C0">
      <w:pPr>
        <w:pStyle w:val="15"/>
        <w:adjustRightInd w:val="0"/>
        <w:snapToGrid w:val="0"/>
        <w:spacing w:line="360" w:lineRule="auto"/>
        <w:ind w:left="0" w:leftChars="0" w:firstLine="0" w:firstLineChars="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val="en-US" w:eastAsia="zh-CN"/>
        </w:rPr>
        <w:t>4.1</w:t>
      </w:r>
      <w:r>
        <w:rPr>
          <w:rFonts w:hint="default" w:ascii="Times New Roman" w:hAnsi="Times New Roman" w:cs="Times New Roman"/>
          <w:color w:val="auto"/>
          <w:highlight w:val="none"/>
          <w:lang w:eastAsia="zh-CN"/>
        </w:rPr>
        <w:t>生活垃圾</w:t>
      </w:r>
    </w:p>
    <w:p w14:paraId="393F4B34">
      <w:pPr>
        <w:pStyle w:val="15"/>
        <w:adjustRightInd w:val="0"/>
        <w:snapToGrid w:val="0"/>
        <w:spacing w:line="360" w:lineRule="auto"/>
        <w:ind w:left="0" w:firstLine="478"/>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本项目共产生生活垃圾</w:t>
      </w:r>
      <w:r>
        <w:rPr>
          <w:rFonts w:hint="default" w:ascii="Times New Roman" w:hAnsi="Times New Roman" w:cs="Times New Roman"/>
          <w:color w:val="auto"/>
          <w:sz w:val="24"/>
          <w:highlight w:val="none"/>
          <w:lang w:val="en-US" w:eastAsia="zh-CN"/>
        </w:rPr>
        <w:t>37.41</w:t>
      </w:r>
      <w:r>
        <w:rPr>
          <w:rFonts w:hint="default" w:ascii="Times New Roman" w:hAnsi="Times New Roman" w:cs="Times New Roman"/>
          <w:color w:val="auto"/>
          <w:highlight w:val="none"/>
        </w:rPr>
        <w:t>t/a。对于纸张、塑料、金属等可回收的垃圾分别放置，给以明确标识，并加大宣传力度，让人们自觉养成好的分类放置习惯。对于具有危险性危害的垃圾，如废旧电池、废灯管等，应集中后送往指定地点处理。生活垃圾由环卫部门</w:t>
      </w:r>
      <w:r>
        <w:rPr>
          <w:rFonts w:hint="default" w:ascii="Times New Roman" w:hAnsi="Times New Roman" w:cs="Times New Roman"/>
          <w:color w:val="auto"/>
          <w:highlight w:val="none"/>
          <w:lang w:eastAsia="zh-CN"/>
        </w:rPr>
        <w:t>统一清运处理</w:t>
      </w:r>
      <w:r>
        <w:rPr>
          <w:rFonts w:hint="default" w:ascii="Times New Roman" w:hAnsi="Times New Roman" w:cs="Times New Roman"/>
          <w:color w:val="auto"/>
          <w:highlight w:val="none"/>
        </w:rPr>
        <w:t>。</w:t>
      </w:r>
    </w:p>
    <w:p w14:paraId="28ADB2AF">
      <w:pPr>
        <w:pStyle w:val="15"/>
        <w:adjustRightInd w:val="0"/>
        <w:snapToGrid w:val="0"/>
        <w:spacing w:line="360" w:lineRule="auto"/>
        <w:ind w:left="0" w:leftChars="0" w:firstLine="0" w:firstLineChars="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highlight w:val="none"/>
          <w:lang w:val="en-US" w:eastAsia="zh-CN"/>
        </w:rPr>
        <w:t>4.2</w:t>
      </w:r>
      <w:r>
        <w:rPr>
          <w:rFonts w:hint="default" w:ascii="Times New Roman" w:hAnsi="Times New Roman" w:cs="Times New Roman"/>
          <w:color w:val="auto"/>
          <w:sz w:val="24"/>
          <w:szCs w:val="24"/>
          <w:highlight w:val="none"/>
          <w:lang w:val="en-US" w:eastAsia="zh-CN"/>
        </w:rPr>
        <w:t>煎药药渣及废弃中药材</w:t>
      </w:r>
    </w:p>
    <w:p w14:paraId="3DE4FBB7">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outlineLvl w:val="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i w:val="0"/>
          <w:caps w:val="0"/>
          <w:color w:val="auto"/>
          <w:spacing w:val="0"/>
          <w:sz w:val="24"/>
          <w:szCs w:val="24"/>
          <w:highlight w:val="none"/>
          <w:shd w:val="clear" w:fill="FFFFFF"/>
          <w:lang w:val="en-US" w:eastAsia="zh-CN"/>
        </w:rPr>
        <w:t>本项目</w:t>
      </w:r>
      <w:r>
        <w:rPr>
          <w:rFonts w:hint="default" w:ascii="Times New Roman" w:hAnsi="Times New Roman" w:cs="Times New Roman"/>
          <w:color w:val="auto"/>
          <w:sz w:val="24"/>
          <w:szCs w:val="24"/>
          <w:highlight w:val="none"/>
          <w:lang w:val="en-US" w:eastAsia="zh-CN"/>
        </w:rPr>
        <w:t>煎药药渣及废弃中药材产生量为6.8t/a，中医院产生的煎药药渣及废弃中药材为一般性固体废物，煎药药渣及废弃中药材与生活垃圾性质相近，可以直接进入生活</w:t>
      </w:r>
      <w:r>
        <w:rPr>
          <w:rFonts w:hint="default" w:ascii="Times New Roman" w:hAnsi="Times New Roman" w:eastAsia="宋体" w:cs="Times New Roman"/>
          <w:color w:val="auto"/>
          <w:sz w:val="24"/>
          <w:szCs w:val="24"/>
          <w:highlight w:val="none"/>
          <w:lang w:eastAsia="zh-CN"/>
        </w:rPr>
        <w:t>垃圾填埋场填埋处理</w:t>
      </w:r>
      <w:r>
        <w:rPr>
          <w:rFonts w:hint="default" w:ascii="Times New Roman" w:hAnsi="Times New Roman" w:cs="Times New Roman"/>
          <w:color w:val="auto"/>
          <w:sz w:val="24"/>
          <w:szCs w:val="24"/>
          <w:highlight w:val="none"/>
          <w:lang w:eastAsia="zh-CN"/>
        </w:rPr>
        <w:t>，故本项目</w:t>
      </w:r>
      <w:r>
        <w:rPr>
          <w:rFonts w:hint="default" w:ascii="Times New Roman" w:hAnsi="Times New Roman" w:cs="Times New Roman"/>
          <w:color w:val="auto"/>
          <w:sz w:val="24"/>
          <w:szCs w:val="24"/>
          <w:highlight w:val="none"/>
          <w:lang w:val="en-US" w:eastAsia="zh-CN"/>
        </w:rPr>
        <w:t>煎药药渣及废弃中药材与生活垃圾一同</w:t>
      </w:r>
      <w:r>
        <w:rPr>
          <w:rFonts w:hint="default" w:ascii="Times New Roman" w:hAnsi="Times New Roman" w:cs="Times New Roman"/>
          <w:color w:val="auto"/>
          <w:sz w:val="24"/>
          <w:highlight w:val="none"/>
          <w:lang w:eastAsia="zh-CN"/>
        </w:rPr>
        <w:t>交由环卫部门统一清运处理。</w:t>
      </w:r>
    </w:p>
    <w:p w14:paraId="44692C88">
      <w:pPr>
        <w:pStyle w:val="15"/>
        <w:adjustRightInd w:val="0"/>
        <w:snapToGrid w:val="0"/>
        <w:spacing w:line="360" w:lineRule="auto"/>
        <w:ind w:left="0" w:leftChars="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4.3危险废物</w:t>
      </w:r>
    </w:p>
    <w:p w14:paraId="1064CEE6">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4.3.1危险废物类别</w:t>
      </w:r>
    </w:p>
    <w:p w14:paraId="32A9C6E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jc w:val="both"/>
        <w:textAlignment w:val="auto"/>
        <w:outlineLvl w:val="9"/>
        <w:rPr>
          <w:rFonts w:hint="eastAsia" w:ascii="宋体" w:hAnsi="宋体"/>
          <w:color w:val="auto"/>
          <w:sz w:val="24"/>
          <w:highlight w:val="none"/>
          <w:lang w:eastAsia="zh-CN"/>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1</w:t>
      </w:r>
      <w:r>
        <w:rPr>
          <w:rFonts w:hint="eastAsia" w:ascii="宋体" w:hAnsi="宋体"/>
          <w:color w:val="auto"/>
          <w:sz w:val="24"/>
          <w:highlight w:val="none"/>
          <w:lang w:eastAsia="zh-CN"/>
        </w:rPr>
        <w:t>）污泥及栅渣</w:t>
      </w:r>
    </w:p>
    <w:p w14:paraId="6049F9B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ascii="Times New Roman" w:hAnsi="Times New Roman" w:cs="Times New Roman"/>
          <w:color w:val="auto"/>
          <w:sz w:val="24"/>
          <w:szCs w:val="24"/>
          <w:highlight w:val="none"/>
        </w:rPr>
      </w:pPr>
      <w:r>
        <w:rPr>
          <w:rFonts w:hint="eastAsia" w:cs="宋体"/>
          <w:color w:val="auto"/>
          <w:sz w:val="24"/>
          <w:szCs w:val="24"/>
          <w:highlight w:val="none"/>
        </w:rPr>
        <w:t>污水处理设施</w:t>
      </w:r>
      <w:r>
        <w:rPr>
          <w:rFonts w:hint="eastAsia" w:hAnsi="宋体" w:cs="宋体"/>
          <w:color w:val="auto"/>
          <w:sz w:val="24"/>
          <w:szCs w:val="24"/>
          <w:highlight w:val="none"/>
        </w:rPr>
        <w:t>污泥</w:t>
      </w:r>
      <w:r>
        <w:rPr>
          <w:rFonts w:hint="eastAsia" w:hAnsi="宋体" w:cs="宋体"/>
          <w:color w:val="auto"/>
          <w:sz w:val="24"/>
          <w:szCs w:val="24"/>
          <w:highlight w:val="none"/>
          <w:lang w:eastAsia="zh-CN"/>
        </w:rPr>
        <w:t>及栅渣</w:t>
      </w:r>
      <w:r>
        <w:rPr>
          <w:rFonts w:hint="eastAsia" w:hAnsi="宋体" w:cs="宋体"/>
          <w:color w:val="auto"/>
          <w:sz w:val="24"/>
          <w:szCs w:val="24"/>
          <w:highlight w:val="none"/>
        </w:rPr>
        <w:t>产生量约为</w:t>
      </w:r>
      <w:r>
        <w:rPr>
          <w:rFonts w:hint="eastAsia" w:hAnsi="宋体"/>
          <w:color w:val="auto"/>
          <w:sz w:val="24"/>
          <w:szCs w:val="24"/>
          <w:highlight w:val="none"/>
          <w:lang w:val="en-US" w:eastAsia="zh-CN"/>
        </w:rPr>
        <w:t>0.15</w:t>
      </w:r>
      <w:r>
        <w:rPr>
          <w:rFonts w:hAnsi="宋体"/>
          <w:color w:val="auto"/>
          <w:sz w:val="24"/>
          <w:szCs w:val="24"/>
          <w:highlight w:val="none"/>
        </w:rPr>
        <w:t>t/a</w:t>
      </w:r>
      <w:r>
        <w:rPr>
          <w:rFonts w:hint="eastAsia" w:hAnsi="宋体" w:cs="宋体"/>
          <w:color w:val="auto"/>
          <w:sz w:val="24"/>
          <w:szCs w:val="24"/>
          <w:highlight w:val="none"/>
        </w:rPr>
        <w:t>。</w:t>
      </w:r>
      <w:r>
        <w:rPr>
          <w:rFonts w:ascii="Times New Roman" w:hAnsi="Times New Roman" w:cs="Times New Roman"/>
          <w:color w:val="auto"/>
          <w:sz w:val="24"/>
          <w:szCs w:val="24"/>
          <w:highlight w:val="none"/>
        </w:rPr>
        <w:t>医院的污水处理站污泥</w:t>
      </w:r>
      <w:r>
        <w:rPr>
          <w:rFonts w:hint="eastAsia" w:cs="Times New Roman"/>
          <w:color w:val="auto"/>
          <w:sz w:val="24"/>
          <w:szCs w:val="24"/>
          <w:highlight w:val="none"/>
          <w:lang w:eastAsia="zh-CN"/>
        </w:rPr>
        <w:t>、栅渣</w:t>
      </w:r>
      <w:r>
        <w:rPr>
          <w:rFonts w:ascii="Times New Roman" w:hAnsi="Times New Roman" w:cs="Times New Roman"/>
          <w:color w:val="auto"/>
          <w:sz w:val="24"/>
          <w:szCs w:val="24"/>
          <w:highlight w:val="none"/>
        </w:rPr>
        <w:t>属于危险废物，而且不及时清运会产生恶臭影响环境，由于污水中含有大量病原微生物和寄生虫卵等，其中相当部分转移到了污泥</w:t>
      </w:r>
      <w:r>
        <w:rPr>
          <w:rFonts w:hint="eastAsia" w:cs="Times New Roman"/>
          <w:color w:val="auto"/>
          <w:sz w:val="24"/>
          <w:szCs w:val="24"/>
          <w:highlight w:val="none"/>
          <w:lang w:eastAsia="zh-CN"/>
        </w:rPr>
        <w:t>、栅渣</w:t>
      </w:r>
      <w:r>
        <w:rPr>
          <w:rFonts w:ascii="Times New Roman" w:hAnsi="Times New Roman" w:cs="Times New Roman"/>
          <w:color w:val="auto"/>
          <w:sz w:val="24"/>
          <w:szCs w:val="24"/>
          <w:highlight w:val="none"/>
        </w:rPr>
        <w:t>中，使污泥</w:t>
      </w:r>
      <w:r>
        <w:rPr>
          <w:rFonts w:hint="eastAsia" w:cs="Times New Roman"/>
          <w:color w:val="auto"/>
          <w:sz w:val="24"/>
          <w:szCs w:val="24"/>
          <w:highlight w:val="none"/>
          <w:lang w:eastAsia="zh-CN"/>
        </w:rPr>
        <w:t>、栅渣</w:t>
      </w:r>
      <w:r>
        <w:rPr>
          <w:rFonts w:ascii="Times New Roman" w:hAnsi="Times New Roman" w:cs="Times New Roman"/>
          <w:color w:val="auto"/>
          <w:sz w:val="24"/>
          <w:szCs w:val="24"/>
          <w:highlight w:val="none"/>
        </w:rPr>
        <w:t>也具有了传染性。</w:t>
      </w:r>
    </w:p>
    <w:p w14:paraId="3C058188">
      <w:pPr>
        <w:adjustRightInd w:val="0"/>
        <w:snapToGrid w:val="0"/>
        <w:spacing w:line="360" w:lineRule="auto"/>
        <w:ind w:firstLine="480" w:firstLineChars="200"/>
        <w:jc w:val="left"/>
        <w:rPr>
          <w:rFonts w:ascii="Times New Roman" w:hAnsi="Times New Roman" w:cs="Times New Roman"/>
          <w:color w:val="FF0000"/>
          <w:sz w:val="24"/>
          <w:szCs w:val="24"/>
          <w:highlight w:val="none"/>
        </w:rPr>
      </w:pPr>
      <w:r>
        <w:rPr>
          <w:rFonts w:hint="eastAsia" w:ascii="宋体" w:hAnsi="宋体"/>
          <w:color w:val="FF0000"/>
          <w:sz w:val="24"/>
          <w:highlight w:val="none"/>
        </w:rPr>
        <w:t>按照《医院污水处理设计规范》的要求，污泥</w:t>
      </w:r>
      <w:r>
        <w:rPr>
          <w:rFonts w:hint="eastAsia" w:ascii="宋体" w:hAnsi="宋体"/>
          <w:color w:val="FF0000"/>
          <w:sz w:val="24"/>
          <w:highlight w:val="none"/>
          <w:lang w:eastAsia="zh-CN"/>
        </w:rPr>
        <w:t>、栅渣</w:t>
      </w:r>
      <w:r>
        <w:rPr>
          <w:rFonts w:hint="eastAsia" w:ascii="宋体" w:hAnsi="宋体"/>
          <w:color w:val="FF0000"/>
          <w:sz w:val="24"/>
          <w:highlight w:val="none"/>
        </w:rPr>
        <w:t>必须经过有效的消毒处理。</w:t>
      </w:r>
      <w:r>
        <w:rPr>
          <w:rFonts w:hint="eastAsia" w:ascii="宋体" w:hAnsi="宋体"/>
          <w:color w:val="FF0000"/>
          <w:sz w:val="24"/>
          <w:highlight w:val="none"/>
          <w:lang w:eastAsia="zh-CN"/>
        </w:rPr>
        <w:t>本项目污泥、栅渣</w:t>
      </w:r>
      <w:r>
        <w:rPr>
          <w:rFonts w:hint="eastAsia" w:ascii="宋体" w:hAnsi="宋体"/>
          <w:color w:val="FF0000"/>
          <w:sz w:val="24"/>
          <w:highlight w:val="none"/>
        </w:rPr>
        <w:t>采用石灰消毒，石灰投加量采</w:t>
      </w:r>
      <w:r>
        <w:rPr>
          <w:rFonts w:hint="default" w:ascii="Times New Roman" w:hAnsi="Times New Roman" w:cs="Times New Roman"/>
          <w:color w:val="FF0000"/>
          <w:sz w:val="24"/>
          <w:highlight w:val="none"/>
        </w:rPr>
        <w:t>用15g/L（以Ca(OH)</w:t>
      </w:r>
      <w:r>
        <w:rPr>
          <w:rFonts w:hint="default" w:ascii="Times New Roman" w:hAnsi="Times New Roman" w:cs="Times New Roman"/>
          <w:color w:val="FF0000"/>
          <w:sz w:val="24"/>
          <w:highlight w:val="none"/>
          <w:vertAlign w:val="subscript"/>
        </w:rPr>
        <w:t>2</w:t>
      </w:r>
      <w:r>
        <w:rPr>
          <w:rFonts w:hint="default" w:ascii="Times New Roman" w:hAnsi="Times New Roman" w:cs="Times New Roman"/>
          <w:color w:val="FF0000"/>
          <w:sz w:val="24"/>
          <w:highlight w:val="none"/>
        </w:rPr>
        <w:t>计），使污泥的pH值提高到12以上，并存放7d以上，可满足《医疗机构水污染物排放标准》（GB18466-2005）综合医疗机构和其他医疗机构污泥控制标准，粪大肠菌群数≤100MPN/g，蛔虫卵死</w:t>
      </w:r>
      <w:r>
        <w:rPr>
          <w:rFonts w:hint="default" w:ascii="Times New Roman" w:hAnsi="Times New Roman" w:cs="Times New Roman"/>
          <w:color w:val="FF0000"/>
          <w:sz w:val="24"/>
          <w:szCs w:val="24"/>
          <w:highlight w:val="none"/>
        </w:rPr>
        <w:t>亡率&gt;95%</w:t>
      </w:r>
      <w:r>
        <w:rPr>
          <w:rFonts w:hint="default" w:ascii="Times New Roman" w:hAnsi="Times New Roman" w:cs="Times New Roman"/>
          <w:color w:val="FF0000"/>
          <w:sz w:val="24"/>
          <w:szCs w:val="24"/>
          <w:highlight w:val="none"/>
          <w:lang w:eastAsia="zh-CN"/>
        </w:rPr>
        <w:t>的要求</w:t>
      </w:r>
      <w:r>
        <w:rPr>
          <w:rFonts w:hint="default" w:ascii="Times New Roman" w:hAnsi="Times New Roman" w:cs="Times New Roman"/>
          <w:color w:val="FF0000"/>
          <w:sz w:val="24"/>
          <w:szCs w:val="24"/>
          <w:highlight w:val="none"/>
        </w:rPr>
        <w:t>。</w:t>
      </w:r>
      <w:r>
        <w:rPr>
          <w:rFonts w:hint="default" w:ascii="Times New Roman" w:hAnsi="Times New Roman" w:cs="Times New Roman"/>
          <w:color w:val="FF0000"/>
          <w:sz w:val="24"/>
          <w:szCs w:val="24"/>
          <w:highlight w:val="none"/>
          <w:lang w:eastAsia="zh-CN"/>
        </w:rPr>
        <w:t>医院污水处理产生的</w:t>
      </w:r>
      <w:r>
        <w:rPr>
          <w:rFonts w:hint="default" w:ascii="Times New Roman" w:hAnsi="Times New Roman" w:cs="Times New Roman"/>
          <w:color w:val="FF0000"/>
          <w:sz w:val="24"/>
          <w:highlight w:val="none"/>
          <w:lang w:eastAsia="zh-CN"/>
        </w:rPr>
        <w:t>污泥及栅渣属于</w:t>
      </w:r>
      <w:r>
        <w:rPr>
          <w:rFonts w:hint="default" w:ascii="Times New Roman" w:hAnsi="Times New Roman" w:cs="Times New Roman"/>
          <w:color w:val="FF0000"/>
          <w:sz w:val="24"/>
          <w:highlight w:val="none"/>
          <w:lang w:val="en-US" w:eastAsia="zh-CN"/>
        </w:rPr>
        <w:t>HW01类</w:t>
      </w:r>
      <w:r>
        <w:rPr>
          <w:rFonts w:hint="default" w:ascii="Times New Roman" w:hAnsi="Times New Roman" w:cs="Times New Roman"/>
          <w:color w:val="FF0000"/>
          <w:sz w:val="24"/>
          <w:highlight w:val="none"/>
          <w:lang w:eastAsia="zh-CN"/>
        </w:rPr>
        <w:t>危险废物，处理达标后委托有资质的</w:t>
      </w:r>
      <w:r>
        <w:rPr>
          <w:rFonts w:hint="default" w:ascii="Times New Roman" w:hAnsi="Times New Roman" w:cs="Times New Roman"/>
          <w:color w:val="FF0000"/>
          <w:sz w:val="24"/>
          <w:szCs w:val="24"/>
          <w:highlight w:val="none"/>
        </w:rPr>
        <w:t>医疗废物处理机构集中处理。</w:t>
      </w:r>
    </w:p>
    <w:p w14:paraId="69E5B183">
      <w:pPr>
        <w:adjustRightInd w:val="0"/>
        <w:snapToGrid w:val="0"/>
        <w:spacing w:line="360" w:lineRule="auto"/>
        <w:ind w:firstLine="480" w:firstLineChars="200"/>
        <w:jc w:val="left"/>
        <w:rPr>
          <w:rFonts w:ascii="Times New Roman" w:hAnsi="Times New Roman" w:cs="Times New Roman"/>
          <w:color w:val="FF0000"/>
          <w:sz w:val="24"/>
          <w:szCs w:val="24"/>
          <w:highlight w:val="none"/>
        </w:rPr>
      </w:pPr>
      <w:r>
        <w:rPr>
          <w:rFonts w:ascii="Times New Roman" w:hAnsi="Times New Roman" w:cs="Times New Roman"/>
          <w:color w:val="FF0000"/>
          <w:sz w:val="24"/>
          <w:szCs w:val="24"/>
          <w:highlight w:val="none"/>
        </w:rPr>
        <w:t>从环境保护的角度出发，必须对污泥加强管理，防止恶臭气体形成，</w:t>
      </w:r>
      <w:r>
        <w:rPr>
          <w:rFonts w:hint="eastAsia" w:cs="Times New Roman"/>
          <w:color w:val="FF0000"/>
          <w:sz w:val="24"/>
          <w:szCs w:val="24"/>
          <w:highlight w:val="none"/>
          <w:lang w:eastAsia="zh-CN"/>
        </w:rPr>
        <w:t>污水处理设施产生的污泥及栅渣定期清掏，</w:t>
      </w:r>
      <w:r>
        <w:rPr>
          <w:rFonts w:ascii="Times New Roman" w:hAnsi="Times New Roman" w:cs="Times New Roman"/>
          <w:color w:val="FF0000"/>
          <w:sz w:val="24"/>
          <w:szCs w:val="24"/>
          <w:highlight w:val="none"/>
        </w:rPr>
        <w:t>经消毒处理后的污泥</w:t>
      </w:r>
      <w:r>
        <w:rPr>
          <w:rFonts w:hint="eastAsia" w:cs="Times New Roman"/>
          <w:color w:val="FF0000"/>
          <w:sz w:val="24"/>
          <w:szCs w:val="24"/>
          <w:highlight w:val="none"/>
          <w:lang w:eastAsia="zh-CN"/>
        </w:rPr>
        <w:t>、栅渣</w:t>
      </w:r>
      <w:r>
        <w:rPr>
          <w:rFonts w:ascii="Times New Roman" w:hAnsi="Times New Roman" w:cs="Times New Roman"/>
          <w:color w:val="FF0000"/>
          <w:sz w:val="24"/>
          <w:szCs w:val="24"/>
          <w:highlight w:val="none"/>
        </w:rPr>
        <w:t>放入桶中，加盖密封，并且要及时外运，以免长期堆放在院内，散发出异味及有害气体，造成环境污染。</w:t>
      </w:r>
    </w:p>
    <w:p w14:paraId="5BCAC89F">
      <w:pPr>
        <w:adjustRightInd w:val="0"/>
        <w:snapToGrid w:val="0"/>
        <w:spacing w:line="360" w:lineRule="auto"/>
        <w:ind w:firstLine="480" w:firstLineChars="200"/>
        <w:jc w:val="left"/>
        <w:rPr>
          <w:rFonts w:hint="eastAsia" w:cs="宋体"/>
          <w:color w:val="auto"/>
          <w:sz w:val="24"/>
          <w:szCs w:val="24"/>
          <w:highlight w:val="none"/>
          <w:lang w:eastAsia="zh-CN"/>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2</w:t>
      </w:r>
      <w:r>
        <w:rPr>
          <w:rFonts w:hint="eastAsia" w:cs="宋体"/>
          <w:color w:val="auto"/>
          <w:sz w:val="24"/>
          <w:szCs w:val="24"/>
          <w:highlight w:val="none"/>
          <w:lang w:eastAsia="zh-CN"/>
        </w:rPr>
        <w:t>）医疗废物</w:t>
      </w:r>
    </w:p>
    <w:p w14:paraId="7F57E6C6">
      <w:pPr>
        <w:adjustRightInd w:val="0"/>
        <w:snapToGrid w:val="0"/>
        <w:spacing w:line="360" w:lineRule="auto"/>
        <w:ind w:firstLine="480" w:firstLineChars="200"/>
        <w:jc w:val="left"/>
        <w:rPr>
          <w:rFonts w:ascii="Times New Roman" w:eastAsia="宋体" w:cs="Times New Roman"/>
          <w:color w:val="auto"/>
          <w:sz w:val="24"/>
          <w:szCs w:val="24"/>
          <w:highlight w:val="none"/>
        </w:rPr>
      </w:pPr>
      <w:r>
        <w:rPr>
          <w:rFonts w:hint="eastAsia" w:cs="宋体"/>
          <w:color w:val="auto"/>
          <w:sz w:val="24"/>
          <w:szCs w:val="24"/>
          <w:highlight w:val="none"/>
        </w:rPr>
        <w:t>本项目</w:t>
      </w:r>
      <w:r>
        <w:rPr>
          <w:rFonts w:hint="eastAsia" w:cs="宋体"/>
          <w:color w:val="auto"/>
          <w:sz w:val="24"/>
          <w:szCs w:val="24"/>
          <w:highlight w:val="none"/>
          <w:lang w:eastAsia="zh-CN"/>
        </w:rPr>
        <w:t>医疗废物</w:t>
      </w:r>
      <w:r>
        <w:rPr>
          <w:rFonts w:hint="eastAsia" w:cs="宋体"/>
          <w:color w:val="auto"/>
          <w:sz w:val="24"/>
          <w:szCs w:val="24"/>
          <w:highlight w:val="none"/>
        </w:rPr>
        <w:t>产生量为</w:t>
      </w:r>
      <w:r>
        <w:rPr>
          <w:rFonts w:hint="eastAsia"/>
          <w:color w:val="auto"/>
          <w:sz w:val="24"/>
          <w:szCs w:val="24"/>
          <w:highlight w:val="none"/>
          <w:lang w:val="en-US" w:eastAsia="zh-CN"/>
        </w:rPr>
        <w:t>9.64</w:t>
      </w:r>
      <w:r>
        <w:rPr>
          <w:color w:val="auto"/>
          <w:sz w:val="24"/>
          <w:szCs w:val="24"/>
          <w:highlight w:val="none"/>
        </w:rPr>
        <w:t>t/a</w:t>
      </w:r>
      <w:r>
        <w:rPr>
          <w:rFonts w:hint="eastAsia" w:cs="宋体"/>
          <w:color w:val="auto"/>
          <w:sz w:val="24"/>
          <w:szCs w:val="24"/>
          <w:highlight w:val="none"/>
        </w:rPr>
        <w:t>，</w:t>
      </w:r>
      <w:r>
        <w:rPr>
          <w:rFonts w:ascii="Times New Roman" w:eastAsia="宋体" w:cs="Times New Roman"/>
          <w:color w:val="auto"/>
          <w:sz w:val="24"/>
          <w:szCs w:val="24"/>
          <w:highlight w:val="none"/>
        </w:rPr>
        <w:t>医疗废物是医疗卫生机构在医疗、预防、保健以及其他相关活动中产生的具有直接或者间接感染性、毒性以及其他危害性的废物，是污染程度及危害程度最广泛、最严重的一类危险废物。医疗废物作为一种危害性极大的危险废物，关系着广大人民群众的健康安全，其治理已受到国家相关部门的关注。2003年6月，国务院出台了《医疗废物管理条例》，对医疗废物做出了严格的立法。</w:t>
      </w:r>
    </w:p>
    <w:p w14:paraId="5BD85DAB">
      <w:pPr>
        <w:adjustRightInd w:val="0"/>
        <w:snapToGrid w:val="0"/>
        <w:spacing w:line="360" w:lineRule="auto"/>
        <w:ind w:firstLine="480" w:firstLineChars="200"/>
        <w:jc w:val="left"/>
        <w:rPr>
          <w:rFonts w:hint="eastAsia" w:eastAsia="宋体" w:cs="Times New Roman"/>
          <w:color w:val="auto"/>
          <w:sz w:val="24"/>
          <w:szCs w:val="24"/>
          <w:highlight w:val="none"/>
          <w:lang w:val="en-US" w:eastAsia="zh-CN"/>
        </w:rPr>
      </w:pPr>
      <w:r>
        <w:rPr>
          <w:rFonts w:ascii="Times New Roman" w:hAnsi="Times New Roman" w:cs="Times New Roman"/>
          <w:color w:val="auto"/>
          <w:sz w:val="24"/>
          <w:szCs w:val="24"/>
          <w:highlight w:val="none"/>
        </w:rPr>
        <w:t>在《医疗废物分类名录》中列有：感染性废物、病理性废物、损伤性废物、药物性废物、化学性废物。</w:t>
      </w:r>
      <w:r>
        <w:rPr>
          <w:rFonts w:hint="eastAsia" w:cs="Times New Roman"/>
          <w:color w:val="auto"/>
          <w:sz w:val="24"/>
          <w:szCs w:val="24"/>
          <w:highlight w:val="none"/>
          <w:lang w:eastAsia="zh-CN"/>
        </w:rPr>
        <w:t>本项目以中医治疗为主，无手术切除丢弃物，中药材和中成药非化学药品和生物制剂，且</w:t>
      </w:r>
      <w:r>
        <w:rPr>
          <w:rFonts w:hint="eastAsia" w:cs="Times New Roman"/>
          <w:color w:val="auto"/>
          <w:sz w:val="24"/>
          <w:szCs w:val="24"/>
          <w:highlight w:val="none"/>
          <w:lang w:val="en-US" w:eastAsia="zh-CN"/>
        </w:rPr>
        <w:t>不属于毒性中药，</w:t>
      </w:r>
      <w:r>
        <w:rPr>
          <w:rFonts w:hint="eastAsia" w:cs="Times New Roman"/>
          <w:color w:val="auto"/>
          <w:sz w:val="24"/>
          <w:szCs w:val="24"/>
          <w:highlight w:val="none"/>
          <w:lang w:eastAsia="zh-CN"/>
        </w:rPr>
        <w:t>其失效药参照一般性固废进行管理即可。故本项目仅涉及</w:t>
      </w:r>
      <w:r>
        <w:rPr>
          <w:rFonts w:ascii="Times New Roman" w:hAnsi="Times New Roman" w:cs="Times New Roman"/>
          <w:color w:val="auto"/>
          <w:sz w:val="24"/>
          <w:szCs w:val="24"/>
          <w:highlight w:val="none"/>
        </w:rPr>
        <w:t>感染性废物、损伤性废物、化学性废物</w:t>
      </w:r>
      <w:r>
        <w:rPr>
          <w:rFonts w:hint="eastAsia" w:cs="Times New Roman"/>
          <w:color w:val="auto"/>
          <w:sz w:val="24"/>
          <w:szCs w:val="24"/>
          <w:highlight w:val="none"/>
          <w:lang w:eastAsia="zh-CN"/>
        </w:rPr>
        <w:t>医疗废物，具体如下：</w:t>
      </w:r>
    </w:p>
    <w:p w14:paraId="19E668A4">
      <w:pPr>
        <w:adjustRightInd w:val="0"/>
        <w:snapToGrid w:val="0"/>
        <w:spacing w:line="360" w:lineRule="auto"/>
        <w:ind w:firstLine="480" w:firstLineChars="200"/>
        <w:jc w:val="left"/>
        <w:rPr>
          <w:rFonts w:ascii="Times New Roman" w:eastAsia="宋体" w:cs="Times New Roman"/>
          <w:color w:val="auto"/>
          <w:sz w:val="24"/>
          <w:szCs w:val="24"/>
          <w:highlight w:val="none"/>
        </w:rPr>
      </w:pPr>
      <w:r>
        <w:rPr>
          <w:rFonts w:cs="Times New Roman"/>
          <w:color w:val="auto"/>
          <w:sz w:val="24"/>
          <w:szCs w:val="24"/>
          <w:highlight w:val="none"/>
          <w:lang w:val="en-US"/>
        </w:rPr>
        <w:t>1)</w:t>
      </w:r>
      <w:r>
        <w:rPr>
          <w:rFonts w:hint="eastAsia" w:cs="Times New Roman"/>
          <w:color w:val="auto"/>
          <w:sz w:val="24"/>
          <w:szCs w:val="24"/>
          <w:highlight w:val="none"/>
          <w:lang w:val="en-US" w:eastAsia="zh-CN"/>
        </w:rPr>
        <w:t>本项目</w:t>
      </w:r>
      <w:r>
        <w:rPr>
          <w:rFonts w:ascii="Times New Roman" w:eastAsia="宋体" w:cs="Times New Roman"/>
          <w:color w:val="auto"/>
          <w:sz w:val="24"/>
          <w:szCs w:val="24"/>
          <w:highlight w:val="none"/>
        </w:rPr>
        <w:t>医疗废物主要包括：</w:t>
      </w:r>
    </w:p>
    <w:p w14:paraId="5181E9CA">
      <w:pPr>
        <w:keepNext w:val="0"/>
        <w:keepLines w:val="0"/>
        <w:pageBreakBefore w:val="0"/>
        <w:widowControl w:val="0"/>
        <w:kinsoku/>
        <w:wordWrap/>
        <w:overflowPunct/>
        <w:topLinePunct w:val="0"/>
        <w:autoSpaceDE/>
        <w:autoSpaceDN/>
        <w:bidi w:val="0"/>
        <w:adjustRightInd w:val="0"/>
        <w:snapToGrid w:val="0"/>
        <w:spacing w:line="360" w:lineRule="auto"/>
        <w:ind w:firstLine="570"/>
        <w:jc w:val="both"/>
        <w:outlineLvl w:val="9"/>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①感染性废物，包括</w:t>
      </w:r>
      <w:r>
        <w:rPr>
          <w:rFonts w:hint="eastAsia" w:ascii="宋体" w:hAnsi="宋体"/>
          <w:color w:val="auto"/>
          <w:sz w:val="24"/>
          <w:highlight w:val="none"/>
          <w:lang w:eastAsia="zh-CN"/>
        </w:rPr>
        <w:t>棉签、纱布、压舌片等废弃医疗用品，废弃的被服等床上用品</w:t>
      </w:r>
      <w:r>
        <w:rPr>
          <w:rFonts w:ascii="Times New Roman" w:hAnsi="Times New Roman" w:cs="Times New Roman"/>
          <w:color w:val="auto"/>
          <w:sz w:val="24"/>
          <w:szCs w:val="24"/>
          <w:highlight w:val="none"/>
        </w:rPr>
        <w:t>；</w:t>
      </w:r>
    </w:p>
    <w:p w14:paraId="796A7775">
      <w:pPr>
        <w:keepNext w:val="0"/>
        <w:keepLines w:val="0"/>
        <w:pageBreakBefore w:val="0"/>
        <w:widowControl w:val="0"/>
        <w:kinsoku/>
        <w:wordWrap/>
        <w:overflowPunct/>
        <w:topLinePunct w:val="0"/>
        <w:autoSpaceDE/>
        <w:autoSpaceDN/>
        <w:bidi w:val="0"/>
        <w:adjustRightInd w:val="0"/>
        <w:snapToGrid w:val="0"/>
        <w:spacing w:line="360" w:lineRule="auto"/>
        <w:ind w:firstLine="570"/>
        <w:jc w:val="both"/>
        <w:outlineLvl w:val="9"/>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②</w:t>
      </w:r>
      <w:r>
        <w:rPr>
          <w:rFonts w:hint="eastAsia" w:cs="Times New Roman"/>
          <w:color w:val="auto"/>
          <w:sz w:val="24"/>
          <w:szCs w:val="24"/>
          <w:highlight w:val="none"/>
          <w:lang w:eastAsia="zh-CN"/>
        </w:rPr>
        <w:t>损伤性</w:t>
      </w:r>
      <w:r>
        <w:rPr>
          <w:rFonts w:ascii="Times New Roman" w:hAnsi="Times New Roman" w:cs="Times New Roman"/>
          <w:color w:val="auto"/>
          <w:sz w:val="24"/>
          <w:szCs w:val="24"/>
          <w:highlight w:val="none"/>
        </w:rPr>
        <w:t>废物</w:t>
      </w:r>
      <w:r>
        <w:rPr>
          <w:rFonts w:hint="eastAsia" w:cs="Times New Roman"/>
          <w:color w:val="auto"/>
          <w:sz w:val="24"/>
          <w:szCs w:val="24"/>
          <w:highlight w:val="none"/>
          <w:lang w:eastAsia="zh-CN"/>
        </w:rPr>
        <w:t>，包括</w:t>
      </w:r>
      <w:r>
        <w:rPr>
          <w:rFonts w:hint="eastAsia" w:ascii="宋体" w:hAnsi="宋体"/>
          <w:color w:val="auto"/>
          <w:sz w:val="24"/>
          <w:highlight w:val="none"/>
          <w:lang w:eastAsia="zh-CN"/>
        </w:rPr>
        <w:t>废弃的医用注射器、针灸针、剪刀、刀片</w:t>
      </w:r>
      <w:r>
        <w:rPr>
          <w:rFonts w:ascii="Times New Roman" w:hAnsi="Times New Roman" w:cs="Times New Roman"/>
          <w:color w:val="auto"/>
          <w:sz w:val="24"/>
          <w:szCs w:val="24"/>
          <w:highlight w:val="none"/>
        </w:rPr>
        <w:t>；</w:t>
      </w:r>
    </w:p>
    <w:p w14:paraId="379F333E">
      <w:pPr>
        <w:keepNext w:val="0"/>
        <w:keepLines w:val="0"/>
        <w:pageBreakBefore w:val="0"/>
        <w:widowControl w:val="0"/>
        <w:kinsoku/>
        <w:wordWrap/>
        <w:overflowPunct/>
        <w:topLinePunct w:val="0"/>
        <w:autoSpaceDE/>
        <w:autoSpaceDN/>
        <w:bidi w:val="0"/>
        <w:adjustRightInd w:val="0"/>
        <w:snapToGrid w:val="0"/>
        <w:spacing w:line="360" w:lineRule="auto"/>
        <w:ind w:firstLine="573"/>
        <w:jc w:val="both"/>
        <w:outlineLvl w:val="9"/>
        <w:rPr>
          <w:rFonts w:hint="eastAsia" w:ascii="Times New Roman" w:hAnsi="Times New Roman" w:eastAsia="宋体" w:cs="Times New Roman"/>
          <w:color w:val="auto"/>
          <w:sz w:val="24"/>
          <w:szCs w:val="24"/>
          <w:highlight w:val="none"/>
          <w:lang w:eastAsia="zh-CN"/>
        </w:rPr>
      </w:pPr>
      <w:r>
        <w:rPr>
          <w:rFonts w:ascii="Times New Roman" w:hAnsi="Times New Roman" w:cs="Times New Roman"/>
          <w:color w:val="auto"/>
          <w:sz w:val="24"/>
          <w:szCs w:val="24"/>
          <w:highlight w:val="none"/>
        </w:rPr>
        <w:t>③</w:t>
      </w:r>
      <w:r>
        <w:rPr>
          <w:rFonts w:hint="eastAsia" w:cs="Times New Roman"/>
          <w:color w:val="auto"/>
          <w:sz w:val="24"/>
          <w:szCs w:val="24"/>
          <w:highlight w:val="none"/>
          <w:lang w:eastAsia="zh-CN"/>
        </w:rPr>
        <w:t>化学性废物，包括</w:t>
      </w:r>
      <w:r>
        <w:rPr>
          <w:rFonts w:hint="eastAsia" w:ascii="宋体" w:hAnsi="宋体"/>
          <w:color w:val="auto"/>
          <w:sz w:val="24"/>
          <w:highlight w:val="none"/>
          <w:lang w:eastAsia="zh-CN"/>
        </w:rPr>
        <w:t>废弃体温计</w:t>
      </w:r>
      <w:r>
        <w:rPr>
          <w:rFonts w:hint="eastAsia" w:ascii="宋体" w:hAnsi="宋体"/>
          <w:color w:val="auto"/>
          <w:sz w:val="24"/>
          <w:highlight w:val="none"/>
        </w:rPr>
        <w:t>等</w:t>
      </w:r>
    </w:p>
    <w:p w14:paraId="7F467106">
      <w:pPr>
        <w:keepNext w:val="0"/>
        <w:keepLines w:val="0"/>
        <w:pageBreakBefore w:val="0"/>
        <w:widowControl w:val="0"/>
        <w:kinsoku/>
        <w:wordWrap/>
        <w:overflowPunct/>
        <w:topLinePunct w:val="0"/>
        <w:autoSpaceDE/>
        <w:autoSpaceDN/>
        <w:bidi w:val="0"/>
        <w:adjustRightInd w:val="0"/>
        <w:snapToGrid w:val="0"/>
        <w:spacing w:line="360" w:lineRule="auto"/>
        <w:ind w:firstLine="240" w:firstLineChars="100"/>
        <w:textAlignment w:val="auto"/>
        <w:outlineLvl w:val="9"/>
        <w:rPr>
          <w:color w:val="auto"/>
          <w:sz w:val="24"/>
          <w:szCs w:val="24"/>
          <w:highlight w:val="none"/>
        </w:rPr>
      </w:pPr>
      <w:r>
        <w:rPr>
          <w:rFonts w:hint="eastAsia"/>
          <w:color w:val="auto"/>
          <w:sz w:val="24"/>
          <w:szCs w:val="24"/>
          <w:highlight w:val="none"/>
        </w:rPr>
        <w:t xml:space="preserve"> </w:t>
      </w:r>
      <w:r>
        <w:rPr>
          <w:color w:val="auto"/>
          <w:sz w:val="24"/>
          <w:szCs w:val="24"/>
          <w:highlight w:val="none"/>
        </w:rPr>
        <w:t>2</w:t>
      </w:r>
      <w:r>
        <w:rPr>
          <w:color w:val="auto"/>
          <w:sz w:val="24"/>
          <w:szCs w:val="24"/>
          <w:highlight w:val="none"/>
          <w:lang w:val="en-US"/>
        </w:rPr>
        <w:t>)</w:t>
      </w:r>
      <w:r>
        <w:rPr>
          <w:color w:val="auto"/>
          <w:sz w:val="24"/>
          <w:szCs w:val="24"/>
          <w:highlight w:val="none"/>
        </w:rPr>
        <w:t>危害</w:t>
      </w:r>
    </w:p>
    <w:p w14:paraId="486B9659">
      <w:pPr>
        <w:adjustRightInd w:val="0"/>
        <w:snapToGrid w:val="0"/>
        <w:spacing w:line="360" w:lineRule="auto"/>
        <w:ind w:firstLine="480" w:firstLineChars="200"/>
        <w:jc w:val="left"/>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医疗废物的巨大危害表现在它所含的病菌是普通生活垃圾的几十倍甚至上千倍，最显而易见的危害性就是它的传染性。令人担忧的是大量的医疗废物并没有被消毒或深加工，而是直接流失到了社会上。如一次性医疗器械二次使用、一次性注射器简单水洗后便改制成其他塑料制品等，这些改头换面的医疗废物将病菌散布在我们的饮用水、生活用品甚至空气中。医疗废物的危害还表现在可能因为处理方法不当而成为潜在的健康隐患。据资料介绍，医疗废物如与生活垃圾混装焚烧会产生黑色、恶臭的气体，而这种气体中会含有二恶英等致癌物；如将之随意填埋，要经过几百年才能够降解，严重危害生态环境。</w:t>
      </w:r>
    </w:p>
    <w:p w14:paraId="299C3320">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lang w:eastAsia="zh-CN"/>
        </w:rPr>
        <w:t>本项目</w:t>
      </w:r>
      <w:r>
        <w:rPr>
          <w:rFonts w:hint="eastAsia" w:ascii="宋体" w:hAnsi="宋体"/>
          <w:color w:val="auto"/>
          <w:sz w:val="24"/>
          <w:highlight w:val="none"/>
        </w:rPr>
        <w:t>医疗废物全部运往有资质的</w:t>
      </w:r>
      <w:r>
        <w:rPr>
          <w:rFonts w:hint="eastAsia" w:ascii="宋体" w:hAnsi="宋体"/>
          <w:color w:val="auto"/>
          <w:sz w:val="24"/>
          <w:highlight w:val="none"/>
          <w:lang w:eastAsia="zh-CN"/>
        </w:rPr>
        <w:t>医疗废物</w:t>
      </w:r>
      <w:r>
        <w:rPr>
          <w:rFonts w:hint="eastAsia" w:ascii="宋体" w:hAnsi="宋体"/>
          <w:color w:val="auto"/>
          <w:sz w:val="24"/>
          <w:highlight w:val="none"/>
        </w:rPr>
        <w:t>处理机构集中处理。在科室设置医疗废物和生活垃圾存储箱，医疗废物要做到密闭保存，</w:t>
      </w:r>
      <w:r>
        <w:rPr>
          <w:rFonts w:ascii="宋体" w:hAnsi="宋体"/>
          <w:color w:val="auto"/>
          <w:sz w:val="24"/>
          <w:highlight w:val="none"/>
        </w:rPr>
        <w:t>有专门的人员，将科室产生的医疗废物运送到专门的暂存地，每天</w:t>
      </w:r>
      <w:r>
        <w:rPr>
          <w:rFonts w:hint="eastAsia" w:ascii="宋体" w:hAnsi="宋体"/>
          <w:color w:val="auto"/>
          <w:sz w:val="24"/>
          <w:highlight w:val="none"/>
          <w:lang w:eastAsia="zh-CN"/>
        </w:rPr>
        <w:t>具有医疗废物处理资质的</w:t>
      </w:r>
      <w:r>
        <w:rPr>
          <w:rFonts w:ascii="宋体" w:hAnsi="宋体"/>
          <w:color w:val="auto"/>
          <w:sz w:val="24"/>
          <w:highlight w:val="none"/>
        </w:rPr>
        <w:t>固体废物处置公司会用专用车辆运走。科室与院内运送人员间、医院与公司间要做好交接，各环节进行登记签字，保留双签字的台账。</w:t>
      </w:r>
    </w:p>
    <w:p w14:paraId="28AABA64">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firstLine="480" w:firstLineChars="200"/>
        <w:jc w:val="both"/>
        <w:textAlignment w:val="auto"/>
        <w:outlineLvl w:val="9"/>
        <w:rPr>
          <w:color w:val="auto"/>
          <w:highlight w:val="none"/>
        </w:rPr>
      </w:pPr>
      <w:r>
        <w:rPr>
          <w:rFonts w:ascii="Times New Roman" w:hAnsi="Times New Roman" w:cs="Times New Roman"/>
          <w:color w:val="auto"/>
          <w:sz w:val="24"/>
          <w:szCs w:val="24"/>
          <w:highlight w:val="none"/>
        </w:rPr>
        <w:t>医院对医疗废物的管理严格执行《医疗废物管理条例》，及时收集本单位产生的医疗废物，并按照类别分置于防渗漏、防锐器穿透的专用包装物或者密闭的容器内。医疗废物专用包装物、容器，应当有明显的警示标识和警示说明。</w:t>
      </w:r>
    </w:p>
    <w:p w14:paraId="0F7A2B0A">
      <w:pPr>
        <w:adjustRightInd w:val="0"/>
        <w:snapToGrid w:val="0"/>
        <w:spacing w:line="360" w:lineRule="auto"/>
        <w:ind w:firstLine="436" w:firstLineChars="182"/>
        <w:rPr>
          <w:rFonts w:hint="eastAsia" w:ascii="宋体" w:hAnsi="宋体" w:eastAsia="宋体"/>
          <w:color w:val="auto"/>
          <w:sz w:val="24"/>
          <w:szCs w:val="24"/>
          <w:highlight w:val="none"/>
          <w:vertAlign w:val="baseline"/>
          <w:lang w:val="en-US" w:eastAsia="zh-CN"/>
        </w:rPr>
      </w:pPr>
      <w:r>
        <w:rPr>
          <w:rFonts w:hint="eastAsia" w:ascii="宋体" w:hAnsi="宋体"/>
          <w:color w:val="auto"/>
          <w:sz w:val="24"/>
          <w:szCs w:val="24"/>
          <w:highlight w:val="none"/>
        </w:rPr>
        <w:t>医院需建立</w:t>
      </w:r>
      <w:r>
        <w:rPr>
          <w:rFonts w:hint="eastAsia" w:ascii="宋体" w:hAnsi="宋体"/>
          <w:color w:val="auto"/>
          <w:sz w:val="24"/>
          <w:szCs w:val="24"/>
          <w:highlight w:val="none"/>
          <w:lang w:eastAsia="zh-CN"/>
        </w:rPr>
        <w:t>医疗废物</w:t>
      </w:r>
      <w:r>
        <w:rPr>
          <w:rFonts w:hint="eastAsia" w:ascii="宋体" w:hAnsi="宋体"/>
          <w:color w:val="auto"/>
          <w:sz w:val="24"/>
          <w:szCs w:val="24"/>
          <w:highlight w:val="none"/>
        </w:rPr>
        <w:t>的暂时贮存设施、设备，本项目</w:t>
      </w:r>
      <w:r>
        <w:rPr>
          <w:rFonts w:hint="eastAsia" w:ascii="宋体" w:hAnsi="宋体"/>
          <w:color w:val="auto"/>
          <w:sz w:val="24"/>
          <w:szCs w:val="24"/>
          <w:highlight w:val="none"/>
          <w:lang w:eastAsia="zh-CN"/>
        </w:rPr>
        <w:t>医疗废物</w:t>
      </w:r>
      <w:r>
        <w:rPr>
          <w:rFonts w:hint="eastAsia" w:ascii="宋体" w:hAnsi="宋体"/>
          <w:color w:val="auto"/>
          <w:sz w:val="24"/>
          <w:szCs w:val="24"/>
          <w:highlight w:val="none"/>
        </w:rPr>
        <w:t>暂存设施位于医院</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lang w:eastAsia="zh-CN"/>
        </w:rPr>
        <w:t>层东北</w:t>
      </w:r>
      <w:r>
        <w:rPr>
          <w:rFonts w:hint="eastAsia" w:cs="Times New Roman"/>
          <w:color w:val="auto"/>
          <w:sz w:val="24"/>
          <w:szCs w:val="24"/>
          <w:highlight w:val="none"/>
          <w:vertAlign w:val="baseline"/>
          <w:lang w:val="en-US" w:eastAsia="zh-CN"/>
        </w:rPr>
        <w:t>侧</w:t>
      </w:r>
      <w:r>
        <w:rPr>
          <w:rFonts w:hint="eastAsia" w:ascii="宋体" w:hAnsi="宋体"/>
          <w:color w:val="auto"/>
          <w:sz w:val="24"/>
          <w:szCs w:val="24"/>
          <w:highlight w:val="none"/>
        </w:rPr>
        <w:t>，</w:t>
      </w:r>
      <w:r>
        <w:rPr>
          <w:rFonts w:hint="eastAsia" w:ascii="宋体" w:hAnsi="宋体"/>
          <w:color w:val="auto"/>
          <w:sz w:val="24"/>
          <w:szCs w:val="24"/>
          <w:highlight w:val="none"/>
          <w:lang w:eastAsia="zh-CN"/>
        </w:rPr>
        <w:t>远离周边居民，</w:t>
      </w:r>
      <w:r>
        <w:rPr>
          <w:rFonts w:hint="eastAsia" w:ascii="宋体" w:hAnsi="宋体"/>
          <w:color w:val="auto"/>
          <w:sz w:val="24"/>
          <w:szCs w:val="24"/>
          <w:highlight w:val="none"/>
        </w:rPr>
        <w:t>面积</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m</w:t>
      </w:r>
      <w:r>
        <w:rPr>
          <w:rFonts w:hint="eastAsia" w:ascii="宋体" w:hAnsi="宋体"/>
          <w:color w:val="auto"/>
          <w:sz w:val="24"/>
          <w:szCs w:val="24"/>
          <w:highlight w:val="none"/>
          <w:vertAlign w:val="superscript"/>
        </w:rPr>
        <w:t>2</w:t>
      </w:r>
      <w:r>
        <w:rPr>
          <w:rFonts w:hint="eastAsia" w:ascii="宋体" w:hAnsi="宋体"/>
          <w:color w:val="auto"/>
          <w:sz w:val="24"/>
          <w:szCs w:val="24"/>
          <w:highlight w:val="none"/>
          <w:vertAlign w:val="baseline"/>
          <w:lang w:val="en-US" w:eastAsia="zh-CN"/>
        </w:rPr>
        <w:t>。</w:t>
      </w:r>
    </w:p>
    <w:p w14:paraId="4294406B">
      <w:pPr>
        <w:adjustRightInd w:val="0"/>
        <w:snapToGrid w:val="0"/>
        <w:spacing w:line="360" w:lineRule="auto"/>
        <w:ind w:firstLine="436" w:firstLineChars="182"/>
        <w:rPr>
          <w:rFonts w:hint="eastAsia" w:ascii="Times New Roman" w:hAnsi="Times New Roman" w:eastAsia="宋体"/>
          <w:color w:val="auto"/>
          <w:kern w:val="0"/>
          <w:sz w:val="24"/>
          <w:szCs w:val="24"/>
          <w:highlight w:val="none"/>
        </w:rPr>
      </w:pPr>
      <w:r>
        <w:rPr>
          <w:rFonts w:hint="eastAsia" w:ascii="宋体" w:hAnsi="宋体"/>
          <w:color w:val="auto"/>
          <w:sz w:val="24"/>
          <w:szCs w:val="24"/>
          <w:highlight w:val="none"/>
          <w:lang w:eastAsia="zh-CN"/>
        </w:rPr>
        <w:t>医疗废物</w:t>
      </w:r>
      <w:r>
        <w:rPr>
          <w:rFonts w:hint="eastAsia" w:ascii="宋体" w:hAnsi="宋体"/>
          <w:color w:val="auto"/>
          <w:sz w:val="24"/>
          <w:szCs w:val="24"/>
          <w:highlight w:val="none"/>
        </w:rPr>
        <w:t>暂存设施</w:t>
      </w:r>
      <w:r>
        <w:rPr>
          <w:rFonts w:hint="eastAsia" w:ascii="Times New Roman" w:hAnsi="Times New Roman" w:eastAsia="宋体"/>
          <w:color w:val="auto"/>
          <w:kern w:val="0"/>
          <w:sz w:val="24"/>
          <w:szCs w:val="24"/>
          <w:highlight w:val="none"/>
        </w:rPr>
        <w:t>所在位置地质结构稳定，在高压输电线防护区域以外。</w:t>
      </w:r>
      <w:r>
        <w:rPr>
          <w:rFonts w:hint="eastAsia" w:ascii="Times New Roman" w:hAnsi="Times New Roman" w:eastAsia="宋体"/>
          <w:color w:val="auto"/>
          <w:kern w:val="0"/>
          <w:sz w:val="24"/>
          <w:szCs w:val="24"/>
          <w:highlight w:val="none"/>
          <w:lang w:eastAsia="zh-CN"/>
        </w:rPr>
        <w:t>本项目</w:t>
      </w:r>
      <w:r>
        <w:rPr>
          <w:rFonts w:hint="eastAsia" w:cs="Times New Roman"/>
          <w:color w:val="auto"/>
          <w:sz w:val="24"/>
          <w:highlight w:val="none"/>
          <w:lang w:eastAsia="zh-CN"/>
        </w:rPr>
        <w:t>医疗废物</w:t>
      </w:r>
      <w:r>
        <w:rPr>
          <w:rFonts w:hint="eastAsia" w:ascii="Times New Roman" w:hAnsi="Times New Roman" w:eastAsia="宋体"/>
          <w:color w:val="auto"/>
          <w:kern w:val="0"/>
          <w:sz w:val="24"/>
          <w:szCs w:val="24"/>
          <w:highlight w:val="none"/>
          <w:lang w:eastAsia="zh-CN"/>
        </w:rPr>
        <w:t>暂存间严格按照《危险废物贮存污染控制标准》（</w:t>
      </w:r>
      <w:r>
        <w:rPr>
          <w:rFonts w:hint="eastAsia" w:ascii="Times New Roman" w:hAnsi="Times New Roman" w:eastAsia="宋体"/>
          <w:color w:val="auto"/>
          <w:kern w:val="0"/>
          <w:sz w:val="24"/>
          <w:szCs w:val="24"/>
          <w:highlight w:val="none"/>
          <w:lang w:val="en-US" w:eastAsia="zh-CN"/>
        </w:rPr>
        <w:t>GB18597-2001</w:t>
      </w:r>
      <w:r>
        <w:rPr>
          <w:rFonts w:hint="eastAsia" w:ascii="Times New Roman" w:hAnsi="Times New Roman" w:eastAsia="宋体"/>
          <w:color w:val="auto"/>
          <w:kern w:val="0"/>
          <w:sz w:val="24"/>
          <w:szCs w:val="24"/>
          <w:highlight w:val="none"/>
          <w:lang w:eastAsia="zh-CN"/>
        </w:rPr>
        <w:t>）及其修改单规定进行建设，并按</w:t>
      </w:r>
      <w:r>
        <w:rPr>
          <w:rFonts w:hint="eastAsia" w:ascii="Times New Roman" w:hAnsi="Times New Roman" w:eastAsia="宋体"/>
          <w:color w:val="auto"/>
          <w:kern w:val="0"/>
          <w:sz w:val="24"/>
          <w:szCs w:val="24"/>
          <w:highlight w:val="none"/>
          <w:lang w:val="en-US" w:eastAsia="zh-CN"/>
        </w:rPr>
        <w:t>GB15562.2设置环境保护图形标志。</w:t>
      </w:r>
      <w:r>
        <w:rPr>
          <w:rFonts w:hint="eastAsia"/>
          <w:color w:val="auto"/>
          <w:kern w:val="0"/>
          <w:sz w:val="24"/>
          <w:szCs w:val="24"/>
          <w:highlight w:val="none"/>
          <w:lang w:eastAsia="zh-CN"/>
        </w:rPr>
        <w:t>医疗</w:t>
      </w:r>
      <w:r>
        <w:rPr>
          <w:rFonts w:hint="eastAsia" w:ascii="Times New Roman" w:hAnsi="Times New Roman" w:eastAsia="宋体"/>
          <w:color w:val="auto"/>
          <w:kern w:val="0"/>
          <w:sz w:val="24"/>
          <w:szCs w:val="24"/>
          <w:highlight w:val="none"/>
        </w:rPr>
        <w:t>废物暂存</w:t>
      </w:r>
      <w:r>
        <w:rPr>
          <w:rFonts w:hint="eastAsia"/>
          <w:color w:val="auto"/>
          <w:kern w:val="0"/>
          <w:sz w:val="24"/>
          <w:szCs w:val="24"/>
          <w:highlight w:val="none"/>
          <w:lang w:eastAsia="zh-CN"/>
        </w:rPr>
        <w:t>间</w:t>
      </w:r>
      <w:r>
        <w:rPr>
          <w:rFonts w:hint="eastAsia" w:ascii="Times New Roman" w:hAnsi="Times New Roman" w:eastAsia="宋体"/>
          <w:color w:val="auto"/>
          <w:kern w:val="0"/>
          <w:sz w:val="24"/>
          <w:szCs w:val="24"/>
          <w:highlight w:val="none"/>
        </w:rPr>
        <w:t>最大贮存量为</w:t>
      </w:r>
      <w:r>
        <w:rPr>
          <w:rFonts w:hint="eastAsia"/>
          <w:color w:val="auto"/>
          <w:kern w:val="0"/>
          <w:sz w:val="24"/>
          <w:szCs w:val="24"/>
          <w:highlight w:val="none"/>
          <w:lang w:val="en-US" w:eastAsia="zh-CN"/>
        </w:rPr>
        <w:t>2.8</w:t>
      </w:r>
      <w:r>
        <w:rPr>
          <w:rFonts w:ascii="Times New Roman" w:hAnsi="Times New Roman" w:eastAsia="宋体"/>
          <w:color w:val="auto"/>
          <w:kern w:val="0"/>
          <w:sz w:val="24"/>
          <w:szCs w:val="24"/>
          <w:highlight w:val="none"/>
        </w:rPr>
        <w:t>t</w:t>
      </w:r>
      <w:r>
        <w:rPr>
          <w:rFonts w:hint="eastAsia" w:ascii="Times New Roman" w:hAnsi="Times New Roman" w:eastAsia="宋体"/>
          <w:color w:val="auto"/>
          <w:kern w:val="0"/>
          <w:sz w:val="24"/>
          <w:szCs w:val="24"/>
          <w:highlight w:val="none"/>
        </w:rPr>
        <w:t>，根据固体废物产生情况，及时清运</w:t>
      </w:r>
      <w:r>
        <w:rPr>
          <w:rFonts w:hint="eastAsia" w:ascii="Times New Roman" w:hAnsi="Times New Roman" w:eastAsia="宋体"/>
          <w:color w:val="auto"/>
          <w:kern w:val="0"/>
          <w:sz w:val="24"/>
          <w:szCs w:val="24"/>
          <w:highlight w:val="none"/>
          <w:lang w:eastAsia="zh-CN"/>
        </w:rPr>
        <w:t>，贮存能力可以满足要求，</w:t>
      </w:r>
      <w:r>
        <w:rPr>
          <w:rFonts w:hint="eastAsia"/>
          <w:color w:val="auto"/>
          <w:kern w:val="0"/>
          <w:sz w:val="24"/>
          <w:szCs w:val="24"/>
          <w:highlight w:val="none"/>
          <w:lang w:eastAsia="zh-CN"/>
        </w:rPr>
        <w:t>正常情况下医疗</w:t>
      </w:r>
      <w:r>
        <w:rPr>
          <w:rFonts w:hint="eastAsia" w:ascii="Times New Roman" w:hAnsi="Times New Roman" w:eastAsia="宋体"/>
          <w:color w:val="auto"/>
          <w:kern w:val="0"/>
          <w:sz w:val="24"/>
          <w:szCs w:val="24"/>
          <w:highlight w:val="none"/>
          <w:lang w:eastAsia="zh-CN"/>
        </w:rPr>
        <w:t>废物贮存不会对周围环境产生不良影响</w:t>
      </w:r>
      <w:r>
        <w:rPr>
          <w:rFonts w:hint="eastAsia" w:ascii="Times New Roman" w:hAnsi="Times New Roman" w:eastAsia="宋体"/>
          <w:color w:val="auto"/>
          <w:kern w:val="0"/>
          <w:sz w:val="24"/>
          <w:szCs w:val="24"/>
          <w:highlight w:val="none"/>
        </w:rPr>
        <w:t>。</w:t>
      </w:r>
    </w:p>
    <w:p w14:paraId="04FFB7D5">
      <w:pPr>
        <w:keepNext w:val="0"/>
        <w:keepLines w:val="0"/>
        <w:pageBreakBefore w:val="0"/>
        <w:widowControl w:val="0"/>
        <w:kinsoku/>
        <w:wordWrap/>
        <w:overflowPunct/>
        <w:topLinePunct/>
        <w:autoSpaceDE/>
        <w:autoSpaceDN/>
        <w:bidi w:val="0"/>
        <w:adjustRightInd w:val="0"/>
        <w:snapToGrid w:val="0"/>
        <w:spacing w:line="360" w:lineRule="auto"/>
        <w:jc w:val="both"/>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表</w:t>
      </w:r>
      <w:r>
        <w:rPr>
          <w:rFonts w:hint="eastAsia" w:ascii="宋体" w:hAnsi="宋体" w:cs="宋体"/>
          <w:b/>
          <w:color w:val="auto"/>
          <w:sz w:val="21"/>
          <w:szCs w:val="21"/>
          <w:highlight w:val="none"/>
          <w:lang w:val="en-US" w:eastAsia="zh-CN"/>
        </w:rPr>
        <w:t>40</w:t>
      </w:r>
      <w:r>
        <w:rPr>
          <w:rFonts w:hint="eastAsia" w:ascii="宋体" w:hAnsi="宋体" w:eastAsia="宋体" w:cs="宋体"/>
          <w:b/>
          <w:color w:val="auto"/>
          <w:sz w:val="21"/>
          <w:szCs w:val="21"/>
          <w:highlight w:val="none"/>
        </w:rPr>
        <w:t xml:space="preserve"> </w:t>
      </w:r>
      <w:r>
        <w:rPr>
          <w:rFonts w:hint="eastAsia" w:ascii="宋体" w:hAnsi="宋体" w:eastAsia="宋体" w:cs="宋体"/>
          <w:b/>
          <w:color w:val="auto"/>
          <w:sz w:val="21"/>
          <w:szCs w:val="21"/>
          <w:highlight w:val="none"/>
          <w:lang w:val="en-US" w:eastAsia="zh-CN"/>
        </w:rPr>
        <w:t xml:space="preserve">             </w:t>
      </w:r>
      <w:r>
        <w:rPr>
          <w:rFonts w:hint="eastAsia" w:ascii="宋体" w:hAnsi="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建设项目</w:t>
      </w:r>
      <w:r>
        <w:rPr>
          <w:rFonts w:hint="eastAsia" w:ascii="宋体" w:hAnsi="宋体" w:cs="宋体"/>
          <w:b/>
          <w:color w:val="auto"/>
          <w:sz w:val="21"/>
          <w:szCs w:val="21"/>
          <w:highlight w:val="none"/>
          <w:lang w:eastAsia="zh-CN"/>
        </w:rPr>
        <w:t>医疗</w:t>
      </w:r>
      <w:r>
        <w:rPr>
          <w:rFonts w:hint="eastAsia" w:ascii="宋体" w:hAnsi="宋体" w:eastAsia="宋体" w:cs="宋体"/>
          <w:b/>
          <w:color w:val="auto"/>
          <w:sz w:val="21"/>
          <w:szCs w:val="21"/>
          <w:highlight w:val="none"/>
        </w:rPr>
        <w:t>废物贮存场所（设施）基本情况样表</w:t>
      </w:r>
    </w:p>
    <w:tbl>
      <w:tblPr>
        <w:tblStyle w:val="24"/>
        <w:tblW w:w="92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35"/>
        <w:gridCol w:w="1127"/>
        <w:gridCol w:w="1255"/>
        <w:gridCol w:w="764"/>
        <w:gridCol w:w="763"/>
        <w:gridCol w:w="764"/>
        <w:gridCol w:w="1091"/>
        <w:gridCol w:w="1092"/>
        <w:gridCol w:w="873"/>
        <w:gridCol w:w="1022"/>
      </w:tblGrid>
      <w:tr w14:paraId="77AD56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535" w:type="dxa"/>
            <w:tcBorders>
              <w:tl2br w:val="nil"/>
              <w:tr2bl w:val="nil"/>
            </w:tcBorders>
            <w:noWrap w:val="0"/>
            <w:vAlign w:val="center"/>
          </w:tcPr>
          <w:p w14:paraId="00BEF283">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1127" w:type="dxa"/>
            <w:tcBorders>
              <w:tl2br w:val="nil"/>
              <w:tr2bl w:val="nil"/>
            </w:tcBorders>
            <w:noWrap w:val="0"/>
            <w:vAlign w:val="center"/>
          </w:tcPr>
          <w:p w14:paraId="4121624A">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贮存场所（设施）</w:t>
            </w:r>
          </w:p>
          <w:p w14:paraId="753A3B9E">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名称</w:t>
            </w:r>
          </w:p>
        </w:tc>
        <w:tc>
          <w:tcPr>
            <w:tcW w:w="1255" w:type="dxa"/>
            <w:tcBorders>
              <w:tl2br w:val="nil"/>
              <w:tr2bl w:val="nil"/>
            </w:tcBorders>
            <w:noWrap w:val="0"/>
            <w:vAlign w:val="center"/>
          </w:tcPr>
          <w:p w14:paraId="2A1034CE">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危险废物名称</w:t>
            </w:r>
          </w:p>
        </w:tc>
        <w:tc>
          <w:tcPr>
            <w:tcW w:w="764" w:type="dxa"/>
            <w:tcBorders>
              <w:tl2br w:val="nil"/>
              <w:tr2bl w:val="nil"/>
            </w:tcBorders>
            <w:noWrap w:val="0"/>
            <w:vAlign w:val="center"/>
          </w:tcPr>
          <w:p w14:paraId="3D73BED9">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危险废物类别</w:t>
            </w:r>
          </w:p>
        </w:tc>
        <w:tc>
          <w:tcPr>
            <w:tcW w:w="763" w:type="dxa"/>
            <w:tcBorders>
              <w:tl2br w:val="nil"/>
              <w:tr2bl w:val="nil"/>
            </w:tcBorders>
            <w:noWrap w:val="0"/>
            <w:vAlign w:val="center"/>
          </w:tcPr>
          <w:p w14:paraId="3548849F">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危险废物代码</w:t>
            </w:r>
          </w:p>
        </w:tc>
        <w:tc>
          <w:tcPr>
            <w:tcW w:w="764" w:type="dxa"/>
            <w:tcBorders>
              <w:tl2br w:val="nil"/>
              <w:tr2bl w:val="nil"/>
            </w:tcBorders>
            <w:noWrap w:val="0"/>
            <w:vAlign w:val="center"/>
          </w:tcPr>
          <w:p w14:paraId="648D4C7E">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位置</w:t>
            </w:r>
          </w:p>
        </w:tc>
        <w:tc>
          <w:tcPr>
            <w:tcW w:w="1091" w:type="dxa"/>
            <w:tcBorders>
              <w:tl2br w:val="nil"/>
              <w:tr2bl w:val="nil"/>
            </w:tcBorders>
            <w:noWrap w:val="0"/>
            <w:vAlign w:val="center"/>
          </w:tcPr>
          <w:p w14:paraId="6EAD4816">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占地面积</w:t>
            </w:r>
          </w:p>
        </w:tc>
        <w:tc>
          <w:tcPr>
            <w:tcW w:w="1092" w:type="dxa"/>
            <w:tcBorders>
              <w:tl2br w:val="nil"/>
              <w:tr2bl w:val="nil"/>
            </w:tcBorders>
            <w:noWrap w:val="0"/>
            <w:vAlign w:val="center"/>
          </w:tcPr>
          <w:p w14:paraId="09D28CC7">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贮存方式</w:t>
            </w:r>
          </w:p>
        </w:tc>
        <w:tc>
          <w:tcPr>
            <w:tcW w:w="873" w:type="dxa"/>
            <w:tcBorders>
              <w:tl2br w:val="nil"/>
              <w:tr2bl w:val="nil"/>
            </w:tcBorders>
            <w:noWrap w:val="0"/>
            <w:vAlign w:val="center"/>
          </w:tcPr>
          <w:p w14:paraId="70B18113">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贮存</w:t>
            </w:r>
          </w:p>
          <w:p w14:paraId="744D6B9D">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能力</w:t>
            </w:r>
          </w:p>
        </w:tc>
        <w:tc>
          <w:tcPr>
            <w:tcW w:w="1022" w:type="dxa"/>
            <w:tcBorders>
              <w:tl2br w:val="nil"/>
              <w:tr2bl w:val="nil"/>
            </w:tcBorders>
            <w:noWrap w:val="0"/>
            <w:vAlign w:val="center"/>
          </w:tcPr>
          <w:p w14:paraId="664DCB7F">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贮存</w:t>
            </w:r>
          </w:p>
          <w:p w14:paraId="6FA0990B">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周期</w:t>
            </w:r>
          </w:p>
        </w:tc>
      </w:tr>
      <w:tr w14:paraId="42DFE0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5" w:type="dxa"/>
            <w:tcBorders>
              <w:tl2br w:val="nil"/>
              <w:tr2bl w:val="nil"/>
            </w:tcBorders>
            <w:noWrap w:val="0"/>
            <w:vAlign w:val="center"/>
          </w:tcPr>
          <w:p w14:paraId="73948A7C">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127" w:type="dxa"/>
            <w:vMerge w:val="restart"/>
            <w:tcBorders>
              <w:tl2br w:val="nil"/>
              <w:tr2bl w:val="nil"/>
            </w:tcBorders>
            <w:noWrap w:val="0"/>
            <w:vAlign w:val="center"/>
          </w:tcPr>
          <w:p w14:paraId="289B33DF">
            <w:pPr>
              <w:topLinePunct/>
              <w:adjustRightInd w:val="0"/>
              <w:snapToGrid w:val="0"/>
              <w:jc w:val="center"/>
              <w:rPr>
                <w:rFonts w:hint="eastAsia" w:ascii="宋体" w:hAnsi="宋体" w:eastAsia="宋体" w:cs="宋体"/>
                <w:color w:val="auto"/>
                <w:kern w:val="0"/>
                <w:sz w:val="21"/>
                <w:szCs w:val="21"/>
                <w:highlight w:val="none"/>
              </w:rPr>
            </w:pPr>
            <w:r>
              <w:rPr>
                <w:rFonts w:hint="eastAsia" w:ascii="Times New Roman" w:hAnsi="Times New Roman" w:eastAsia="宋体"/>
                <w:color w:val="auto"/>
                <w:kern w:val="0"/>
                <w:sz w:val="21"/>
                <w:szCs w:val="21"/>
                <w:highlight w:val="none"/>
                <w:lang w:eastAsia="zh-CN"/>
              </w:rPr>
              <w:t>医疗废物暂存间</w:t>
            </w:r>
          </w:p>
        </w:tc>
        <w:tc>
          <w:tcPr>
            <w:tcW w:w="1255" w:type="dxa"/>
            <w:tcBorders>
              <w:tl2br w:val="nil"/>
              <w:tr2bl w:val="nil"/>
            </w:tcBorders>
            <w:noWrap w:val="0"/>
            <w:vAlign w:val="center"/>
          </w:tcPr>
          <w:p w14:paraId="3A8AB6BC">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color w:val="auto"/>
                <w:sz w:val="21"/>
                <w:szCs w:val="21"/>
                <w:highlight w:val="none"/>
                <w:lang w:eastAsia="zh-CN"/>
              </w:rPr>
              <w:t>污泥及栅渣</w:t>
            </w:r>
          </w:p>
        </w:tc>
        <w:tc>
          <w:tcPr>
            <w:tcW w:w="764" w:type="dxa"/>
            <w:tcBorders>
              <w:tl2br w:val="nil"/>
              <w:tr2bl w:val="nil"/>
            </w:tcBorders>
            <w:noWrap w:val="0"/>
            <w:vAlign w:val="center"/>
          </w:tcPr>
          <w:p w14:paraId="4072A09B">
            <w:pPr>
              <w:topLinePunct/>
              <w:adjustRightInd w:val="0"/>
              <w:snapToGrid w:val="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HW01医疗废物</w:t>
            </w:r>
          </w:p>
        </w:tc>
        <w:tc>
          <w:tcPr>
            <w:tcW w:w="763" w:type="dxa"/>
            <w:tcBorders>
              <w:tl2br w:val="nil"/>
              <w:tr2bl w:val="nil"/>
            </w:tcBorders>
            <w:noWrap w:val="0"/>
            <w:vAlign w:val="center"/>
          </w:tcPr>
          <w:p w14:paraId="5B954E32">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831-001-01</w:t>
            </w:r>
          </w:p>
        </w:tc>
        <w:tc>
          <w:tcPr>
            <w:tcW w:w="764" w:type="dxa"/>
            <w:vMerge w:val="restart"/>
            <w:tcBorders>
              <w:tl2br w:val="nil"/>
              <w:tr2bl w:val="nil"/>
            </w:tcBorders>
            <w:noWrap w:val="0"/>
            <w:vAlign w:val="center"/>
          </w:tcPr>
          <w:p w14:paraId="2EBC14F9">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color w:val="auto"/>
                <w:sz w:val="21"/>
                <w:szCs w:val="21"/>
                <w:highlight w:val="none"/>
              </w:rPr>
              <w:t>医院</w:t>
            </w:r>
            <w:r>
              <w:rPr>
                <w:rFonts w:hint="eastAsia" w:ascii="宋体" w:hAnsi="宋体"/>
                <w:color w:val="auto"/>
                <w:sz w:val="21"/>
                <w:szCs w:val="21"/>
                <w:highlight w:val="none"/>
                <w:lang w:eastAsia="zh-CN"/>
              </w:rPr>
              <w:t>大楼</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lang w:eastAsia="zh-CN"/>
              </w:rPr>
              <w:t>层东北</w:t>
            </w:r>
            <w:r>
              <w:rPr>
                <w:rFonts w:hint="eastAsia" w:cs="Times New Roman"/>
                <w:color w:val="auto"/>
                <w:sz w:val="21"/>
                <w:szCs w:val="21"/>
                <w:highlight w:val="none"/>
                <w:vertAlign w:val="baseline"/>
                <w:lang w:val="en-US" w:eastAsia="zh-CN"/>
              </w:rPr>
              <w:t>侧</w:t>
            </w:r>
          </w:p>
        </w:tc>
        <w:tc>
          <w:tcPr>
            <w:tcW w:w="1091" w:type="dxa"/>
            <w:vMerge w:val="restart"/>
            <w:tcBorders>
              <w:tl2br w:val="nil"/>
              <w:tr2bl w:val="nil"/>
            </w:tcBorders>
            <w:noWrap w:val="0"/>
            <w:vAlign w:val="center"/>
          </w:tcPr>
          <w:p w14:paraId="0F98A806">
            <w:pPr>
              <w:topLinePunct/>
              <w:adjustRightInd w:val="0"/>
              <w:snapToGrid w:val="0"/>
              <w:jc w:val="center"/>
              <w:rPr>
                <w:rFonts w:hint="eastAsia" w:ascii="宋体" w:hAnsi="宋体" w:eastAsia="宋体" w:cs="宋体"/>
                <w:color w:val="auto"/>
                <w:kern w:val="0"/>
                <w:sz w:val="21"/>
                <w:szCs w:val="21"/>
                <w:highlight w:val="none"/>
                <w:vertAlign w:val="baseline"/>
                <w:lang w:eastAsia="zh-CN"/>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m</w:t>
            </w:r>
            <w:r>
              <w:rPr>
                <w:rFonts w:hint="eastAsia" w:ascii="宋体" w:hAnsi="宋体"/>
                <w:color w:val="auto"/>
                <w:sz w:val="21"/>
                <w:szCs w:val="21"/>
                <w:highlight w:val="none"/>
                <w:vertAlign w:val="superscript"/>
              </w:rPr>
              <w:t>2</w:t>
            </w:r>
          </w:p>
        </w:tc>
        <w:tc>
          <w:tcPr>
            <w:tcW w:w="1092" w:type="dxa"/>
            <w:vMerge w:val="restart"/>
            <w:tcBorders>
              <w:tl2br w:val="nil"/>
              <w:tr2bl w:val="nil"/>
            </w:tcBorders>
            <w:noWrap w:val="0"/>
            <w:vAlign w:val="center"/>
          </w:tcPr>
          <w:p w14:paraId="6EF22217">
            <w:pPr>
              <w:topLinePunct/>
              <w:adjustRightInd w:val="0"/>
              <w:snapToGrid w:val="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桶装</w:t>
            </w:r>
          </w:p>
        </w:tc>
        <w:tc>
          <w:tcPr>
            <w:tcW w:w="873" w:type="dxa"/>
            <w:vMerge w:val="restart"/>
            <w:tcBorders>
              <w:tl2br w:val="nil"/>
              <w:tr2bl w:val="nil"/>
            </w:tcBorders>
            <w:noWrap w:val="0"/>
            <w:vAlign w:val="center"/>
          </w:tcPr>
          <w:p w14:paraId="1C16B7AF">
            <w:pPr>
              <w:topLinePunct/>
              <w:adjustRightInd w:val="0"/>
              <w:snapToGrid w:val="0"/>
              <w:jc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2.8</w:t>
            </w:r>
            <w:r>
              <w:rPr>
                <w:rFonts w:hint="eastAsia" w:ascii="宋体" w:hAnsi="宋体" w:eastAsia="宋体" w:cs="宋体"/>
                <w:color w:val="auto"/>
                <w:kern w:val="0"/>
                <w:sz w:val="21"/>
                <w:szCs w:val="21"/>
                <w:highlight w:val="none"/>
                <w:lang w:val="en-US" w:eastAsia="zh-CN"/>
              </w:rPr>
              <w:t>t</w:t>
            </w:r>
          </w:p>
        </w:tc>
        <w:tc>
          <w:tcPr>
            <w:tcW w:w="1022" w:type="dxa"/>
            <w:tcBorders>
              <w:tl2br w:val="nil"/>
              <w:tr2bl w:val="nil"/>
            </w:tcBorders>
            <w:noWrap w:val="0"/>
            <w:vAlign w:val="center"/>
          </w:tcPr>
          <w:p w14:paraId="4BFA156F">
            <w:pPr>
              <w:topLinePunct/>
              <w:adjustRightInd w:val="0"/>
              <w:snapToGrid w:val="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及时清运</w:t>
            </w:r>
          </w:p>
        </w:tc>
      </w:tr>
      <w:tr w14:paraId="75B0E8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535" w:type="dxa"/>
            <w:vMerge w:val="restart"/>
            <w:tcBorders>
              <w:tl2br w:val="nil"/>
              <w:tr2bl w:val="nil"/>
            </w:tcBorders>
            <w:noWrap w:val="0"/>
            <w:vAlign w:val="center"/>
          </w:tcPr>
          <w:p w14:paraId="1BDE75A6">
            <w:pPr>
              <w:topLinePunct/>
              <w:adjustRightInd w:val="0"/>
              <w:snapToGrid w:val="0"/>
              <w:jc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w:t>
            </w:r>
          </w:p>
        </w:tc>
        <w:tc>
          <w:tcPr>
            <w:tcW w:w="1127" w:type="dxa"/>
            <w:vMerge w:val="continue"/>
            <w:tcBorders>
              <w:tl2br w:val="nil"/>
              <w:tr2bl w:val="nil"/>
            </w:tcBorders>
            <w:noWrap w:val="0"/>
            <w:vAlign w:val="center"/>
          </w:tcPr>
          <w:p w14:paraId="30F3E885">
            <w:pPr>
              <w:topLinePunct/>
              <w:adjustRightInd w:val="0"/>
              <w:snapToGrid w:val="0"/>
              <w:jc w:val="center"/>
              <w:rPr>
                <w:rFonts w:hint="eastAsia" w:ascii="宋体" w:hAnsi="宋体" w:eastAsia="宋体" w:cs="宋体"/>
                <w:color w:val="auto"/>
                <w:kern w:val="0"/>
                <w:sz w:val="21"/>
                <w:szCs w:val="21"/>
                <w:highlight w:val="none"/>
              </w:rPr>
            </w:pPr>
          </w:p>
        </w:tc>
        <w:tc>
          <w:tcPr>
            <w:tcW w:w="1255" w:type="dxa"/>
            <w:vMerge w:val="restart"/>
            <w:tcBorders>
              <w:tl2br w:val="nil"/>
              <w:tr2bl w:val="nil"/>
            </w:tcBorders>
            <w:noWrap w:val="0"/>
            <w:vAlign w:val="center"/>
          </w:tcPr>
          <w:p w14:paraId="49017E90">
            <w:pPr>
              <w:topLinePunct/>
              <w:adjustRightInd w:val="0"/>
              <w:snapToGrid w:val="0"/>
              <w:jc w:val="center"/>
              <w:rPr>
                <w:rFonts w:hint="eastAsia" w:ascii="宋体" w:hAnsi="宋体" w:eastAsia="宋体" w:cs="宋体"/>
                <w:color w:val="auto"/>
                <w:kern w:val="0"/>
                <w:sz w:val="21"/>
                <w:szCs w:val="21"/>
                <w:highlight w:val="none"/>
              </w:rPr>
            </w:pPr>
            <w:r>
              <w:rPr>
                <w:rFonts w:hint="eastAsia" w:cs="宋体"/>
                <w:color w:val="auto"/>
                <w:sz w:val="21"/>
                <w:szCs w:val="21"/>
                <w:highlight w:val="none"/>
                <w:lang w:eastAsia="zh-CN"/>
              </w:rPr>
              <w:t>医疗废物</w:t>
            </w:r>
          </w:p>
        </w:tc>
        <w:tc>
          <w:tcPr>
            <w:tcW w:w="764" w:type="dxa"/>
            <w:vMerge w:val="restart"/>
            <w:tcBorders>
              <w:tl2br w:val="nil"/>
              <w:tr2bl w:val="nil"/>
            </w:tcBorders>
            <w:noWrap w:val="0"/>
            <w:vAlign w:val="center"/>
          </w:tcPr>
          <w:p w14:paraId="78ED1FDF">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HW01医疗废物</w:t>
            </w:r>
          </w:p>
        </w:tc>
        <w:tc>
          <w:tcPr>
            <w:tcW w:w="763" w:type="dxa"/>
            <w:tcBorders>
              <w:tl2br w:val="nil"/>
              <w:tr2bl w:val="nil"/>
            </w:tcBorders>
            <w:noWrap w:val="0"/>
            <w:vAlign w:val="center"/>
          </w:tcPr>
          <w:p w14:paraId="4AF66DFC">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831-001-01</w:t>
            </w:r>
          </w:p>
        </w:tc>
        <w:tc>
          <w:tcPr>
            <w:tcW w:w="764" w:type="dxa"/>
            <w:vMerge w:val="continue"/>
            <w:tcBorders>
              <w:tl2br w:val="nil"/>
              <w:tr2bl w:val="nil"/>
            </w:tcBorders>
            <w:noWrap w:val="0"/>
            <w:vAlign w:val="center"/>
          </w:tcPr>
          <w:p w14:paraId="1A72D78D">
            <w:pPr>
              <w:topLinePunct/>
              <w:adjustRightInd w:val="0"/>
              <w:snapToGrid w:val="0"/>
              <w:jc w:val="center"/>
              <w:rPr>
                <w:rFonts w:hint="eastAsia" w:ascii="宋体" w:hAnsi="宋体" w:eastAsia="宋体" w:cs="宋体"/>
                <w:color w:val="auto"/>
                <w:kern w:val="0"/>
                <w:sz w:val="21"/>
                <w:szCs w:val="21"/>
                <w:highlight w:val="none"/>
              </w:rPr>
            </w:pPr>
          </w:p>
        </w:tc>
        <w:tc>
          <w:tcPr>
            <w:tcW w:w="1091" w:type="dxa"/>
            <w:vMerge w:val="continue"/>
            <w:tcBorders>
              <w:tl2br w:val="nil"/>
              <w:tr2bl w:val="nil"/>
            </w:tcBorders>
            <w:noWrap w:val="0"/>
            <w:vAlign w:val="center"/>
          </w:tcPr>
          <w:p w14:paraId="137BD260">
            <w:pPr>
              <w:topLinePunct/>
              <w:adjustRightInd w:val="0"/>
              <w:snapToGrid w:val="0"/>
              <w:jc w:val="center"/>
              <w:rPr>
                <w:rFonts w:hint="eastAsia" w:ascii="宋体" w:hAnsi="宋体" w:eastAsia="宋体" w:cs="宋体"/>
                <w:color w:val="auto"/>
                <w:kern w:val="0"/>
                <w:sz w:val="21"/>
                <w:szCs w:val="21"/>
                <w:highlight w:val="none"/>
              </w:rPr>
            </w:pPr>
          </w:p>
        </w:tc>
        <w:tc>
          <w:tcPr>
            <w:tcW w:w="1092" w:type="dxa"/>
            <w:vMerge w:val="continue"/>
            <w:tcBorders>
              <w:tl2br w:val="nil"/>
              <w:tr2bl w:val="nil"/>
            </w:tcBorders>
            <w:noWrap w:val="0"/>
            <w:vAlign w:val="center"/>
          </w:tcPr>
          <w:p w14:paraId="14E5319C">
            <w:pPr>
              <w:topLinePunct/>
              <w:adjustRightInd w:val="0"/>
              <w:snapToGrid w:val="0"/>
              <w:jc w:val="center"/>
              <w:rPr>
                <w:rFonts w:hint="eastAsia" w:ascii="宋体" w:hAnsi="宋体" w:eastAsia="宋体" w:cs="宋体"/>
                <w:color w:val="auto"/>
                <w:kern w:val="0"/>
                <w:sz w:val="21"/>
                <w:szCs w:val="21"/>
                <w:highlight w:val="none"/>
              </w:rPr>
            </w:pPr>
          </w:p>
        </w:tc>
        <w:tc>
          <w:tcPr>
            <w:tcW w:w="873" w:type="dxa"/>
            <w:vMerge w:val="continue"/>
            <w:tcBorders>
              <w:tl2br w:val="nil"/>
              <w:tr2bl w:val="nil"/>
            </w:tcBorders>
            <w:noWrap w:val="0"/>
            <w:vAlign w:val="center"/>
          </w:tcPr>
          <w:p w14:paraId="4BF7144A">
            <w:pPr>
              <w:topLinePunct/>
              <w:adjustRightInd w:val="0"/>
              <w:snapToGrid w:val="0"/>
              <w:jc w:val="center"/>
              <w:rPr>
                <w:rFonts w:hint="eastAsia" w:ascii="宋体" w:hAnsi="宋体" w:eastAsia="宋体" w:cs="宋体"/>
                <w:color w:val="auto"/>
                <w:kern w:val="0"/>
                <w:sz w:val="21"/>
                <w:szCs w:val="21"/>
                <w:highlight w:val="none"/>
              </w:rPr>
            </w:pPr>
          </w:p>
        </w:tc>
        <w:tc>
          <w:tcPr>
            <w:tcW w:w="1022" w:type="dxa"/>
            <w:vMerge w:val="restart"/>
            <w:tcBorders>
              <w:tl2br w:val="nil"/>
              <w:tr2bl w:val="nil"/>
            </w:tcBorders>
            <w:noWrap w:val="0"/>
            <w:vAlign w:val="center"/>
          </w:tcPr>
          <w:p w14:paraId="3CB8D1CA">
            <w:pPr>
              <w:topLinePunct/>
              <w:adjustRightInd w:val="0"/>
              <w:snapToGrid w:val="0"/>
              <w:jc w:val="center"/>
              <w:rPr>
                <w:rFonts w:hint="eastAsia" w:ascii="宋体" w:hAnsi="宋体" w:eastAsia="宋体" w:cs="宋体"/>
                <w:color w:val="auto"/>
                <w:kern w:val="0"/>
                <w:sz w:val="21"/>
                <w:szCs w:val="21"/>
                <w:highlight w:val="none"/>
                <w:lang w:val="en-US" w:eastAsia="zh-CN"/>
              </w:rPr>
            </w:pPr>
            <w:r>
              <w:rPr>
                <w:rFonts w:hint="eastAsia" w:ascii="宋体" w:hAnsi="宋体" w:cs="宋体"/>
                <w:color w:val="FF0000"/>
                <w:kern w:val="0"/>
                <w:sz w:val="21"/>
                <w:szCs w:val="21"/>
                <w:highlight w:val="none"/>
                <w:lang w:val="en-US" w:eastAsia="zh-CN"/>
              </w:rPr>
              <w:t>1天（常温贮存）</w:t>
            </w:r>
          </w:p>
        </w:tc>
      </w:tr>
      <w:tr w14:paraId="30DC3F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535" w:type="dxa"/>
            <w:vMerge w:val="continue"/>
            <w:tcBorders>
              <w:tl2br w:val="nil"/>
              <w:tr2bl w:val="nil"/>
            </w:tcBorders>
            <w:noWrap w:val="0"/>
            <w:vAlign w:val="center"/>
          </w:tcPr>
          <w:p w14:paraId="3CAB122F">
            <w:pPr>
              <w:topLinePunct/>
              <w:adjustRightInd w:val="0"/>
              <w:snapToGrid w:val="0"/>
              <w:jc w:val="center"/>
              <w:rPr>
                <w:rFonts w:hint="eastAsia" w:ascii="宋体" w:hAnsi="宋体" w:eastAsia="宋体" w:cs="宋体"/>
                <w:color w:val="auto"/>
                <w:kern w:val="0"/>
                <w:sz w:val="21"/>
                <w:szCs w:val="21"/>
                <w:highlight w:val="none"/>
                <w:lang w:val="en-US" w:eastAsia="zh-CN"/>
              </w:rPr>
            </w:pPr>
          </w:p>
        </w:tc>
        <w:tc>
          <w:tcPr>
            <w:tcW w:w="1127" w:type="dxa"/>
            <w:vMerge w:val="continue"/>
            <w:tcBorders>
              <w:tl2br w:val="nil"/>
              <w:tr2bl w:val="nil"/>
            </w:tcBorders>
            <w:noWrap w:val="0"/>
            <w:vAlign w:val="center"/>
          </w:tcPr>
          <w:p w14:paraId="2A5C4022">
            <w:pPr>
              <w:topLinePunct/>
              <w:adjustRightInd w:val="0"/>
              <w:snapToGrid w:val="0"/>
              <w:jc w:val="center"/>
              <w:rPr>
                <w:rFonts w:hint="eastAsia" w:ascii="宋体" w:hAnsi="宋体" w:eastAsia="宋体" w:cs="宋体"/>
                <w:color w:val="auto"/>
                <w:kern w:val="0"/>
                <w:sz w:val="21"/>
                <w:szCs w:val="21"/>
                <w:highlight w:val="none"/>
              </w:rPr>
            </w:pPr>
          </w:p>
        </w:tc>
        <w:tc>
          <w:tcPr>
            <w:tcW w:w="1255" w:type="dxa"/>
            <w:vMerge w:val="continue"/>
            <w:tcBorders>
              <w:tl2br w:val="nil"/>
              <w:tr2bl w:val="nil"/>
            </w:tcBorders>
            <w:noWrap w:val="0"/>
            <w:vAlign w:val="center"/>
          </w:tcPr>
          <w:p w14:paraId="607E181E">
            <w:pPr>
              <w:topLinePunct/>
              <w:adjustRightInd w:val="0"/>
              <w:snapToGrid w:val="0"/>
              <w:jc w:val="center"/>
              <w:rPr>
                <w:rFonts w:hint="eastAsia" w:cs="宋体"/>
                <w:color w:val="auto"/>
                <w:sz w:val="21"/>
                <w:szCs w:val="21"/>
                <w:highlight w:val="none"/>
                <w:lang w:eastAsia="zh-CN"/>
              </w:rPr>
            </w:pPr>
          </w:p>
        </w:tc>
        <w:tc>
          <w:tcPr>
            <w:tcW w:w="764" w:type="dxa"/>
            <w:vMerge w:val="continue"/>
            <w:tcBorders>
              <w:tl2br w:val="nil"/>
              <w:tr2bl w:val="nil"/>
            </w:tcBorders>
            <w:noWrap w:val="0"/>
            <w:vAlign w:val="center"/>
          </w:tcPr>
          <w:p w14:paraId="47E7C598">
            <w:pPr>
              <w:topLinePunct/>
              <w:adjustRightInd w:val="0"/>
              <w:snapToGrid w:val="0"/>
              <w:jc w:val="center"/>
              <w:rPr>
                <w:rFonts w:hint="eastAsia" w:ascii="宋体" w:hAnsi="宋体" w:eastAsia="宋体" w:cs="宋体"/>
                <w:color w:val="auto"/>
                <w:kern w:val="0"/>
                <w:sz w:val="21"/>
                <w:szCs w:val="21"/>
                <w:highlight w:val="none"/>
                <w:lang w:val="en-US" w:eastAsia="zh-CN"/>
              </w:rPr>
            </w:pPr>
          </w:p>
        </w:tc>
        <w:tc>
          <w:tcPr>
            <w:tcW w:w="763" w:type="dxa"/>
            <w:tcBorders>
              <w:tl2br w:val="nil"/>
              <w:tr2bl w:val="nil"/>
            </w:tcBorders>
            <w:noWrap w:val="0"/>
            <w:vAlign w:val="center"/>
          </w:tcPr>
          <w:p w14:paraId="1BBCFE2E">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831-002-01</w:t>
            </w:r>
          </w:p>
        </w:tc>
        <w:tc>
          <w:tcPr>
            <w:tcW w:w="764" w:type="dxa"/>
            <w:vMerge w:val="continue"/>
            <w:tcBorders>
              <w:tl2br w:val="nil"/>
              <w:tr2bl w:val="nil"/>
            </w:tcBorders>
            <w:noWrap w:val="0"/>
            <w:vAlign w:val="center"/>
          </w:tcPr>
          <w:p w14:paraId="3D8429F0">
            <w:pPr>
              <w:topLinePunct/>
              <w:adjustRightInd w:val="0"/>
              <w:snapToGrid w:val="0"/>
              <w:jc w:val="center"/>
              <w:rPr>
                <w:rFonts w:hint="eastAsia" w:ascii="宋体" w:hAnsi="宋体" w:eastAsia="宋体" w:cs="宋体"/>
                <w:color w:val="auto"/>
                <w:kern w:val="0"/>
                <w:sz w:val="21"/>
                <w:szCs w:val="21"/>
                <w:highlight w:val="none"/>
              </w:rPr>
            </w:pPr>
          </w:p>
        </w:tc>
        <w:tc>
          <w:tcPr>
            <w:tcW w:w="1091" w:type="dxa"/>
            <w:vMerge w:val="continue"/>
            <w:tcBorders>
              <w:tl2br w:val="nil"/>
              <w:tr2bl w:val="nil"/>
            </w:tcBorders>
            <w:noWrap w:val="0"/>
            <w:vAlign w:val="center"/>
          </w:tcPr>
          <w:p w14:paraId="41478154">
            <w:pPr>
              <w:topLinePunct/>
              <w:adjustRightInd w:val="0"/>
              <w:snapToGrid w:val="0"/>
              <w:jc w:val="center"/>
              <w:rPr>
                <w:rFonts w:hint="eastAsia" w:ascii="宋体" w:hAnsi="宋体" w:eastAsia="宋体" w:cs="宋体"/>
                <w:color w:val="auto"/>
                <w:kern w:val="0"/>
                <w:sz w:val="21"/>
                <w:szCs w:val="21"/>
                <w:highlight w:val="none"/>
              </w:rPr>
            </w:pPr>
          </w:p>
        </w:tc>
        <w:tc>
          <w:tcPr>
            <w:tcW w:w="1092" w:type="dxa"/>
            <w:vMerge w:val="continue"/>
            <w:tcBorders>
              <w:tl2br w:val="nil"/>
              <w:tr2bl w:val="nil"/>
            </w:tcBorders>
            <w:noWrap w:val="0"/>
            <w:vAlign w:val="center"/>
          </w:tcPr>
          <w:p w14:paraId="23B10FC1">
            <w:pPr>
              <w:topLinePunct/>
              <w:adjustRightInd w:val="0"/>
              <w:snapToGrid w:val="0"/>
              <w:jc w:val="center"/>
              <w:rPr>
                <w:rFonts w:hint="eastAsia" w:ascii="宋体" w:hAnsi="宋体" w:eastAsia="宋体" w:cs="宋体"/>
                <w:color w:val="auto"/>
                <w:kern w:val="0"/>
                <w:sz w:val="21"/>
                <w:szCs w:val="21"/>
                <w:highlight w:val="none"/>
              </w:rPr>
            </w:pPr>
          </w:p>
        </w:tc>
        <w:tc>
          <w:tcPr>
            <w:tcW w:w="873" w:type="dxa"/>
            <w:vMerge w:val="continue"/>
            <w:tcBorders>
              <w:tl2br w:val="nil"/>
              <w:tr2bl w:val="nil"/>
            </w:tcBorders>
            <w:noWrap w:val="0"/>
            <w:vAlign w:val="center"/>
          </w:tcPr>
          <w:p w14:paraId="62B77EC8">
            <w:pPr>
              <w:topLinePunct/>
              <w:adjustRightInd w:val="0"/>
              <w:snapToGrid w:val="0"/>
              <w:jc w:val="center"/>
              <w:rPr>
                <w:rFonts w:hint="eastAsia" w:ascii="宋体" w:hAnsi="宋体" w:eastAsia="宋体" w:cs="宋体"/>
                <w:color w:val="auto"/>
                <w:kern w:val="0"/>
                <w:sz w:val="21"/>
                <w:szCs w:val="21"/>
                <w:highlight w:val="none"/>
              </w:rPr>
            </w:pPr>
          </w:p>
        </w:tc>
        <w:tc>
          <w:tcPr>
            <w:tcW w:w="1022" w:type="dxa"/>
            <w:vMerge w:val="continue"/>
            <w:tcBorders>
              <w:tl2br w:val="nil"/>
              <w:tr2bl w:val="nil"/>
            </w:tcBorders>
            <w:noWrap w:val="0"/>
            <w:vAlign w:val="center"/>
          </w:tcPr>
          <w:p w14:paraId="45B8FB48">
            <w:pPr>
              <w:topLinePunct/>
              <w:adjustRightInd w:val="0"/>
              <w:snapToGrid w:val="0"/>
              <w:jc w:val="center"/>
              <w:rPr>
                <w:rFonts w:hint="eastAsia" w:ascii="宋体" w:hAnsi="宋体" w:eastAsia="宋体" w:cs="宋体"/>
                <w:color w:val="auto"/>
                <w:kern w:val="0"/>
                <w:sz w:val="21"/>
                <w:szCs w:val="21"/>
                <w:highlight w:val="none"/>
              </w:rPr>
            </w:pPr>
          </w:p>
        </w:tc>
      </w:tr>
      <w:tr w14:paraId="0787C1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535" w:type="dxa"/>
            <w:vMerge w:val="continue"/>
            <w:tcBorders>
              <w:tl2br w:val="nil"/>
              <w:tr2bl w:val="nil"/>
            </w:tcBorders>
            <w:noWrap w:val="0"/>
            <w:vAlign w:val="center"/>
          </w:tcPr>
          <w:p w14:paraId="2D014F2C">
            <w:pPr>
              <w:topLinePunct/>
              <w:adjustRightInd w:val="0"/>
              <w:snapToGrid w:val="0"/>
              <w:jc w:val="center"/>
              <w:rPr>
                <w:rFonts w:hint="eastAsia" w:ascii="宋体" w:hAnsi="宋体" w:eastAsia="宋体" w:cs="宋体"/>
                <w:color w:val="auto"/>
                <w:kern w:val="0"/>
                <w:sz w:val="21"/>
                <w:szCs w:val="21"/>
                <w:highlight w:val="none"/>
                <w:lang w:val="en-US" w:eastAsia="zh-CN"/>
              </w:rPr>
            </w:pPr>
          </w:p>
        </w:tc>
        <w:tc>
          <w:tcPr>
            <w:tcW w:w="1127" w:type="dxa"/>
            <w:vMerge w:val="continue"/>
            <w:tcBorders>
              <w:tl2br w:val="nil"/>
              <w:tr2bl w:val="nil"/>
            </w:tcBorders>
            <w:noWrap w:val="0"/>
            <w:vAlign w:val="center"/>
          </w:tcPr>
          <w:p w14:paraId="52035A32">
            <w:pPr>
              <w:topLinePunct/>
              <w:adjustRightInd w:val="0"/>
              <w:snapToGrid w:val="0"/>
              <w:jc w:val="center"/>
              <w:rPr>
                <w:rFonts w:hint="eastAsia" w:ascii="宋体" w:hAnsi="宋体" w:eastAsia="宋体" w:cs="宋体"/>
                <w:color w:val="auto"/>
                <w:kern w:val="0"/>
                <w:sz w:val="21"/>
                <w:szCs w:val="21"/>
                <w:highlight w:val="none"/>
              </w:rPr>
            </w:pPr>
          </w:p>
        </w:tc>
        <w:tc>
          <w:tcPr>
            <w:tcW w:w="1255" w:type="dxa"/>
            <w:vMerge w:val="continue"/>
            <w:tcBorders>
              <w:tl2br w:val="nil"/>
              <w:tr2bl w:val="nil"/>
            </w:tcBorders>
            <w:noWrap w:val="0"/>
            <w:vAlign w:val="center"/>
          </w:tcPr>
          <w:p w14:paraId="1BF696C0">
            <w:pPr>
              <w:topLinePunct/>
              <w:adjustRightInd w:val="0"/>
              <w:snapToGrid w:val="0"/>
              <w:jc w:val="center"/>
              <w:rPr>
                <w:rFonts w:hint="eastAsia" w:cs="宋体"/>
                <w:color w:val="auto"/>
                <w:sz w:val="21"/>
                <w:szCs w:val="21"/>
                <w:highlight w:val="none"/>
                <w:lang w:eastAsia="zh-CN"/>
              </w:rPr>
            </w:pPr>
          </w:p>
        </w:tc>
        <w:tc>
          <w:tcPr>
            <w:tcW w:w="764" w:type="dxa"/>
            <w:vMerge w:val="continue"/>
            <w:tcBorders>
              <w:tl2br w:val="nil"/>
              <w:tr2bl w:val="nil"/>
            </w:tcBorders>
            <w:noWrap w:val="0"/>
            <w:vAlign w:val="center"/>
          </w:tcPr>
          <w:p w14:paraId="5E090977">
            <w:pPr>
              <w:topLinePunct/>
              <w:adjustRightInd w:val="0"/>
              <w:snapToGrid w:val="0"/>
              <w:jc w:val="center"/>
              <w:rPr>
                <w:rFonts w:hint="eastAsia" w:ascii="宋体" w:hAnsi="宋体" w:eastAsia="宋体" w:cs="宋体"/>
                <w:color w:val="auto"/>
                <w:kern w:val="0"/>
                <w:sz w:val="21"/>
                <w:szCs w:val="21"/>
                <w:highlight w:val="none"/>
                <w:lang w:val="en-US" w:eastAsia="zh-CN"/>
              </w:rPr>
            </w:pPr>
          </w:p>
        </w:tc>
        <w:tc>
          <w:tcPr>
            <w:tcW w:w="763" w:type="dxa"/>
            <w:tcBorders>
              <w:tl2br w:val="nil"/>
              <w:tr2bl w:val="nil"/>
            </w:tcBorders>
            <w:noWrap w:val="0"/>
            <w:vAlign w:val="center"/>
          </w:tcPr>
          <w:p w14:paraId="3D0F6561">
            <w:pPr>
              <w:topLinePunct/>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831-004-01</w:t>
            </w:r>
          </w:p>
        </w:tc>
        <w:tc>
          <w:tcPr>
            <w:tcW w:w="764" w:type="dxa"/>
            <w:vMerge w:val="continue"/>
            <w:tcBorders>
              <w:tl2br w:val="nil"/>
              <w:tr2bl w:val="nil"/>
            </w:tcBorders>
            <w:noWrap w:val="0"/>
            <w:vAlign w:val="center"/>
          </w:tcPr>
          <w:p w14:paraId="3A4C47E7">
            <w:pPr>
              <w:topLinePunct/>
              <w:adjustRightInd w:val="0"/>
              <w:snapToGrid w:val="0"/>
              <w:jc w:val="center"/>
              <w:rPr>
                <w:rFonts w:hint="eastAsia" w:ascii="宋体" w:hAnsi="宋体" w:eastAsia="宋体" w:cs="宋体"/>
                <w:color w:val="auto"/>
                <w:kern w:val="0"/>
                <w:sz w:val="21"/>
                <w:szCs w:val="21"/>
                <w:highlight w:val="none"/>
              </w:rPr>
            </w:pPr>
          </w:p>
        </w:tc>
        <w:tc>
          <w:tcPr>
            <w:tcW w:w="1091" w:type="dxa"/>
            <w:vMerge w:val="continue"/>
            <w:tcBorders>
              <w:tl2br w:val="nil"/>
              <w:tr2bl w:val="nil"/>
            </w:tcBorders>
            <w:noWrap w:val="0"/>
            <w:vAlign w:val="center"/>
          </w:tcPr>
          <w:p w14:paraId="467B3634">
            <w:pPr>
              <w:topLinePunct/>
              <w:adjustRightInd w:val="0"/>
              <w:snapToGrid w:val="0"/>
              <w:jc w:val="center"/>
              <w:rPr>
                <w:rFonts w:hint="eastAsia" w:ascii="宋体" w:hAnsi="宋体" w:eastAsia="宋体" w:cs="宋体"/>
                <w:color w:val="auto"/>
                <w:kern w:val="0"/>
                <w:sz w:val="21"/>
                <w:szCs w:val="21"/>
                <w:highlight w:val="none"/>
              </w:rPr>
            </w:pPr>
          </w:p>
        </w:tc>
        <w:tc>
          <w:tcPr>
            <w:tcW w:w="1092" w:type="dxa"/>
            <w:vMerge w:val="continue"/>
            <w:tcBorders>
              <w:tl2br w:val="nil"/>
              <w:tr2bl w:val="nil"/>
            </w:tcBorders>
            <w:noWrap w:val="0"/>
            <w:vAlign w:val="center"/>
          </w:tcPr>
          <w:p w14:paraId="271F10CF">
            <w:pPr>
              <w:topLinePunct/>
              <w:adjustRightInd w:val="0"/>
              <w:snapToGrid w:val="0"/>
              <w:jc w:val="center"/>
              <w:rPr>
                <w:rFonts w:hint="eastAsia" w:ascii="宋体" w:hAnsi="宋体" w:eastAsia="宋体" w:cs="宋体"/>
                <w:color w:val="auto"/>
                <w:kern w:val="0"/>
                <w:sz w:val="21"/>
                <w:szCs w:val="21"/>
                <w:highlight w:val="none"/>
              </w:rPr>
            </w:pPr>
          </w:p>
        </w:tc>
        <w:tc>
          <w:tcPr>
            <w:tcW w:w="873" w:type="dxa"/>
            <w:vMerge w:val="continue"/>
            <w:tcBorders>
              <w:tl2br w:val="nil"/>
              <w:tr2bl w:val="nil"/>
            </w:tcBorders>
            <w:noWrap w:val="0"/>
            <w:vAlign w:val="center"/>
          </w:tcPr>
          <w:p w14:paraId="49FFFC7C">
            <w:pPr>
              <w:topLinePunct/>
              <w:adjustRightInd w:val="0"/>
              <w:snapToGrid w:val="0"/>
              <w:jc w:val="center"/>
              <w:rPr>
                <w:rFonts w:hint="eastAsia" w:ascii="宋体" w:hAnsi="宋体" w:eastAsia="宋体" w:cs="宋体"/>
                <w:color w:val="auto"/>
                <w:kern w:val="0"/>
                <w:sz w:val="21"/>
                <w:szCs w:val="21"/>
                <w:highlight w:val="none"/>
              </w:rPr>
            </w:pPr>
          </w:p>
        </w:tc>
        <w:tc>
          <w:tcPr>
            <w:tcW w:w="1022" w:type="dxa"/>
            <w:vMerge w:val="continue"/>
            <w:tcBorders>
              <w:tl2br w:val="nil"/>
              <w:tr2bl w:val="nil"/>
            </w:tcBorders>
            <w:noWrap w:val="0"/>
            <w:vAlign w:val="center"/>
          </w:tcPr>
          <w:p w14:paraId="300495A9">
            <w:pPr>
              <w:topLinePunct/>
              <w:adjustRightInd w:val="0"/>
              <w:snapToGrid w:val="0"/>
              <w:jc w:val="center"/>
              <w:rPr>
                <w:rFonts w:hint="eastAsia" w:ascii="宋体" w:hAnsi="宋体" w:eastAsia="宋体" w:cs="宋体"/>
                <w:color w:val="auto"/>
                <w:kern w:val="0"/>
                <w:sz w:val="21"/>
                <w:szCs w:val="21"/>
                <w:highlight w:val="none"/>
              </w:rPr>
            </w:pPr>
          </w:p>
        </w:tc>
      </w:tr>
    </w:tbl>
    <w:p w14:paraId="2A4F937A">
      <w:pPr>
        <w:rPr>
          <w:color w:val="auto"/>
          <w:highlight w:val="none"/>
        </w:rPr>
      </w:pPr>
    </w:p>
    <w:p w14:paraId="25ECC75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本项目所涉及的</w:t>
      </w:r>
      <w:r>
        <w:rPr>
          <w:rFonts w:hint="eastAsia" w:ascii="Times New Roman" w:hAnsi="Times New Roman" w:eastAsia="宋体" w:cs="Times New Roman"/>
          <w:color w:val="auto"/>
          <w:sz w:val="24"/>
          <w:szCs w:val="24"/>
          <w:highlight w:val="none"/>
          <w:lang w:eastAsia="zh-CN"/>
        </w:rPr>
        <w:t>医疗</w:t>
      </w:r>
      <w:r>
        <w:rPr>
          <w:rFonts w:hint="eastAsia" w:ascii="Times New Roman" w:hAnsi="Times New Roman" w:eastAsia="宋体" w:cs="Times New Roman"/>
          <w:color w:val="auto"/>
          <w:sz w:val="24"/>
          <w:szCs w:val="24"/>
          <w:highlight w:val="none"/>
        </w:rPr>
        <w:t>废物产生、收集、贮存、运输、利用和处置等过程中，</w:t>
      </w:r>
      <w:r>
        <w:rPr>
          <w:rFonts w:hint="eastAsia" w:ascii="Times New Roman" w:hAnsi="Times New Roman" w:eastAsia="宋体" w:cs="Times New Roman"/>
          <w:color w:val="auto"/>
          <w:sz w:val="24"/>
          <w:szCs w:val="24"/>
          <w:highlight w:val="none"/>
          <w:lang w:eastAsia="zh-CN"/>
        </w:rPr>
        <w:t>若</w:t>
      </w:r>
      <w:r>
        <w:rPr>
          <w:rFonts w:hint="eastAsia" w:ascii="Times New Roman" w:hAnsi="Times New Roman" w:eastAsia="宋体" w:cs="Times New Roman"/>
          <w:color w:val="auto"/>
          <w:sz w:val="24"/>
          <w:szCs w:val="24"/>
          <w:highlight w:val="none"/>
        </w:rPr>
        <w:t>在生产过程中散落在地面，未及时收集，在收集过程中未进行分类收集，将不相容的物质混在一起，在贮存、运输以及处置过程中操作不当，或管理不到位，造成</w:t>
      </w:r>
      <w:r>
        <w:rPr>
          <w:rFonts w:hint="eastAsia" w:ascii="Times New Roman" w:hAnsi="Times New Roman" w:eastAsia="宋体" w:cs="Times New Roman"/>
          <w:color w:val="auto"/>
          <w:sz w:val="24"/>
          <w:szCs w:val="24"/>
          <w:highlight w:val="none"/>
          <w:lang w:eastAsia="zh-CN"/>
        </w:rPr>
        <w:t>医疗</w:t>
      </w:r>
      <w:r>
        <w:rPr>
          <w:rFonts w:hint="eastAsia" w:ascii="Times New Roman" w:hAnsi="Times New Roman" w:eastAsia="宋体" w:cs="Times New Roman"/>
          <w:color w:val="auto"/>
          <w:sz w:val="24"/>
          <w:szCs w:val="24"/>
          <w:highlight w:val="none"/>
        </w:rPr>
        <w:t>废物污染地下水、土壤环境，堆存过程中未及时清运，形成恶臭气体逸散，造成对大气环境的影响。</w:t>
      </w:r>
    </w:p>
    <w:p w14:paraId="1B7E16E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ascii="Times New Roman" w:hAnsi="Times New Roman" w:cs="Times New Roman"/>
          <w:color w:val="auto"/>
          <w:sz w:val="24"/>
          <w:szCs w:val="24"/>
          <w:highlight w:val="none"/>
        </w:rPr>
      </w:pPr>
      <w:r>
        <w:rPr>
          <w:rFonts w:hint="eastAsia" w:ascii="Times New Roman" w:hAnsi="Times New Roman" w:eastAsia="宋体" w:cs="Times New Roman"/>
          <w:color w:val="auto"/>
          <w:sz w:val="24"/>
          <w:szCs w:val="24"/>
          <w:highlight w:val="none"/>
        </w:rPr>
        <w:t>因此，</w:t>
      </w:r>
      <w:r>
        <w:rPr>
          <w:rFonts w:hint="eastAsia" w:cs="Times New Roman"/>
          <w:color w:val="auto"/>
          <w:sz w:val="24"/>
          <w:szCs w:val="24"/>
          <w:highlight w:val="none"/>
          <w:lang w:eastAsia="zh-CN"/>
        </w:rPr>
        <w:t>医疗</w:t>
      </w:r>
      <w:r>
        <w:rPr>
          <w:rFonts w:hint="eastAsia" w:ascii="Times New Roman" w:hAnsi="Times New Roman" w:eastAsia="宋体" w:cs="Times New Roman"/>
          <w:color w:val="auto"/>
          <w:sz w:val="24"/>
          <w:szCs w:val="24"/>
          <w:highlight w:val="none"/>
        </w:rPr>
        <w:t>废物在</w:t>
      </w:r>
      <w:r>
        <w:rPr>
          <w:rFonts w:hint="eastAsia" w:cs="Times New Roman"/>
          <w:color w:val="auto"/>
          <w:sz w:val="24"/>
          <w:szCs w:val="24"/>
          <w:highlight w:val="none"/>
          <w:lang w:eastAsia="zh-CN"/>
        </w:rPr>
        <w:t>院</w:t>
      </w:r>
      <w:r>
        <w:rPr>
          <w:rFonts w:hint="eastAsia" w:ascii="Times New Roman" w:hAnsi="Times New Roman" w:eastAsia="宋体" w:cs="Times New Roman"/>
          <w:color w:val="auto"/>
          <w:sz w:val="24"/>
          <w:szCs w:val="24"/>
          <w:highlight w:val="none"/>
        </w:rPr>
        <w:t>内暂存期间应</w:t>
      </w:r>
      <w:r>
        <w:rPr>
          <w:rFonts w:hint="eastAsia" w:ascii="Times New Roman" w:hAnsi="Times New Roman" w:eastAsia="宋体" w:cs="Times New Roman"/>
          <w:color w:val="auto"/>
          <w:sz w:val="24"/>
          <w:szCs w:val="24"/>
          <w:highlight w:val="none"/>
          <w:lang w:eastAsia="zh-CN"/>
        </w:rPr>
        <w:t>按照危废相关规定进行暂存、管理</w:t>
      </w:r>
      <w:r>
        <w:rPr>
          <w:rFonts w:hint="eastAsia"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eastAsia="zh-CN"/>
        </w:rPr>
        <w:t>按照国家有关规定进行转移、运输及处置。</w:t>
      </w:r>
      <w:r>
        <w:rPr>
          <w:rFonts w:hint="eastAsia" w:cs="Times New Roman"/>
          <w:color w:val="auto"/>
          <w:sz w:val="24"/>
          <w:highlight w:val="none"/>
          <w:lang w:eastAsia="zh-CN"/>
        </w:rPr>
        <w:t>医疗废物</w:t>
      </w:r>
      <w:r>
        <w:rPr>
          <w:rFonts w:hint="eastAsia" w:eastAsia="宋体" w:cs="Times New Roman"/>
          <w:color w:val="auto"/>
          <w:sz w:val="24"/>
          <w:szCs w:val="24"/>
          <w:highlight w:val="none"/>
          <w:lang w:eastAsia="zh-CN"/>
        </w:rPr>
        <w:t>暂存间</w:t>
      </w:r>
      <w:r>
        <w:rPr>
          <w:rFonts w:ascii="Times New Roman" w:hAnsi="Times New Roman" w:eastAsia="宋体" w:cs="Times New Roman"/>
          <w:color w:val="auto"/>
          <w:sz w:val="24"/>
          <w:szCs w:val="24"/>
          <w:highlight w:val="none"/>
        </w:rPr>
        <w:t>基本设施设备主要有紫外线灯管、门缝隙小、纱窗、排风、工作人员的围裙手套水靴等。</w:t>
      </w:r>
      <w:r>
        <w:rPr>
          <w:rFonts w:hint="eastAsia" w:ascii="Times New Roman" w:hAnsi="Times New Roman" w:eastAsia="宋体" w:cs="Times New Roman"/>
          <w:color w:val="auto"/>
          <w:sz w:val="24"/>
          <w:szCs w:val="24"/>
          <w:highlight w:val="none"/>
        </w:rPr>
        <w:t>本项</w:t>
      </w:r>
      <w:r>
        <w:rPr>
          <w:rFonts w:hint="eastAsia" w:ascii="Times New Roman" w:hAnsi="Times New Roman" w:cs="Times New Roman"/>
          <w:color w:val="auto"/>
          <w:sz w:val="24"/>
          <w:szCs w:val="24"/>
          <w:highlight w:val="none"/>
        </w:rPr>
        <w:t>目要求建设单位从医院内部直接将</w:t>
      </w:r>
      <w:r>
        <w:rPr>
          <w:rFonts w:hint="eastAsia" w:cs="Times New Roman"/>
          <w:color w:val="auto"/>
          <w:sz w:val="24"/>
          <w:szCs w:val="24"/>
          <w:highlight w:val="none"/>
          <w:lang w:eastAsia="zh-CN"/>
        </w:rPr>
        <w:t>医疗</w:t>
      </w:r>
      <w:r>
        <w:rPr>
          <w:rFonts w:hint="eastAsia" w:ascii="Times New Roman" w:hAnsi="Times New Roman" w:cs="Times New Roman"/>
          <w:color w:val="auto"/>
          <w:sz w:val="24"/>
          <w:szCs w:val="24"/>
          <w:highlight w:val="none"/>
        </w:rPr>
        <w:t>废物运送至</w:t>
      </w:r>
      <w:r>
        <w:rPr>
          <w:rFonts w:hint="eastAsia" w:cs="Times New Roman"/>
          <w:color w:val="auto"/>
          <w:sz w:val="24"/>
          <w:highlight w:val="none"/>
          <w:lang w:eastAsia="zh-CN"/>
        </w:rPr>
        <w:t>医疗废物</w:t>
      </w:r>
      <w:r>
        <w:rPr>
          <w:rFonts w:hint="eastAsia" w:ascii="Times New Roman" w:hAnsi="Times New Roman" w:cs="Times New Roman"/>
          <w:color w:val="auto"/>
          <w:sz w:val="24"/>
          <w:szCs w:val="24"/>
          <w:highlight w:val="none"/>
        </w:rPr>
        <w:t>暂存间，不得将</w:t>
      </w:r>
      <w:r>
        <w:rPr>
          <w:rFonts w:hint="eastAsia" w:cs="Times New Roman"/>
          <w:color w:val="auto"/>
          <w:sz w:val="24"/>
          <w:szCs w:val="24"/>
          <w:highlight w:val="none"/>
          <w:lang w:eastAsia="zh-CN"/>
        </w:rPr>
        <w:t>医疗</w:t>
      </w:r>
      <w:r>
        <w:rPr>
          <w:rFonts w:hint="eastAsia" w:ascii="Times New Roman" w:hAnsi="Times New Roman" w:cs="Times New Roman"/>
          <w:color w:val="auto"/>
          <w:sz w:val="24"/>
          <w:szCs w:val="24"/>
          <w:highlight w:val="none"/>
        </w:rPr>
        <w:t>废物运出医院医院再运送至</w:t>
      </w:r>
      <w:r>
        <w:rPr>
          <w:rFonts w:hint="eastAsia" w:cs="Times New Roman"/>
          <w:color w:val="auto"/>
          <w:sz w:val="24"/>
          <w:highlight w:val="none"/>
          <w:lang w:eastAsia="zh-CN"/>
        </w:rPr>
        <w:t>医疗废物</w:t>
      </w:r>
      <w:r>
        <w:rPr>
          <w:rFonts w:hint="eastAsia" w:ascii="Times New Roman" w:hAnsi="Times New Roman" w:cs="Times New Roman"/>
          <w:color w:val="auto"/>
          <w:sz w:val="24"/>
          <w:szCs w:val="24"/>
          <w:highlight w:val="none"/>
        </w:rPr>
        <w:t>暂存间。</w:t>
      </w:r>
      <w:r>
        <w:rPr>
          <w:rFonts w:ascii="Times New Roman" w:hAnsi="Times New Roman" w:cs="Times New Roman"/>
          <w:color w:val="auto"/>
          <w:sz w:val="24"/>
          <w:szCs w:val="24"/>
          <w:highlight w:val="none"/>
        </w:rPr>
        <w:t>医疗废物按要求严格分类。暂存处设置塑料桶，并应加盖密闭，不得随地散放、遗漏</w:t>
      </w:r>
      <w:r>
        <w:rPr>
          <w:rFonts w:hint="eastAsia" w:cs="Times New Roman"/>
          <w:color w:val="auto"/>
          <w:sz w:val="24"/>
          <w:szCs w:val="24"/>
          <w:highlight w:val="none"/>
          <w:lang w:eastAsia="zh-CN"/>
        </w:rPr>
        <w:t>，</w:t>
      </w:r>
      <w:r>
        <w:rPr>
          <w:rFonts w:hint="eastAsia" w:ascii="Times New Roman" w:hAnsi="Times New Roman" w:cs="Times New Roman"/>
          <w:color w:val="auto"/>
          <w:sz w:val="24"/>
          <w:szCs w:val="24"/>
          <w:highlight w:val="none"/>
          <w:lang w:eastAsia="zh-CN"/>
        </w:rPr>
        <w:t>各</w:t>
      </w:r>
      <w:r>
        <w:rPr>
          <w:rFonts w:hint="eastAsia" w:cs="Times New Roman"/>
          <w:color w:val="auto"/>
          <w:sz w:val="24"/>
          <w:szCs w:val="24"/>
          <w:highlight w:val="none"/>
          <w:lang w:eastAsia="zh-CN"/>
        </w:rPr>
        <w:t>医疗</w:t>
      </w:r>
      <w:r>
        <w:rPr>
          <w:rFonts w:hint="eastAsia" w:ascii="Times New Roman" w:hAnsi="Times New Roman" w:cs="Times New Roman"/>
          <w:color w:val="auto"/>
          <w:sz w:val="24"/>
          <w:szCs w:val="24"/>
          <w:highlight w:val="none"/>
          <w:lang w:eastAsia="zh-CN"/>
        </w:rPr>
        <w:t>废物分开存放，隔离间断</w:t>
      </w:r>
      <w:r>
        <w:rPr>
          <w:rFonts w:ascii="Times New Roman" w:hAnsi="Times New Roman" w:cs="Times New Roman"/>
          <w:color w:val="auto"/>
          <w:sz w:val="24"/>
          <w:szCs w:val="24"/>
          <w:highlight w:val="none"/>
        </w:rPr>
        <w:t>。</w:t>
      </w:r>
    </w:p>
    <w:p w14:paraId="61A099B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color w:val="FF0000"/>
          <w:sz w:val="24"/>
          <w:szCs w:val="24"/>
          <w:highlight w:val="none"/>
        </w:rPr>
      </w:pPr>
      <w:r>
        <w:rPr>
          <w:rFonts w:hint="eastAsia" w:ascii="宋体" w:hAnsi="宋体"/>
          <w:color w:val="auto"/>
          <w:sz w:val="24"/>
          <w:szCs w:val="24"/>
          <w:highlight w:val="none"/>
          <w:lang w:eastAsia="zh-CN"/>
        </w:rPr>
        <w:t>医疗废物</w:t>
      </w:r>
      <w:r>
        <w:rPr>
          <w:rFonts w:hint="eastAsia" w:ascii="宋体" w:hAnsi="宋体"/>
          <w:color w:val="auto"/>
          <w:sz w:val="24"/>
          <w:highlight w:val="none"/>
        </w:rPr>
        <w:t>暂存设施不得露天存放医疗废物；</w:t>
      </w:r>
      <w:r>
        <w:rPr>
          <w:rFonts w:hint="eastAsia" w:ascii="宋体" w:hAnsi="宋体"/>
          <w:color w:val="FF0000"/>
          <w:sz w:val="24"/>
          <w:highlight w:val="none"/>
        </w:rPr>
        <w:t>医疗废物</w:t>
      </w:r>
      <w:r>
        <w:rPr>
          <w:rFonts w:ascii="宋体" w:hAnsi="宋体"/>
          <w:color w:val="FF0000"/>
          <w:sz w:val="24"/>
          <w:highlight w:val="none"/>
        </w:rPr>
        <w:t>常温下贮存期不得超过一天，于摄氏5度以下冷藏的，不得超过7天</w:t>
      </w:r>
      <w:r>
        <w:rPr>
          <w:rFonts w:ascii="宋体" w:hAnsi="宋体"/>
          <w:color w:val="auto"/>
          <w:sz w:val="24"/>
          <w:highlight w:val="none"/>
        </w:rPr>
        <w:t>。</w:t>
      </w:r>
      <w:r>
        <w:rPr>
          <w:rFonts w:hint="eastAsia" w:ascii="宋体" w:hAnsi="宋体"/>
          <w:color w:val="auto"/>
          <w:sz w:val="24"/>
          <w:highlight w:val="none"/>
          <w:lang w:eastAsia="zh-CN"/>
        </w:rPr>
        <w:t>医疗</w:t>
      </w:r>
      <w:r>
        <w:rPr>
          <w:rFonts w:hint="eastAsia" w:ascii="宋体" w:hAnsi="宋体"/>
          <w:color w:val="auto"/>
          <w:sz w:val="24"/>
          <w:szCs w:val="24"/>
          <w:highlight w:val="none"/>
          <w:lang w:eastAsia="zh-CN"/>
        </w:rPr>
        <w:t>废物</w:t>
      </w:r>
      <w:r>
        <w:rPr>
          <w:rFonts w:hint="eastAsia" w:ascii="宋体" w:hAnsi="宋体"/>
          <w:color w:val="auto"/>
          <w:sz w:val="24"/>
          <w:highlight w:val="none"/>
        </w:rPr>
        <w:t>的暂时贮存设施、设备，应当远离医疗区、食品加工区和人员活动区以及生活垃圾存放场所，并设置明显的警示标识和防渗漏、防鼠、防蚊蝇、防蟑螂、防盗以及预防儿童接触等安全措施。</w:t>
      </w:r>
      <w:r>
        <w:rPr>
          <w:rFonts w:hint="eastAsia" w:ascii="宋体" w:hAnsi="宋体"/>
          <w:color w:val="FF0000"/>
          <w:sz w:val="24"/>
          <w:highlight w:val="none"/>
          <w:lang w:eastAsia="zh-CN"/>
        </w:rPr>
        <w:t>应当使用符合标准的容器盛装危险废物，盛装危险废物的容器及材质要满足相应的强度要求，</w:t>
      </w:r>
      <w:r>
        <w:rPr>
          <w:rFonts w:hint="eastAsia" w:ascii="宋体" w:hAnsi="宋体"/>
          <w:color w:val="FF0000"/>
          <w:sz w:val="24"/>
          <w:highlight w:val="none"/>
        </w:rPr>
        <w:t>医疗废物的暂时贮存设施、设备应当定期消毒和清洁，</w:t>
      </w:r>
      <w:r>
        <w:rPr>
          <w:rFonts w:hint="eastAsia" w:ascii="宋体" w:hAnsi="宋体"/>
          <w:color w:val="FF0000"/>
          <w:sz w:val="24"/>
          <w:highlight w:val="none"/>
          <w:lang w:eastAsia="zh-CN"/>
        </w:rPr>
        <w:t>地面与裙角要用坚固、防渗的材料建造，建筑材料必须与危险废物相容，</w:t>
      </w:r>
      <w:r>
        <w:rPr>
          <w:rFonts w:hint="eastAsia" w:ascii="宋体" w:hAnsi="宋体"/>
          <w:color w:val="FF0000"/>
          <w:sz w:val="24"/>
          <w:highlight w:val="none"/>
          <w:lang w:val="en-US" w:eastAsia="zh-CN"/>
        </w:rPr>
        <w:t>做到“防风、防雨、防晒、防渗漏”，</w:t>
      </w:r>
      <w:r>
        <w:rPr>
          <w:rFonts w:hint="eastAsia" w:ascii="宋体" w:hAnsi="宋体"/>
          <w:color w:val="FF0000"/>
          <w:sz w:val="24"/>
          <w:highlight w:val="none"/>
        </w:rPr>
        <w:t>必须满足《危险废物贮存污染控制标准》（GB18597-2001</w:t>
      </w:r>
      <w:r>
        <w:rPr>
          <w:rFonts w:ascii="Times New Roman" w:hAnsi="Times New Roman" w:cs="Times New Roman"/>
          <w:color w:val="FF0000"/>
          <w:sz w:val="24"/>
          <w:szCs w:val="24"/>
          <w:highlight w:val="none"/>
        </w:rPr>
        <w:t>，2013修订</w:t>
      </w:r>
      <w:r>
        <w:rPr>
          <w:rFonts w:hint="eastAsia" w:ascii="宋体" w:hAnsi="宋体"/>
          <w:color w:val="FF0000"/>
          <w:sz w:val="24"/>
          <w:highlight w:val="none"/>
        </w:rPr>
        <w:t>）</w:t>
      </w:r>
      <w:r>
        <w:rPr>
          <w:rFonts w:hint="eastAsia" w:ascii="宋体" w:hAnsi="宋体"/>
          <w:color w:val="FF0000"/>
          <w:sz w:val="24"/>
          <w:highlight w:val="none"/>
          <w:lang w:eastAsia="zh-CN"/>
        </w:rPr>
        <w:t>要求</w:t>
      </w:r>
      <w:r>
        <w:rPr>
          <w:rFonts w:hint="eastAsia" w:ascii="宋体" w:hAnsi="宋体"/>
          <w:color w:val="FF0000"/>
          <w:sz w:val="24"/>
          <w:highlight w:val="none"/>
        </w:rPr>
        <w:t>。</w:t>
      </w:r>
      <w:r>
        <w:rPr>
          <w:color w:val="FF0000"/>
          <w:sz w:val="24"/>
          <w:szCs w:val="24"/>
          <w:highlight w:val="none"/>
        </w:rPr>
        <w:t xml:space="preserve"> </w:t>
      </w:r>
    </w:p>
    <w:p w14:paraId="1B2C1731">
      <w:pPr>
        <w:adjustRightInd w:val="0"/>
        <w:snapToGrid w:val="0"/>
        <w:spacing w:line="360" w:lineRule="auto"/>
        <w:ind w:firstLine="480" w:firstLineChars="200"/>
        <w:jc w:val="left"/>
        <w:rPr>
          <w:color w:val="auto"/>
          <w:sz w:val="24"/>
          <w:szCs w:val="24"/>
          <w:highlight w:val="none"/>
        </w:rPr>
      </w:pPr>
      <w:r>
        <w:rPr>
          <w:rFonts w:ascii="Times New Roman" w:hAnsi="Times New Roman" w:cs="Times New Roman"/>
          <w:color w:val="FF0000"/>
          <w:sz w:val="24"/>
          <w:szCs w:val="24"/>
          <w:highlight w:val="none"/>
        </w:rPr>
        <w:t>医院应当使用防渗漏、防遗撒的专用运送工具，按照本单位确定的内部医疗废物运送时间、路线，将医疗废物收集、运送至暂时贮存地点。运送工具使用后应当在医院内指定的地点及时消毒和清洁。医疗废物转运车应满足《医疗废物转运车技术要求》（GB19217-2003）。</w:t>
      </w:r>
      <w:r>
        <w:rPr>
          <w:color w:val="FF0000"/>
          <w:sz w:val="24"/>
          <w:szCs w:val="24"/>
          <w:highlight w:val="none"/>
        </w:rPr>
        <w:t xml:space="preserve"> </w:t>
      </w:r>
      <w:r>
        <w:rPr>
          <w:color w:val="auto"/>
          <w:sz w:val="24"/>
          <w:szCs w:val="24"/>
          <w:highlight w:val="none"/>
        </w:rPr>
        <w:t xml:space="preserve">                                                           </w:t>
      </w:r>
    </w:p>
    <w:p w14:paraId="3335843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cs="宋体"/>
          <w:color w:val="auto"/>
          <w:sz w:val="24"/>
          <w:szCs w:val="24"/>
          <w:highlight w:val="none"/>
        </w:rPr>
      </w:pPr>
      <w:r>
        <w:rPr>
          <w:rFonts w:hint="eastAsia" w:cs="宋体"/>
          <w:color w:val="auto"/>
          <w:sz w:val="24"/>
          <w:szCs w:val="24"/>
          <w:highlight w:val="none"/>
        </w:rPr>
        <w:t>因此，本项目营运期固体废物</w:t>
      </w:r>
      <w:r>
        <w:rPr>
          <w:rFonts w:hint="eastAsia" w:cs="宋体"/>
          <w:color w:val="auto"/>
          <w:sz w:val="24"/>
          <w:szCs w:val="24"/>
          <w:highlight w:val="none"/>
          <w:lang w:eastAsia="zh-CN"/>
        </w:rPr>
        <w:t>均得到合理处置，</w:t>
      </w:r>
      <w:r>
        <w:rPr>
          <w:rFonts w:hint="eastAsia" w:cs="宋体"/>
          <w:color w:val="auto"/>
          <w:sz w:val="24"/>
          <w:szCs w:val="24"/>
          <w:highlight w:val="none"/>
        </w:rPr>
        <w:t>对周围环境影响较小。</w:t>
      </w:r>
    </w:p>
    <w:p w14:paraId="3C8F8293">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ascii="Times New Roman" w:hAnsi="Times New Roman" w:cs="宋体"/>
          <w:b/>
          <w:bCs/>
          <w:color w:val="auto"/>
          <w:kern w:val="2"/>
          <w:sz w:val="28"/>
          <w:szCs w:val="28"/>
          <w:highlight w:val="none"/>
          <w:lang w:val="en-US" w:eastAsia="zh-CN" w:bidi="ar-SA"/>
        </w:rPr>
      </w:pPr>
      <w:r>
        <w:rPr>
          <w:rFonts w:hint="eastAsia" w:ascii="Times New Roman" w:hAnsi="Times New Roman" w:eastAsia="宋体" w:cs="宋体"/>
          <w:b/>
          <w:bCs/>
          <w:color w:val="auto"/>
          <w:kern w:val="2"/>
          <w:sz w:val="28"/>
          <w:szCs w:val="28"/>
          <w:highlight w:val="none"/>
          <w:lang w:val="en-US" w:eastAsia="zh-CN" w:bidi="ar-SA"/>
        </w:rPr>
        <w:t>5</w:t>
      </w:r>
      <w:r>
        <w:rPr>
          <w:rFonts w:hint="eastAsia" w:ascii="Times New Roman" w:hAnsi="Times New Roman" w:cs="宋体"/>
          <w:b/>
          <w:bCs/>
          <w:color w:val="auto"/>
          <w:kern w:val="2"/>
          <w:sz w:val="28"/>
          <w:szCs w:val="28"/>
          <w:highlight w:val="none"/>
          <w:lang w:val="en-US" w:eastAsia="zh-CN" w:bidi="ar-SA"/>
        </w:rPr>
        <w:t>地下水环境影响分析</w:t>
      </w:r>
    </w:p>
    <w:p w14:paraId="43518891">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eastAsia" w:ascii="Times New Roman" w:hAnsi="Times New Roman" w:cs="宋体"/>
          <w:b/>
          <w:bCs/>
          <w:color w:val="auto"/>
          <w:sz w:val="24"/>
          <w:szCs w:val="24"/>
          <w:highlight w:val="none"/>
          <w:lang w:val="en-US" w:eastAsia="zh-CN"/>
        </w:rPr>
      </w:pPr>
      <w:r>
        <w:rPr>
          <w:rFonts w:hint="eastAsia" w:cs="宋体"/>
          <w:b/>
          <w:bCs/>
          <w:color w:val="auto"/>
          <w:sz w:val="24"/>
          <w:szCs w:val="24"/>
          <w:highlight w:val="none"/>
          <w:lang w:val="en-US" w:eastAsia="zh-CN"/>
        </w:rPr>
        <w:t>5.1评价等级</w:t>
      </w:r>
    </w:p>
    <w:p w14:paraId="091CDEAC">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80" w:firstLineChars="200"/>
        <w:jc w:val="both"/>
        <w:textAlignment w:val="auto"/>
        <w:outlineLvl w:val="9"/>
        <w:rPr>
          <w:rFonts w:hint="eastAsia" w:ascii="Times New Roman" w:hAnsi="Times New Roman" w:cs="宋体"/>
          <w:color w:val="auto"/>
          <w:sz w:val="24"/>
          <w:szCs w:val="24"/>
          <w:highlight w:val="none"/>
          <w:lang w:val="en-US" w:eastAsia="zh-CN"/>
        </w:rPr>
      </w:pPr>
      <w:r>
        <w:rPr>
          <w:rFonts w:hint="eastAsia" w:ascii="Times New Roman" w:hAnsi="Times New Roman" w:cs="宋体"/>
          <w:color w:val="auto"/>
          <w:sz w:val="24"/>
          <w:szCs w:val="24"/>
          <w:highlight w:val="none"/>
          <w:lang w:val="en-US" w:eastAsia="zh-CN"/>
        </w:rPr>
        <w:t>本项目为</w:t>
      </w:r>
      <w:r>
        <w:rPr>
          <w:rFonts w:hint="eastAsia" w:cs="宋体"/>
          <w:color w:val="auto"/>
          <w:sz w:val="24"/>
          <w:szCs w:val="24"/>
          <w:highlight w:val="none"/>
          <w:lang w:val="en-US" w:eastAsia="zh-CN"/>
        </w:rPr>
        <w:t>中医医院建设项目，</w:t>
      </w:r>
      <w:r>
        <w:rPr>
          <w:rFonts w:hint="eastAsia" w:ascii="Times New Roman" w:hAnsi="Times New Roman" w:cs="宋体"/>
          <w:color w:val="auto"/>
          <w:sz w:val="24"/>
          <w:szCs w:val="24"/>
          <w:highlight w:val="none"/>
          <w:lang w:val="en-US" w:eastAsia="zh-CN"/>
        </w:rPr>
        <w:t>根据《环境影响评价技术导则—地下水环境》（HJ 610-2016）对建设项目分类，本项目为</w:t>
      </w:r>
      <w:r>
        <w:rPr>
          <w:rFonts w:hint="eastAsia" w:cs="宋体"/>
          <w:color w:val="auto"/>
          <w:sz w:val="24"/>
          <w:szCs w:val="24"/>
          <w:highlight w:val="none"/>
          <w:lang w:val="en-US" w:eastAsia="zh-CN"/>
        </w:rPr>
        <w:t>158、医院其余</w:t>
      </w:r>
      <w:r>
        <w:rPr>
          <w:rFonts w:hint="eastAsia" w:ascii="宋体" w:hAnsi="宋体" w:eastAsia="宋体" w:cs="宋体"/>
          <w:color w:val="auto"/>
          <w:sz w:val="24"/>
          <w:szCs w:val="24"/>
          <w:highlight w:val="none"/>
          <w:lang w:val="en-US" w:eastAsia="zh-CN"/>
        </w:rPr>
        <w:t>Ⅳ</w:t>
      </w:r>
      <w:r>
        <w:rPr>
          <w:rFonts w:hint="eastAsia" w:ascii="Times New Roman" w:hAnsi="Times New Roman" w:cs="宋体"/>
          <w:color w:val="auto"/>
          <w:sz w:val="24"/>
          <w:szCs w:val="24"/>
          <w:highlight w:val="none"/>
          <w:lang w:val="en-US" w:eastAsia="zh-CN"/>
        </w:rPr>
        <w:t>类项目， 同时根据《环境影响评价技术导则—地下水环境》（HJ 610-2016） 关于评价工作等级的划分原则，确定本项目</w:t>
      </w:r>
      <w:r>
        <w:rPr>
          <w:rFonts w:hint="eastAsia" w:cs="宋体"/>
          <w:color w:val="auto"/>
          <w:sz w:val="24"/>
          <w:szCs w:val="24"/>
          <w:highlight w:val="none"/>
          <w:lang w:val="en-US" w:eastAsia="zh-CN"/>
        </w:rPr>
        <w:t>无需展开地下水评价，</w:t>
      </w:r>
      <w:r>
        <w:rPr>
          <w:rFonts w:hint="eastAsia" w:ascii="Times New Roman" w:hAnsi="Times New Roman" w:eastAsia="宋体" w:cs="宋体"/>
          <w:color w:val="auto"/>
          <w:sz w:val="24"/>
          <w:szCs w:val="24"/>
          <w:highlight w:val="none"/>
          <w:lang w:val="en-US" w:eastAsia="zh-CN"/>
        </w:rPr>
        <w:t>本次评价仅对防渗方面进行简要分析</w:t>
      </w:r>
      <w:r>
        <w:rPr>
          <w:rFonts w:hint="eastAsia" w:ascii="Times New Roman" w:hAnsi="Times New Roman" w:cs="宋体"/>
          <w:color w:val="auto"/>
          <w:sz w:val="24"/>
          <w:szCs w:val="24"/>
          <w:highlight w:val="none"/>
          <w:lang w:val="en-US" w:eastAsia="zh-CN"/>
        </w:rPr>
        <w:t>。</w:t>
      </w:r>
    </w:p>
    <w:p w14:paraId="466E8057">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hAnsi="宋体"/>
          <w:color w:val="auto"/>
          <w:sz w:val="24"/>
          <w:highlight w:val="none"/>
          <w:lang w:eastAsia="zh-CN"/>
        </w:rPr>
      </w:pPr>
      <w:r>
        <w:rPr>
          <w:rFonts w:hint="eastAsia" w:hAnsi="宋体"/>
          <w:color w:val="auto"/>
          <w:sz w:val="24"/>
          <w:highlight w:val="none"/>
          <w:lang w:eastAsia="zh-CN"/>
        </w:rPr>
        <w:t>主要包括院区内污染区地面的防渗措施和泄露、渗漏污染物收集措施，即在污染区地面进行防渗处理，防止洒落地面的污染物渗入地下，并把滞留在地面的污染物收集起来，集中处理，从而避免对地下水的污染。结合本项目各设备、贮存、运输装置等因素，根据可能进入地下水环境的各种有毒有害污染物的性质、产生量和排放量，将污染物放置区划分为重点防渗区及简单防渗区。</w:t>
      </w:r>
    </w:p>
    <w:p w14:paraId="58BD5DCA">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outlineLvl w:val="9"/>
        <w:rPr>
          <w:rFonts w:hint="eastAsia" w:hAnsi="宋体"/>
          <w:color w:val="auto"/>
          <w:sz w:val="24"/>
          <w:highlight w:val="none"/>
          <w:lang w:val="en-US" w:eastAsia="zh-CN"/>
        </w:rPr>
      </w:pPr>
      <w:r>
        <w:rPr>
          <w:rFonts w:hint="eastAsia" w:hAnsi="宋体"/>
          <w:color w:val="auto"/>
          <w:sz w:val="24"/>
          <w:highlight w:val="none"/>
          <w:lang w:val="en-US" w:eastAsia="zh-CN"/>
        </w:rPr>
        <w:t>根据项目场地天然包气带防污性能、污染控制难易程度和污染物特性对院区进行分区防控，具体见下表：</w:t>
      </w:r>
    </w:p>
    <w:p w14:paraId="37D3C68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outlineLvl w:val="9"/>
        <w:rPr>
          <w:rFonts w:hint="eastAsia" w:hAnsi="宋体" w:eastAsia="宋体"/>
          <w:b/>
          <w:bCs/>
          <w:color w:val="auto"/>
          <w:sz w:val="21"/>
          <w:szCs w:val="21"/>
          <w:highlight w:val="none"/>
          <w:lang w:val="en-US" w:eastAsia="zh-CN"/>
        </w:rPr>
      </w:pPr>
      <w:r>
        <w:rPr>
          <w:rFonts w:hint="eastAsia" w:hAnsi="宋体"/>
          <w:b/>
          <w:bCs/>
          <w:color w:val="auto"/>
          <w:sz w:val="21"/>
          <w:szCs w:val="21"/>
          <w:highlight w:val="none"/>
          <w:lang w:eastAsia="zh-CN"/>
        </w:rPr>
        <w:t>表</w:t>
      </w:r>
      <w:r>
        <w:rPr>
          <w:rFonts w:hint="eastAsia" w:hAnsi="宋体"/>
          <w:b/>
          <w:bCs/>
          <w:color w:val="auto"/>
          <w:sz w:val="21"/>
          <w:szCs w:val="21"/>
          <w:highlight w:val="none"/>
          <w:lang w:val="en-US" w:eastAsia="zh-CN"/>
        </w:rPr>
        <w:t>41                       本项目院区地下水污染防渗分区</w:t>
      </w:r>
    </w:p>
    <w:tbl>
      <w:tblPr>
        <w:tblStyle w:val="25"/>
        <w:tblW w:w="928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4"/>
        <w:gridCol w:w="1881"/>
        <w:gridCol w:w="1113"/>
        <w:gridCol w:w="1508"/>
        <w:gridCol w:w="1397"/>
        <w:gridCol w:w="1056"/>
        <w:gridCol w:w="1867"/>
      </w:tblGrid>
      <w:tr w14:paraId="5AEE5E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Borders>
              <w:tl2br w:val="nil"/>
              <w:tr2bl w:val="nil"/>
            </w:tcBorders>
            <w:noWrap w:val="0"/>
            <w:vAlign w:val="center"/>
          </w:tcPr>
          <w:p w14:paraId="2A3DC4C2">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eastAsia="宋体"/>
                <w:color w:val="auto"/>
                <w:sz w:val="21"/>
                <w:szCs w:val="21"/>
                <w:highlight w:val="none"/>
                <w:vertAlign w:val="baseline"/>
                <w:lang w:eastAsia="zh-CN"/>
              </w:rPr>
            </w:pPr>
            <w:r>
              <w:rPr>
                <w:rFonts w:hint="eastAsia" w:hAnsi="宋体"/>
                <w:color w:val="auto"/>
                <w:sz w:val="21"/>
                <w:szCs w:val="21"/>
                <w:highlight w:val="none"/>
                <w:vertAlign w:val="baseline"/>
                <w:lang w:eastAsia="zh-CN"/>
              </w:rPr>
              <w:t>序号</w:t>
            </w:r>
          </w:p>
        </w:tc>
        <w:tc>
          <w:tcPr>
            <w:tcW w:w="1881" w:type="dxa"/>
            <w:tcBorders>
              <w:tl2br w:val="nil"/>
              <w:tr2bl w:val="nil"/>
            </w:tcBorders>
            <w:noWrap w:val="0"/>
            <w:vAlign w:val="center"/>
          </w:tcPr>
          <w:p w14:paraId="721B1C2B">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eastAsia="宋体"/>
                <w:color w:val="auto"/>
                <w:sz w:val="21"/>
                <w:szCs w:val="21"/>
                <w:highlight w:val="none"/>
                <w:vertAlign w:val="baseline"/>
                <w:lang w:eastAsia="zh-CN"/>
              </w:rPr>
            </w:pPr>
            <w:r>
              <w:rPr>
                <w:rFonts w:hint="eastAsia" w:hAnsi="宋体"/>
                <w:color w:val="auto"/>
                <w:sz w:val="21"/>
                <w:szCs w:val="21"/>
                <w:highlight w:val="none"/>
                <w:vertAlign w:val="baseline"/>
                <w:lang w:eastAsia="zh-CN"/>
              </w:rPr>
              <w:t>名称</w:t>
            </w:r>
          </w:p>
        </w:tc>
        <w:tc>
          <w:tcPr>
            <w:tcW w:w="1113" w:type="dxa"/>
            <w:tcBorders>
              <w:tl2br w:val="nil"/>
              <w:tr2bl w:val="nil"/>
            </w:tcBorders>
            <w:noWrap w:val="0"/>
            <w:vAlign w:val="center"/>
          </w:tcPr>
          <w:p w14:paraId="6541DDE1">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eastAsia="宋体"/>
                <w:color w:val="auto"/>
                <w:sz w:val="21"/>
                <w:szCs w:val="21"/>
                <w:highlight w:val="none"/>
                <w:vertAlign w:val="baseline"/>
                <w:lang w:eastAsia="zh-CN"/>
              </w:rPr>
            </w:pPr>
            <w:r>
              <w:rPr>
                <w:rFonts w:hint="eastAsia" w:hAnsi="宋体"/>
                <w:color w:val="auto"/>
                <w:sz w:val="21"/>
                <w:szCs w:val="21"/>
                <w:highlight w:val="none"/>
                <w:vertAlign w:val="baseline"/>
                <w:lang w:eastAsia="zh-CN"/>
              </w:rPr>
              <w:t>污染控制难易程度</w:t>
            </w:r>
          </w:p>
        </w:tc>
        <w:tc>
          <w:tcPr>
            <w:tcW w:w="1508" w:type="dxa"/>
            <w:tcBorders>
              <w:tl2br w:val="nil"/>
              <w:tr2bl w:val="nil"/>
            </w:tcBorders>
            <w:noWrap w:val="0"/>
            <w:vAlign w:val="center"/>
          </w:tcPr>
          <w:p w14:paraId="68E67383">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eastAsia="宋体"/>
                <w:color w:val="auto"/>
                <w:sz w:val="21"/>
                <w:szCs w:val="21"/>
                <w:highlight w:val="none"/>
                <w:vertAlign w:val="baseline"/>
                <w:lang w:eastAsia="zh-CN"/>
              </w:rPr>
            </w:pPr>
            <w:r>
              <w:rPr>
                <w:rFonts w:hint="eastAsia" w:hAnsi="宋体"/>
                <w:color w:val="auto"/>
                <w:sz w:val="21"/>
                <w:szCs w:val="21"/>
                <w:highlight w:val="none"/>
                <w:vertAlign w:val="baseline"/>
                <w:lang w:eastAsia="zh-CN"/>
              </w:rPr>
              <w:t>天然包气带防污性能分级</w:t>
            </w:r>
          </w:p>
        </w:tc>
        <w:tc>
          <w:tcPr>
            <w:tcW w:w="1397" w:type="dxa"/>
            <w:tcBorders>
              <w:tl2br w:val="nil"/>
              <w:tr2bl w:val="nil"/>
            </w:tcBorders>
            <w:noWrap w:val="0"/>
            <w:vAlign w:val="center"/>
          </w:tcPr>
          <w:p w14:paraId="1566EFFA">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eastAsia="宋体"/>
                <w:color w:val="auto"/>
                <w:sz w:val="21"/>
                <w:szCs w:val="21"/>
                <w:highlight w:val="none"/>
                <w:vertAlign w:val="baseline"/>
                <w:lang w:eastAsia="zh-CN"/>
              </w:rPr>
            </w:pPr>
            <w:r>
              <w:rPr>
                <w:rFonts w:hint="eastAsia" w:hAnsi="宋体"/>
                <w:color w:val="auto"/>
                <w:sz w:val="21"/>
                <w:szCs w:val="21"/>
                <w:highlight w:val="none"/>
                <w:vertAlign w:val="baseline"/>
                <w:lang w:eastAsia="zh-CN"/>
              </w:rPr>
              <w:t>污染物类型</w:t>
            </w:r>
          </w:p>
        </w:tc>
        <w:tc>
          <w:tcPr>
            <w:tcW w:w="1056" w:type="dxa"/>
            <w:tcBorders>
              <w:tl2br w:val="nil"/>
              <w:tr2bl w:val="nil"/>
            </w:tcBorders>
            <w:noWrap w:val="0"/>
            <w:vAlign w:val="center"/>
          </w:tcPr>
          <w:p w14:paraId="2D8C5CFC">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eastAsia="宋体"/>
                <w:color w:val="auto"/>
                <w:sz w:val="21"/>
                <w:szCs w:val="21"/>
                <w:highlight w:val="none"/>
                <w:vertAlign w:val="baseline"/>
                <w:lang w:eastAsia="zh-CN"/>
              </w:rPr>
            </w:pPr>
            <w:r>
              <w:rPr>
                <w:rFonts w:hint="eastAsia" w:hAnsi="宋体"/>
                <w:color w:val="auto"/>
                <w:sz w:val="21"/>
                <w:szCs w:val="21"/>
                <w:highlight w:val="none"/>
                <w:vertAlign w:val="baseline"/>
                <w:lang w:eastAsia="zh-CN"/>
              </w:rPr>
              <w:t>防渗分区</w:t>
            </w:r>
          </w:p>
        </w:tc>
        <w:tc>
          <w:tcPr>
            <w:tcW w:w="1867" w:type="dxa"/>
            <w:tcBorders>
              <w:tl2br w:val="nil"/>
              <w:tr2bl w:val="nil"/>
            </w:tcBorders>
            <w:noWrap w:val="0"/>
            <w:vAlign w:val="center"/>
          </w:tcPr>
          <w:p w14:paraId="34DA9789">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eastAsia="宋体"/>
                <w:color w:val="auto"/>
                <w:sz w:val="21"/>
                <w:szCs w:val="21"/>
                <w:highlight w:val="none"/>
                <w:vertAlign w:val="baseline"/>
                <w:lang w:eastAsia="zh-CN"/>
              </w:rPr>
            </w:pPr>
            <w:r>
              <w:rPr>
                <w:rFonts w:hint="eastAsia" w:hAnsi="宋体"/>
                <w:color w:val="auto"/>
                <w:sz w:val="21"/>
                <w:szCs w:val="21"/>
                <w:highlight w:val="none"/>
                <w:vertAlign w:val="baseline"/>
                <w:lang w:eastAsia="zh-CN"/>
              </w:rPr>
              <w:t>防渗技术要求</w:t>
            </w:r>
          </w:p>
        </w:tc>
      </w:tr>
      <w:tr w14:paraId="59D64E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64" w:type="dxa"/>
            <w:tcBorders>
              <w:tl2br w:val="nil"/>
              <w:tr2bl w:val="nil"/>
            </w:tcBorders>
            <w:noWrap w:val="0"/>
            <w:vAlign w:val="center"/>
          </w:tcPr>
          <w:p w14:paraId="60924FB5">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eastAsia="宋体"/>
                <w:color w:val="auto"/>
                <w:sz w:val="21"/>
                <w:szCs w:val="21"/>
                <w:highlight w:val="none"/>
                <w:vertAlign w:val="baseline"/>
                <w:lang w:val="en-US" w:eastAsia="zh-CN"/>
              </w:rPr>
            </w:pPr>
            <w:r>
              <w:rPr>
                <w:rFonts w:hint="eastAsia" w:hAnsi="宋体" w:eastAsia="宋体"/>
                <w:color w:val="auto"/>
                <w:sz w:val="21"/>
                <w:szCs w:val="21"/>
                <w:highlight w:val="none"/>
                <w:vertAlign w:val="baseline"/>
                <w:lang w:val="en-US" w:eastAsia="zh-CN"/>
              </w:rPr>
              <w:t>1</w:t>
            </w:r>
          </w:p>
        </w:tc>
        <w:tc>
          <w:tcPr>
            <w:tcW w:w="1881" w:type="dxa"/>
            <w:tcBorders>
              <w:tl2br w:val="nil"/>
              <w:tr2bl w:val="nil"/>
            </w:tcBorders>
            <w:noWrap w:val="0"/>
            <w:vAlign w:val="center"/>
          </w:tcPr>
          <w:p w14:paraId="528D2A7F">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color w:val="auto"/>
                <w:sz w:val="21"/>
                <w:szCs w:val="21"/>
                <w:highlight w:val="none"/>
                <w:vertAlign w:val="baseline"/>
              </w:rPr>
            </w:pPr>
            <w:r>
              <w:rPr>
                <w:rFonts w:hint="eastAsia" w:hAnsi="宋体"/>
                <w:color w:val="auto"/>
                <w:sz w:val="21"/>
                <w:szCs w:val="21"/>
                <w:highlight w:val="none"/>
                <w:vertAlign w:val="baseline"/>
                <w:lang w:eastAsia="zh-CN"/>
              </w:rPr>
              <w:t>污水处理站</w:t>
            </w:r>
          </w:p>
        </w:tc>
        <w:tc>
          <w:tcPr>
            <w:tcW w:w="1113" w:type="dxa"/>
            <w:vMerge w:val="restart"/>
            <w:tcBorders>
              <w:tl2br w:val="nil"/>
              <w:tr2bl w:val="nil"/>
            </w:tcBorders>
            <w:noWrap w:val="0"/>
            <w:vAlign w:val="center"/>
          </w:tcPr>
          <w:p w14:paraId="6B146CA0">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eastAsia="宋体"/>
                <w:color w:val="auto"/>
                <w:sz w:val="21"/>
                <w:szCs w:val="21"/>
                <w:highlight w:val="none"/>
                <w:vertAlign w:val="baseline"/>
                <w:lang w:eastAsia="zh-CN"/>
              </w:rPr>
            </w:pPr>
            <w:r>
              <w:rPr>
                <w:rFonts w:hint="eastAsia" w:hAnsi="宋体" w:eastAsia="宋体"/>
                <w:color w:val="auto"/>
                <w:sz w:val="21"/>
                <w:szCs w:val="21"/>
                <w:highlight w:val="none"/>
                <w:vertAlign w:val="baseline"/>
                <w:lang w:eastAsia="zh-CN"/>
              </w:rPr>
              <w:t>难</w:t>
            </w:r>
          </w:p>
        </w:tc>
        <w:tc>
          <w:tcPr>
            <w:tcW w:w="1508" w:type="dxa"/>
            <w:vMerge w:val="restart"/>
            <w:tcBorders>
              <w:tl2br w:val="nil"/>
              <w:tr2bl w:val="nil"/>
            </w:tcBorders>
            <w:noWrap w:val="0"/>
            <w:vAlign w:val="center"/>
          </w:tcPr>
          <w:p w14:paraId="0C484955">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color w:val="auto"/>
                <w:sz w:val="21"/>
                <w:szCs w:val="21"/>
                <w:highlight w:val="none"/>
                <w:vertAlign w:val="baseline"/>
              </w:rPr>
            </w:pPr>
            <w:r>
              <w:rPr>
                <w:rFonts w:hint="eastAsia" w:hAnsi="宋体"/>
                <w:color w:val="auto"/>
                <w:sz w:val="21"/>
                <w:szCs w:val="21"/>
                <w:highlight w:val="none"/>
                <w:vertAlign w:val="baseline"/>
                <w:lang w:eastAsia="zh-CN"/>
              </w:rPr>
              <w:t>中</w:t>
            </w:r>
          </w:p>
        </w:tc>
        <w:tc>
          <w:tcPr>
            <w:tcW w:w="1397" w:type="dxa"/>
            <w:vMerge w:val="restart"/>
            <w:tcBorders>
              <w:tl2br w:val="nil"/>
              <w:tr2bl w:val="nil"/>
            </w:tcBorders>
            <w:noWrap w:val="0"/>
            <w:vAlign w:val="center"/>
          </w:tcPr>
          <w:p w14:paraId="31C9A25C">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color w:val="auto"/>
                <w:sz w:val="21"/>
                <w:szCs w:val="21"/>
                <w:highlight w:val="none"/>
                <w:vertAlign w:val="baseline"/>
              </w:rPr>
            </w:pPr>
            <w:r>
              <w:rPr>
                <w:rFonts w:hint="eastAsia" w:hAnsi="宋体"/>
                <w:color w:val="auto"/>
                <w:sz w:val="21"/>
                <w:szCs w:val="21"/>
                <w:highlight w:val="none"/>
                <w:vertAlign w:val="baseline"/>
                <w:lang w:eastAsia="zh-CN"/>
              </w:rPr>
              <w:t>危险废物</w:t>
            </w:r>
          </w:p>
        </w:tc>
        <w:tc>
          <w:tcPr>
            <w:tcW w:w="1056" w:type="dxa"/>
            <w:vMerge w:val="restart"/>
            <w:tcBorders>
              <w:tl2br w:val="nil"/>
              <w:tr2bl w:val="nil"/>
            </w:tcBorders>
            <w:noWrap w:val="0"/>
            <w:vAlign w:val="center"/>
          </w:tcPr>
          <w:p w14:paraId="7BBC9089">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eastAsia="宋体"/>
                <w:color w:val="auto"/>
                <w:sz w:val="21"/>
                <w:szCs w:val="21"/>
                <w:highlight w:val="none"/>
                <w:vertAlign w:val="baseline"/>
                <w:lang w:eastAsia="zh-CN"/>
              </w:rPr>
            </w:pPr>
            <w:r>
              <w:rPr>
                <w:rFonts w:hint="eastAsia" w:hAnsi="宋体"/>
                <w:color w:val="auto"/>
                <w:sz w:val="21"/>
                <w:szCs w:val="21"/>
                <w:highlight w:val="none"/>
                <w:vertAlign w:val="baseline"/>
                <w:lang w:eastAsia="zh-CN"/>
              </w:rPr>
              <w:t>重点</w:t>
            </w:r>
          </w:p>
        </w:tc>
        <w:tc>
          <w:tcPr>
            <w:tcW w:w="1867" w:type="dxa"/>
            <w:vMerge w:val="restart"/>
            <w:tcBorders>
              <w:tl2br w:val="nil"/>
              <w:tr2bl w:val="nil"/>
            </w:tcBorders>
            <w:noWrap w:val="0"/>
            <w:vAlign w:val="center"/>
          </w:tcPr>
          <w:p w14:paraId="6ABFD81A">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color w:val="auto"/>
                <w:sz w:val="21"/>
                <w:szCs w:val="21"/>
                <w:highlight w:val="none"/>
                <w:vertAlign w:val="baseline"/>
              </w:rPr>
            </w:pPr>
            <w:r>
              <w:rPr>
                <w:rFonts w:hint="default" w:ascii="Times New Roman" w:hAnsi="Times New Roman" w:cs="Times New Roman"/>
                <w:color w:val="auto"/>
                <w:sz w:val="21"/>
                <w:szCs w:val="21"/>
                <w:highlight w:val="none"/>
                <w:vertAlign w:val="baseline"/>
                <w:lang w:eastAsia="zh-CN"/>
              </w:rPr>
              <w:t>等效黏土防渗层</w:t>
            </w:r>
            <w:r>
              <w:rPr>
                <w:rFonts w:hint="default" w:ascii="Times New Roman" w:hAnsi="Times New Roman" w:cs="Times New Roman"/>
                <w:color w:val="auto"/>
                <w:sz w:val="21"/>
                <w:szCs w:val="21"/>
                <w:highlight w:val="none"/>
                <w:vertAlign w:val="baseline"/>
                <w:lang w:val="en-US" w:eastAsia="zh-CN"/>
              </w:rPr>
              <w:t>Mb</w:t>
            </w:r>
            <w:r>
              <w:rPr>
                <w:rFonts w:hint="default" w:ascii="Times New Roman" w:hAnsi="Times New Roman" w:eastAsia="微软雅黑" w:cs="Times New Roman"/>
                <w:color w:val="auto"/>
                <w:sz w:val="21"/>
                <w:szCs w:val="21"/>
                <w:highlight w:val="none"/>
                <w:vertAlign w:val="baseline"/>
                <w:lang w:val="en-US" w:eastAsia="zh-CN"/>
              </w:rPr>
              <w:t>≥</w:t>
            </w:r>
            <w:r>
              <w:rPr>
                <w:rFonts w:hint="eastAsia" w:eastAsia="微软雅黑" w:cs="Times New Roman"/>
                <w:color w:val="auto"/>
                <w:sz w:val="21"/>
                <w:szCs w:val="21"/>
                <w:highlight w:val="none"/>
                <w:vertAlign w:val="baseline"/>
                <w:lang w:val="en-US" w:eastAsia="zh-CN"/>
              </w:rPr>
              <w:t>6</w:t>
            </w:r>
            <w:r>
              <w:rPr>
                <w:rFonts w:hint="default" w:ascii="Times New Roman" w:hAnsi="Times New Roman" w:cs="Times New Roman"/>
                <w:color w:val="auto"/>
                <w:sz w:val="21"/>
                <w:szCs w:val="21"/>
                <w:highlight w:val="none"/>
                <w:vertAlign w:val="baseline"/>
                <w:lang w:val="en-US" w:eastAsia="zh-CN"/>
              </w:rPr>
              <w:t>m，K≤1×10</w:t>
            </w:r>
            <w:r>
              <w:rPr>
                <w:rFonts w:hint="default" w:ascii="Times New Roman" w:hAnsi="Times New Roman" w:cs="Times New Roman"/>
                <w:color w:val="auto"/>
                <w:sz w:val="21"/>
                <w:szCs w:val="21"/>
                <w:highlight w:val="none"/>
                <w:vertAlign w:val="superscript"/>
                <w:lang w:val="en-US" w:eastAsia="zh-CN"/>
              </w:rPr>
              <w:t>-7</w:t>
            </w:r>
            <w:r>
              <w:rPr>
                <w:rFonts w:hint="default" w:ascii="Times New Roman" w:hAnsi="Times New Roman" w:cs="Times New Roman"/>
                <w:color w:val="auto"/>
                <w:sz w:val="21"/>
                <w:szCs w:val="21"/>
                <w:highlight w:val="none"/>
                <w:vertAlign w:val="baseline"/>
                <w:lang w:val="en-US" w:eastAsia="zh-CN"/>
              </w:rPr>
              <w:t>cm/s</w:t>
            </w:r>
          </w:p>
        </w:tc>
      </w:tr>
      <w:tr w14:paraId="2D4252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464" w:type="dxa"/>
            <w:tcBorders>
              <w:tl2br w:val="nil"/>
              <w:tr2bl w:val="nil"/>
            </w:tcBorders>
            <w:noWrap w:val="0"/>
            <w:vAlign w:val="center"/>
          </w:tcPr>
          <w:p w14:paraId="43BA8E84">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eastAsia="宋体"/>
                <w:color w:val="auto"/>
                <w:sz w:val="21"/>
                <w:szCs w:val="21"/>
                <w:highlight w:val="none"/>
                <w:vertAlign w:val="baseline"/>
                <w:lang w:val="en-US" w:eastAsia="zh-CN"/>
              </w:rPr>
            </w:pPr>
            <w:r>
              <w:rPr>
                <w:rFonts w:hint="eastAsia" w:hAnsi="宋体" w:eastAsia="宋体"/>
                <w:color w:val="auto"/>
                <w:sz w:val="21"/>
                <w:szCs w:val="21"/>
                <w:highlight w:val="none"/>
                <w:vertAlign w:val="baseline"/>
                <w:lang w:val="en-US" w:eastAsia="zh-CN"/>
              </w:rPr>
              <w:t>2</w:t>
            </w:r>
          </w:p>
        </w:tc>
        <w:tc>
          <w:tcPr>
            <w:tcW w:w="1881" w:type="dxa"/>
            <w:tcBorders>
              <w:tl2br w:val="nil"/>
              <w:tr2bl w:val="nil"/>
            </w:tcBorders>
            <w:noWrap w:val="0"/>
            <w:vAlign w:val="center"/>
          </w:tcPr>
          <w:p w14:paraId="42E220E7">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color w:val="auto"/>
                <w:sz w:val="21"/>
                <w:szCs w:val="21"/>
                <w:highlight w:val="none"/>
                <w:vertAlign w:val="baseline"/>
                <w:lang w:eastAsia="zh-CN"/>
              </w:rPr>
            </w:pPr>
            <w:r>
              <w:rPr>
                <w:rFonts w:hint="eastAsia" w:hAnsi="宋体"/>
                <w:color w:val="auto"/>
                <w:sz w:val="21"/>
                <w:szCs w:val="21"/>
                <w:highlight w:val="none"/>
                <w:vertAlign w:val="baseline"/>
                <w:lang w:eastAsia="zh-CN"/>
              </w:rPr>
              <w:t>事故池</w:t>
            </w:r>
          </w:p>
        </w:tc>
        <w:tc>
          <w:tcPr>
            <w:tcW w:w="1113" w:type="dxa"/>
            <w:vMerge w:val="continue"/>
            <w:tcBorders>
              <w:tl2br w:val="nil"/>
              <w:tr2bl w:val="nil"/>
            </w:tcBorders>
            <w:noWrap w:val="0"/>
            <w:vAlign w:val="center"/>
          </w:tcPr>
          <w:p w14:paraId="5812C856">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color w:val="auto"/>
                <w:sz w:val="21"/>
                <w:szCs w:val="21"/>
                <w:highlight w:val="none"/>
                <w:vertAlign w:val="baseline"/>
                <w:lang w:eastAsia="zh-CN"/>
              </w:rPr>
            </w:pPr>
          </w:p>
        </w:tc>
        <w:tc>
          <w:tcPr>
            <w:tcW w:w="1508" w:type="dxa"/>
            <w:vMerge w:val="continue"/>
            <w:tcBorders>
              <w:tl2br w:val="nil"/>
              <w:tr2bl w:val="nil"/>
            </w:tcBorders>
            <w:noWrap w:val="0"/>
            <w:vAlign w:val="center"/>
          </w:tcPr>
          <w:p w14:paraId="4296D401">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color w:val="auto"/>
                <w:sz w:val="21"/>
                <w:szCs w:val="21"/>
                <w:highlight w:val="none"/>
                <w:vertAlign w:val="baseline"/>
                <w:lang w:eastAsia="zh-CN"/>
              </w:rPr>
            </w:pPr>
          </w:p>
        </w:tc>
        <w:tc>
          <w:tcPr>
            <w:tcW w:w="1397" w:type="dxa"/>
            <w:vMerge w:val="continue"/>
            <w:tcBorders>
              <w:tl2br w:val="nil"/>
              <w:tr2bl w:val="nil"/>
            </w:tcBorders>
            <w:noWrap w:val="0"/>
            <w:vAlign w:val="center"/>
          </w:tcPr>
          <w:p w14:paraId="55297401">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color w:val="auto"/>
                <w:sz w:val="21"/>
                <w:szCs w:val="21"/>
                <w:highlight w:val="none"/>
                <w:vertAlign w:val="baseline"/>
                <w:lang w:eastAsia="zh-CN"/>
              </w:rPr>
            </w:pPr>
          </w:p>
        </w:tc>
        <w:tc>
          <w:tcPr>
            <w:tcW w:w="1056" w:type="dxa"/>
            <w:vMerge w:val="continue"/>
            <w:tcBorders>
              <w:tl2br w:val="nil"/>
              <w:tr2bl w:val="nil"/>
            </w:tcBorders>
            <w:noWrap w:val="0"/>
            <w:vAlign w:val="center"/>
          </w:tcPr>
          <w:p w14:paraId="4EEA8CE9">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color w:val="auto"/>
                <w:sz w:val="21"/>
                <w:szCs w:val="21"/>
                <w:highlight w:val="none"/>
                <w:vertAlign w:val="baseline"/>
                <w:lang w:eastAsia="zh-CN"/>
              </w:rPr>
            </w:pPr>
          </w:p>
        </w:tc>
        <w:tc>
          <w:tcPr>
            <w:tcW w:w="1867" w:type="dxa"/>
            <w:vMerge w:val="continue"/>
            <w:tcBorders>
              <w:tl2br w:val="nil"/>
              <w:tr2bl w:val="nil"/>
            </w:tcBorders>
            <w:noWrap w:val="0"/>
            <w:vAlign w:val="center"/>
          </w:tcPr>
          <w:p w14:paraId="31EE8561">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default" w:ascii="Times New Roman" w:hAnsi="Times New Roman" w:cs="Times New Roman"/>
                <w:color w:val="auto"/>
                <w:sz w:val="21"/>
                <w:szCs w:val="21"/>
                <w:highlight w:val="none"/>
                <w:vertAlign w:val="baseline"/>
                <w:lang w:eastAsia="zh-CN"/>
              </w:rPr>
            </w:pPr>
          </w:p>
        </w:tc>
      </w:tr>
      <w:tr w14:paraId="6B4D0E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464" w:type="dxa"/>
            <w:tcBorders>
              <w:bottom w:val="single" w:color="000000" w:sz="4" w:space="0"/>
              <w:tl2br w:val="nil"/>
              <w:tr2bl w:val="nil"/>
            </w:tcBorders>
            <w:noWrap w:val="0"/>
            <w:vAlign w:val="center"/>
          </w:tcPr>
          <w:p w14:paraId="46F0B385">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eastAsia="宋体"/>
                <w:color w:val="auto"/>
                <w:sz w:val="21"/>
                <w:szCs w:val="21"/>
                <w:highlight w:val="none"/>
                <w:vertAlign w:val="baseline"/>
                <w:lang w:val="en-US" w:eastAsia="zh-CN"/>
              </w:rPr>
            </w:pPr>
            <w:r>
              <w:rPr>
                <w:rFonts w:hint="eastAsia" w:hAnsi="宋体" w:eastAsia="宋体"/>
                <w:color w:val="auto"/>
                <w:sz w:val="21"/>
                <w:szCs w:val="21"/>
                <w:highlight w:val="none"/>
                <w:vertAlign w:val="baseline"/>
                <w:lang w:val="en-US" w:eastAsia="zh-CN"/>
              </w:rPr>
              <w:t>3</w:t>
            </w:r>
          </w:p>
        </w:tc>
        <w:tc>
          <w:tcPr>
            <w:tcW w:w="1881" w:type="dxa"/>
            <w:tcBorders>
              <w:bottom w:val="single" w:color="000000" w:sz="4" w:space="0"/>
              <w:tl2br w:val="nil"/>
              <w:tr2bl w:val="nil"/>
            </w:tcBorders>
            <w:noWrap w:val="0"/>
            <w:vAlign w:val="center"/>
          </w:tcPr>
          <w:p w14:paraId="152C14B1">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color w:val="auto"/>
                <w:sz w:val="21"/>
                <w:szCs w:val="21"/>
                <w:highlight w:val="none"/>
                <w:vertAlign w:val="baseline"/>
                <w:lang w:eastAsia="zh-CN"/>
              </w:rPr>
            </w:pPr>
            <w:r>
              <w:rPr>
                <w:rFonts w:hint="eastAsia" w:hAnsi="宋体"/>
                <w:color w:val="auto"/>
                <w:sz w:val="21"/>
                <w:szCs w:val="21"/>
                <w:highlight w:val="none"/>
                <w:vertAlign w:val="baseline"/>
                <w:lang w:eastAsia="zh-CN"/>
              </w:rPr>
              <w:t>医疗废物暂存间</w:t>
            </w:r>
          </w:p>
        </w:tc>
        <w:tc>
          <w:tcPr>
            <w:tcW w:w="1113" w:type="dxa"/>
            <w:vMerge w:val="continue"/>
            <w:tcBorders>
              <w:bottom w:val="single" w:color="000000" w:sz="4" w:space="0"/>
              <w:tl2br w:val="nil"/>
              <w:tr2bl w:val="nil"/>
            </w:tcBorders>
            <w:noWrap w:val="0"/>
            <w:vAlign w:val="center"/>
          </w:tcPr>
          <w:p w14:paraId="39C40DA0">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color w:val="auto"/>
                <w:sz w:val="21"/>
                <w:szCs w:val="21"/>
                <w:highlight w:val="none"/>
                <w:vertAlign w:val="baseline"/>
                <w:lang w:eastAsia="zh-CN"/>
              </w:rPr>
            </w:pPr>
          </w:p>
        </w:tc>
        <w:tc>
          <w:tcPr>
            <w:tcW w:w="1508" w:type="dxa"/>
            <w:vMerge w:val="continue"/>
            <w:tcBorders>
              <w:bottom w:val="single" w:color="000000" w:sz="4" w:space="0"/>
              <w:tl2br w:val="nil"/>
              <w:tr2bl w:val="nil"/>
            </w:tcBorders>
            <w:noWrap w:val="0"/>
            <w:vAlign w:val="center"/>
          </w:tcPr>
          <w:p w14:paraId="290352B9">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color w:val="auto"/>
                <w:sz w:val="21"/>
                <w:szCs w:val="21"/>
                <w:highlight w:val="none"/>
                <w:vertAlign w:val="baseline"/>
                <w:lang w:eastAsia="zh-CN"/>
              </w:rPr>
            </w:pPr>
          </w:p>
        </w:tc>
        <w:tc>
          <w:tcPr>
            <w:tcW w:w="1397" w:type="dxa"/>
            <w:vMerge w:val="continue"/>
            <w:tcBorders>
              <w:bottom w:val="single" w:color="000000" w:sz="4" w:space="0"/>
              <w:tl2br w:val="nil"/>
              <w:tr2bl w:val="nil"/>
            </w:tcBorders>
            <w:noWrap w:val="0"/>
            <w:vAlign w:val="center"/>
          </w:tcPr>
          <w:p w14:paraId="044C99EB">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color w:val="auto"/>
                <w:sz w:val="21"/>
                <w:szCs w:val="21"/>
                <w:highlight w:val="none"/>
                <w:vertAlign w:val="baseline"/>
                <w:lang w:eastAsia="zh-CN"/>
              </w:rPr>
            </w:pPr>
          </w:p>
        </w:tc>
        <w:tc>
          <w:tcPr>
            <w:tcW w:w="1056" w:type="dxa"/>
            <w:vMerge w:val="continue"/>
            <w:tcBorders>
              <w:bottom w:val="single" w:color="000000" w:sz="4" w:space="0"/>
              <w:tl2br w:val="nil"/>
              <w:tr2bl w:val="nil"/>
            </w:tcBorders>
            <w:noWrap w:val="0"/>
            <w:vAlign w:val="center"/>
          </w:tcPr>
          <w:p w14:paraId="6AB2A815">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color w:val="auto"/>
                <w:sz w:val="21"/>
                <w:szCs w:val="21"/>
                <w:highlight w:val="none"/>
                <w:vertAlign w:val="baseline"/>
                <w:lang w:eastAsia="zh-CN"/>
              </w:rPr>
            </w:pPr>
          </w:p>
        </w:tc>
        <w:tc>
          <w:tcPr>
            <w:tcW w:w="1867" w:type="dxa"/>
            <w:vMerge w:val="continue"/>
            <w:tcBorders>
              <w:bottom w:val="single" w:color="000000" w:sz="4" w:space="0"/>
              <w:tl2br w:val="nil"/>
              <w:tr2bl w:val="nil"/>
            </w:tcBorders>
            <w:noWrap w:val="0"/>
            <w:vAlign w:val="center"/>
          </w:tcPr>
          <w:p w14:paraId="65113EEA">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default" w:ascii="Times New Roman" w:hAnsi="Times New Roman" w:cs="Times New Roman"/>
                <w:color w:val="auto"/>
                <w:sz w:val="21"/>
                <w:szCs w:val="21"/>
                <w:highlight w:val="none"/>
                <w:vertAlign w:val="baseline"/>
                <w:lang w:eastAsia="zh-CN"/>
              </w:rPr>
            </w:pPr>
          </w:p>
        </w:tc>
      </w:tr>
      <w:tr w14:paraId="54511E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464" w:type="dxa"/>
            <w:tcBorders>
              <w:top w:val="single" w:color="000000" w:sz="4" w:space="0"/>
              <w:tl2br w:val="nil"/>
              <w:tr2bl w:val="nil"/>
            </w:tcBorders>
            <w:noWrap w:val="0"/>
            <w:vAlign w:val="center"/>
          </w:tcPr>
          <w:p w14:paraId="1EE42CDF">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eastAsia="宋体"/>
                <w:color w:val="auto"/>
                <w:sz w:val="21"/>
                <w:szCs w:val="21"/>
                <w:highlight w:val="none"/>
                <w:vertAlign w:val="baseline"/>
                <w:lang w:val="en-US" w:eastAsia="zh-CN"/>
              </w:rPr>
            </w:pPr>
            <w:r>
              <w:rPr>
                <w:rFonts w:hint="eastAsia" w:hAnsi="宋体" w:eastAsia="宋体"/>
                <w:color w:val="auto"/>
                <w:sz w:val="21"/>
                <w:szCs w:val="21"/>
                <w:highlight w:val="none"/>
                <w:vertAlign w:val="baseline"/>
                <w:lang w:val="en-US" w:eastAsia="zh-CN"/>
              </w:rPr>
              <w:t>4</w:t>
            </w:r>
          </w:p>
        </w:tc>
        <w:tc>
          <w:tcPr>
            <w:tcW w:w="1881" w:type="dxa"/>
            <w:tcBorders>
              <w:top w:val="single" w:color="000000" w:sz="4" w:space="0"/>
              <w:tl2br w:val="nil"/>
              <w:tr2bl w:val="nil"/>
            </w:tcBorders>
            <w:noWrap w:val="0"/>
            <w:vAlign w:val="center"/>
          </w:tcPr>
          <w:p w14:paraId="467399F2">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color w:val="auto"/>
                <w:sz w:val="21"/>
                <w:szCs w:val="21"/>
                <w:highlight w:val="none"/>
                <w:vertAlign w:val="baseline"/>
                <w:lang w:eastAsia="zh-CN"/>
              </w:rPr>
            </w:pPr>
            <w:r>
              <w:rPr>
                <w:rFonts w:hint="eastAsia" w:hAnsi="宋体"/>
                <w:color w:val="auto"/>
                <w:sz w:val="21"/>
                <w:szCs w:val="21"/>
                <w:highlight w:val="none"/>
                <w:vertAlign w:val="baseline"/>
                <w:lang w:eastAsia="zh-CN"/>
              </w:rPr>
              <w:t>库房</w:t>
            </w:r>
          </w:p>
        </w:tc>
        <w:tc>
          <w:tcPr>
            <w:tcW w:w="1113" w:type="dxa"/>
            <w:tcBorders>
              <w:top w:val="single" w:color="000000" w:sz="4" w:space="0"/>
              <w:tl2br w:val="nil"/>
              <w:tr2bl w:val="nil"/>
            </w:tcBorders>
            <w:noWrap w:val="0"/>
            <w:vAlign w:val="center"/>
          </w:tcPr>
          <w:p w14:paraId="5288E1EB">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hAnsi="宋体"/>
                <w:color w:val="auto"/>
                <w:sz w:val="21"/>
                <w:szCs w:val="21"/>
                <w:highlight w:val="none"/>
                <w:vertAlign w:val="baseline"/>
                <w:lang w:eastAsia="zh-CN"/>
              </w:rPr>
            </w:pPr>
            <w:r>
              <w:rPr>
                <w:rFonts w:hint="eastAsia" w:hAnsi="宋体" w:eastAsia="宋体"/>
                <w:color w:val="auto"/>
                <w:sz w:val="21"/>
                <w:szCs w:val="21"/>
                <w:highlight w:val="none"/>
                <w:vertAlign w:val="baseline"/>
                <w:lang w:eastAsia="zh-CN"/>
              </w:rPr>
              <w:t>难</w:t>
            </w:r>
          </w:p>
        </w:tc>
        <w:tc>
          <w:tcPr>
            <w:tcW w:w="1508" w:type="dxa"/>
            <w:tcBorders>
              <w:top w:val="single" w:color="000000" w:sz="4" w:space="0"/>
              <w:tl2br w:val="nil"/>
              <w:tr2bl w:val="nil"/>
            </w:tcBorders>
            <w:noWrap w:val="0"/>
            <w:vAlign w:val="center"/>
          </w:tcPr>
          <w:p w14:paraId="37041E74">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hAnsi="宋体"/>
                <w:color w:val="auto"/>
                <w:sz w:val="21"/>
                <w:szCs w:val="21"/>
                <w:highlight w:val="none"/>
                <w:vertAlign w:val="baseline"/>
                <w:lang w:eastAsia="zh-CN"/>
              </w:rPr>
            </w:pPr>
            <w:r>
              <w:rPr>
                <w:rFonts w:hint="eastAsia" w:hAnsi="宋体"/>
                <w:color w:val="auto"/>
                <w:sz w:val="21"/>
                <w:szCs w:val="21"/>
                <w:highlight w:val="none"/>
                <w:vertAlign w:val="baseline"/>
                <w:lang w:eastAsia="zh-CN"/>
              </w:rPr>
              <w:t>中</w:t>
            </w:r>
          </w:p>
        </w:tc>
        <w:tc>
          <w:tcPr>
            <w:tcW w:w="1397" w:type="dxa"/>
            <w:vMerge w:val="restart"/>
            <w:tcBorders>
              <w:top w:val="single" w:color="000000" w:sz="4" w:space="0"/>
              <w:tl2br w:val="nil"/>
              <w:tr2bl w:val="nil"/>
            </w:tcBorders>
            <w:noWrap w:val="0"/>
            <w:vAlign w:val="center"/>
          </w:tcPr>
          <w:p w14:paraId="0474AE47">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hAnsi="宋体" w:eastAsia="宋体"/>
                <w:color w:val="auto"/>
                <w:sz w:val="21"/>
                <w:szCs w:val="21"/>
                <w:highlight w:val="none"/>
                <w:vertAlign w:val="baseline"/>
                <w:lang w:eastAsia="zh-CN"/>
              </w:rPr>
            </w:pPr>
            <w:r>
              <w:rPr>
                <w:rFonts w:hint="eastAsia" w:hAnsi="宋体"/>
                <w:color w:val="auto"/>
                <w:sz w:val="21"/>
                <w:szCs w:val="21"/>
                <w:highlight w:val="none"/>
                <w:vertAlign w:val="baseline"/>
                <w:lang w:eastAsia="zh-CN"/>
              </w:rPr>
              <w:t>其他类型</w:t>
            </w:r>
          </w:p>
        </w:tc>
        <w:tc>
          <w:tcPr>
            <w:tcW w:w="1056" w:type="dxa"/>
            <w:tcBorders>
              <w:top w:val="single" w:color="000000" w:sz="4" w:space="0"/>
              <w:tl2br w:val="nil"/>
              <w:tr2bl w:val="nil"/>
            </w:tcBorders>
            <w:noWrap w:val="0"/>
            <w:vAlign w:val="center"/>
          </w:tcPr>
          <w:p w14:paraId="51E0BAD5">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color w:val="auto"/>
                <w:sz w:val="21"/>
                <w:szCs w:val="21"/>
                <w:highlight w:val="none"/>
                <w:vertAlign w:val="baseline"/>
                <w:lang w:eastAsia="zh-CN"/>
              </w:rPr>
            </w:pPr>
            <w:r>
              <w:rPr>
                <w:rFonts w:hint="eastAsia" w:hAnsi="宋体"/>
                <w:color w:val="auto"/>
                <w:sz w:val="21"/>
                <w:szCs w:val="21"/>
                <w:highlight w:val="none"/>
                <w:vertAlign w:val="baseline"/>
                <w:lang w:eastAsia="zh-CN"/>
              </w:rPr>
              <w:t>一般</w:t>
            </w:r>
          </w:p>
        </w:tc>
        <w:tc>
          <w:tcPr>
            <w:tcW w:w="1867" w:type="dxa"/>
            <w:tcBorders>
              <w:top w:val="single" w:color="000000" w:sz="4" w:space="0"/>
              <w:tl2br w:val="nil"/>
              <w:tr2bl w:val="nil"/>
            </w:tcBorders>
            <w:noWrap w:val="0"/>
            <w:vAlign w:val="center"/>
          </w:tcPr>
          <w:p w14:paraId="12C387A6">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default" w:ascii="Times New Roman" w:hAnsi="Times New Roman" w:cs="Times New Roman"/>
                <w:color w:val="auto"/>
                <w:sz w:val="21"/>
                <w:szCs w:val="21"/>
                <w:highlight w:val="none"/>
                <w:vertAlign w:val="baseline"/>
                <w:lang w:eastAsia="zh-CN"/>
              </w:rPr>
            </w:pPr>
            <w:r>
              <w:rPr>
                <w:rFonts w:hint="default" w:ascii="Times New Roman" w:hAnsi="Times New Roman" w:cs="Times New Roman"/>
                <w:color w:val="auto"/>
                <w:sz w:val="21"/>
                <w:szCs w:val="21"/>
                <w:highlight w:val="none"/>
                <w:vertAlign w:val="baseline"/>
                <w:lang w:eastAsia="zh-CN"/>
              </w:rPr>
              <w:t>等效黏土防渗层</w:t>
            </w:r>
            <w:r>
              <w:rPr>
                <w:rFonts w:hint="default" w:ascii="Times New Roman" w:hAnsi="Times New Roman" w:cs="Times New Roman"/>
                <w:color w:val="auto"/>
                <w:sz w:val="21"/>
                <w:szCs w:val="21"/>
                <w:highlight w:val="none"/>
                <w:vertAlign w:val="baseline"/>
                <w:lang w:val="en-US" w:eastAsia="zh-CN"/>
              </w:rPr>
              <w:t>Mb</w:t>
            </w:r>
            <w:r>
              <w:rPr>
                <w:rFonts w:hint="default" w:ascii="Times New Roman" w:hAnsi="Times New Roman" w:eastAsia="微软雅黑" w:cs="Times New Roman"/>
                <w:color w:val="auto"/>
                <w:sz w:val="21"/>
                <w:szCs w:val="21"/>
                <w:highlight w:val="none"/>
                <w:vertAlign w:val="baseline"/>
                <w:lang w:val="en-US" w:eastAsia="zh-CN"/>
              </w:rPr>
              <w:t>≥</w:t>
            </w:r>
            <w:r>
              <w:rPr>
                <w:rFonts w:hint="default" w:ascii="Times New Roman" w:hAnsi="Times New Roman" w:cs="Times New Roman"/>
                <w:color w:val="auto"/>
                <w:sz w:val="21"/>
                <w:szCs w:val="21"/>
                <w:highlight w:val="none"/>
                <w:vertAlign w:val="baseline"/>
                <w:lang w:val="en-US" w:eastAsia="zh-CN"/>
              </w:rPr>
              <w:t>1.5m，K≤1×10</w:t>
            </w:r>
            <w:r>
              <w:rPr>
                <w:rFonts w:hint="default" w:ascii="Times New Roman" w:hAnsi="Times New Roman" w:cs="Times New Roman"/>
                <w:color w:val="auto"/>
                <w:sz w:val="21"/>
                <w:szCs w:val="21"/>
                <w:highlight w:val="none"/>
                <w:vertAlign w:val="superscript"/>
                <w:lang w:val="en-US" w:eastAsia="zh-CN"/>
              </w:rPr>
              <w:t>-7</w:t>
            </w:r>
            <w:r>
              <w:rPr>
                <w:rFonts w:hint="default" w:ascii="Times New Roman" w:hAnsi="Times New Roman" w:cs="Times New Roman"/>
                <w:color w:val="auto"/>
                <w:sz w:val="21"/>
                <w:szCs w:val="21"/>
                <w:highlight w:val="none"/>
                <w:vertAlign w:val="baseline"/>
                <w:lang w:val="en-US" w:eastAsia="zh-CN"/>
              </w:rPr>
              <w:t>cm/s</w:t>
            </w:r>
          </w:p>
        </w:tc>
      </w:tr>
      <w:tr w14:paraId="53FFFE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tcBorders>
              <w:tl2br w:val="nil"/>
              <w:tr2bl w:val="nil"/>
            </w:tcBorders>
            <w:noWrap w:val="0"/>
            <w:vAlign w:val="center"/>
          </w:tcPr>
          <w:p w14:paraId="18748E9D">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hAnsi="宋体" w:eastAsia="宋体"/>
                <w:color w:val="auto"/>
                <w:sz w:val="21"/>
                <w:szCs w:val="21"/>
                <w:highlight w:val="none"/>
                <w:vertAlign w:val="baseline"/>
                <w:lang w:val="en-US" w:eastAsia="zh-CN"/>
              </w:rPr>
            </w:pPr>
            <w:r>
              <w:rPr>
                <w:rFonts w:hint="eastAsia" w:hAnsi="宋体" w:eastAsia="宋体"/>
                <w:color w:val="auto"/>
                <w:sz w:val="21"/>
                <w:szCs w:val="21"/>
                <w:highlight w:val="none"/>
                <w:vertAlign w:val="baseline"/>
                <w:lang w:val="en-US" w:eastAsia="zh-CN"/>
              </w:rPr>
              <w:t>5</w:t>
            </w:r>
          </w:p>
        </w:tc>
        <w:tc>
          <w:tcPr>
            <w:tcW w:w="1881" w:type="dxa"/>
            <w:tcBorders>
              <w:tl2br w:val="nil"/>
              <w:tr2bl w:val="nil"/>
            </w:tcBorders>
            <w:noWrap w:val="0"/>
            <w:vAlign w:val="center"/>
          </w:tcPr>
          <w:p w14:paraId="48FF4AEF">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hAnsi="宋体" w:eastAsia="宋体"/>
                <w:color w:val="auto"/>
                <w:sz w:val="21"/>
                <w:szCs w:val="21"/>
                <w:highlight w:val="none"/>
                <w:vertAlign w:val="baseline"/>
                <w:lang w:eastAsia="zh-CN"/>
              </w:rPr>
            </w:pPr>
            <w:r>
              <w:rPr>
                <w:rFonts w:hint="eastAsia" w:hAnsi="宋体"/>
                <w:color w:val="auto"/>
                <w:sz w:val="21"/>
                <w:szCs w:val="21"/>
                <w:highlight w:val="none"/>
                <w:vertAlign w:val="baseline"/>
                <w:lang w:eastAsia="zh-CN"/>
              </w:rPr>
              <w:t>医院大楼</w:t>
            </w:r>
          </w:p>
        </w:tc>
        <w:tc>
          <w:tcPr>
            <w:tcW w:w="1113" w:type="dxa"/>
            <w:tcBorders>
              <w:tl2br w:val="nil"/>
              <w:tr2bl w:val="nil"/>
            </w:tcBorders>
            <w:noWrap w:val="0"/>
            <w:vAlign w:val="center"/>
          </w:tcPr>
          <w:p w14:paraId="6E6D8F3C">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hAnsi="宋体" w:eastAsia="宋体"/>
                <w:color w:val="auto"/>
                <w:sz w:val="21"/>
                <w:szCs w:val="21"/>
                <w:highlight w:val="none"/>
                <w:vertAlign w:val="baseline"/>
                <w:lang w:eastAsia="zh-CN"/>
              </w:rPr>
            </w:pPr>
            <w:r>
              <w:rPr>
                <w:rFonts w:hint="eastAsia" w:hAnsi="宋体"/>
                <w:color w:val="auto"/>
                <w:sz w:val="21"/>
                <w:szCs w:val="21"/>
                <w:highlight w:val="none"/>
                <w:vertAlign w:val="baseline"/>
                <w:lang w:eastAsia="zh-CN"/>
              </w:rPr>
              <w:t>易</w:t>
            </w:r>
          </w:p>
        </w:tc>
        <w:tc>
          <w:tcPr>
            <w:tcW w:w="1508" w:type="dxa"/>
            <w:tcBorders>
              <w:tl2br w:val="nil"/>
              <w:tr2bl w:val="nil"/>
            </w:tcBorders>
            <w:noWrap w:val="0"/>
            <w:vAlign w:val="center"/>
          </w:tcPr>
          <w:p w14:paraId="4B7CB098">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hAnsi="宋体" w:eastAsia="宋体"/>
                <w:color w:val="auto"/>
                <w:sz w:val="21"/>
                <w:szCs w:val="21"/>
                <w:highlight w:val="none"/>
                <w:vertAlign w:val="baseline"/>
                <w:lang w:eastAsia="zh-CN"/>
              </w:rPr>
            </w:pPr>
            <w:r>
              <w:rPr>
                <w:rFonts w:hint="eastAsia" w:hAnsi="宋体"/>
                <w:color w:val="auto"/>
                <w:sz w:val="21"/>
                <w:szCs w:val="21"/>
                <w:highlight w:val="none"/>
                <w:vertAlign w:val="baseline"/>
                <w:lang w:eastAsia="zh-CN"/>
              </w:rPr>
              <w:t>中</w:t>
            </w:r>
          </w:p>
        </w:tc>
        <w:tc>
          <w:tcPr>
            <w:tcW w:w="1397" w:type="dxa"/>
            <w:vMerge w:val="continue"/>
            <w:tcBorders>
              <w:tl2br w:val="nil"/>
              <w:tr2bl w:val="nil"/>
            </w:tcBorders>
            <w:noWrap w:val="0"/>
            <w:vAlign w:val="center"/>
          </w:tcPr>
          <w:p w14:paraId="24A05FD1">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hAnsi="宋体" w:eastAsia="宋体"/>
                <w:color w:val="auto"/>
                <w:sz w:val="21"/>
                <w:szCs w:val="21"/>
                <w:highlight w:val="none"/>
                <w:vertAlign w:val="baseline"/>
                <w:lang w:eastAsia="zh-CN"/>
              </w:rPr>
            </w:pPr>
          </w:p>
        </w:tc>
        <w:tc>
          <w:tcPr>
            <w:tcW w:w="1056" w:type="dxa"/>
            <w:tcBorders>
              <w:top w:val="single" w:color="000000" w:sz="4" w:space="0"/>
              <w:tl2br w:val="nil"/>
              <w:tr2bl w:val="nil"/>
            </w:tcBorders>
            <w:noWrap w:val="0"/>
            <w:vAlign w:val="center"/>
          </w:tcPr>
          <w:p w14:paraId="03CB83A0">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outlineLvl w:val="9"/>
              <w:rPr>
                <w:rFonts w:hint="eastAsia" w:hAnsi="宋体" w:eastAsia="宋体"/>
                <w:color w:val="auto"/>
                <w:sz w:val="21"/>
                <w:szCs w:val="21"/>
                <w:highlight w:val="none"/>
                <w:vertAlign w:val="baseline"/>
                <w:lang w:eastAsia="zh-CN"/>
              </w:rPr>
            </w:pPr>
            <w:r>
              <w:rPr>
                <w:rFonts w:hint="eastAsia" w:hAnsi="宋体"/>
                <w:color w:val="auto"/>
                <w:sz w:val="21"/>
                <w:szCs w:val="21"/>
                <w:highlight w:val="none"/>
                <w:vertAlign w:val="baseline"/>
                <w:lang w:eastAsia="zh-CN"/>
              </w:rPr>
              <w:t>简单</w:t>
            </w:r>
          </w:p>
        </w:tc>
        <w:tc>
          <w:tcPr>
            <w:tcW w:w="1867" w:type="dxa"/>
            <w:tcBorders>
              <w:tl2br w:val="nil"/>
              <w:tr2bl w:val="nil"/>
            </w:tcBorders>
            <w:noWrap w:val="0"/>
            <w:vAlign w:val="center"/>
          </w:tcPr>
          <w:p w14:paraId="6528E197">
            <w:pPr>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outlineLvl w:val="9"/>
              <w:rPr>
                <w:rFonts w:hint="eastAsia" w:hAnsi="宋体" w:eastAsia="宋体"/>
                <w:color w:val="auto"/>
                <w:sz w:val="21"/>
                <w:szCs w:val="21"/>
                <w:highlight w:val="none"/>
                <w:vertAlign w:val="baseline"/>
                <w:lang w:eastAsia="zh-CN"/>
              </w:rPr>
            </w:pPr>
            <w:r>
              <w:rPr>
                <w:rFonts w:hint="eastAsia" w:hAnsi="宋体"/>
                <w:color w:val="auto"/>
                <w:sz w:val="21"/>
                <w:szCs w:val="21"/>
                <w:highlight w:val="none"/>
                <w:vertAlign w:val="baseline"/>
                <w:lang w:eastAsia="zh-CN"/>
              </w:rPr>
              <w:t>一般地面硬化</w:t>
            </w:r>
          </w:p>
        </w:tc>
      </w:tr>
    </w:tbl>
    <w:p w14:paraId="176FE12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480"/>
        <w:textAlignment w:val="auto"/>
        <w:outlineLvl w:val="9"/>
        <w:rPr>
          <w:rFonts w:hint="eastAsia" w:hAnsi="宋体"/>
          <w:color w:val="auto"/>
          <w:sz w:val="24"/>
          <w:szCs w:val="24"/>
          <w:highlight w:val="none"/>
          <w:lang w:val="en-US" w:eastAsia="zh-CN"/>
        </w:rPr>
      </w:pPr>
      <w:r>
        <w:rPr>
          <w:rFonts w:hint="eastAsia" w:hAnsi="宋体"/>
          <w:color w:val="auto"/>
          <w:sz w:val="24"/>
          <w:szCs w:val="24"/>
          <w:highlight w:val="none"/>
          <w:lang w:val="en-US" w:eastAsia="zh-CN"/>
        </w:rPr>
        <w:t>综上所述，在建设单位采取以上分区土壤及地面硬化、防腐等措施后，可有效防止和避免项目对地下水和土壤的污染。</w:t>
      </w:r>
    </w:p>
    <w:p w14:paraId="34ABD4CF">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hAnsi="宋体"/>
          <w:color w:val="auto"/>
          <w:kern w:val="2"/>
          <w:sz w:val="24"/>
          <w:szCs w:val="24"/>
          <w:highlight w:val="none"/>
          <w:lang w:val="en-US" w:eastAsia="zh-CN" w:bidi="ar-SA"/>
        </w:rPr>
      </w:pPr>
      <w:r>
        <w:rPr>
          <w:rFonts w:hint="eastAsia" w:hAnsi="宋体"/>
          <w:color w:val="auto"/>
          <w:kern w:val="2"/>
          <w:sz w:val="24"/>
          <w:szCs w:val="24"/>
          <w:highlight w:val="none"/>
          <w:lang w:val="en-US" w:eastAsia="zh-CN" w:bidi="ar-SA"/>
        </w:rPr>
        <w:t>本次评价为防止运营期间对区域地下水造成污染，要求做到以下几点：</w:t>
      </w:r>
    </w:p>
    <w:p w14:paraId="3654E5F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outlineLvl w:val="9"/>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①在项目设计、施工、运行过程中，重视对地下水及土壤的保护，从源头到末端全方位采取地下水及土壤污染控制措施。</w:t>
      </w:r>
    </w:p>
    <w:p w14:paraId="12D38FC8">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②院区内污水的输送采用管道输送，并做好管道连接，防止管道的跑冒滴漏；</w:t>
      </w:r>
    </w:p>
    <w:p w14:paraId="1A16DD05">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hAnsi="宋体"/>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③</w:t>
      </w:r>
      <w:r>
        <w:rPr>
          <w:rFonts w:hint="eastAsia" w:hAnsi="宋体"/>
          <w:color w:val="auto"/>
          <w:kern w:val="2"/>
          <w:sz w:val="24"/>
          <w:szCs w:val="24"/>
          <w:highlight w:val="none"/>
          <w:lang w:val="en-US" w:eastAsia="zh-CN" w:bidi="ar-SA"/>
        </w:rPr>
        <w:t>做好防渗工作。污水处理设施、事故池做好防渗层，采用HDPE膜防渗，杜绝污水处理设施中的水向地下水泄漏</w:t>
      </w:r>
      <w:r>
        <w:rPr>
          <w:rFonts w:hint="eastAsia" w:ascii="Times New Roman" w:hAnsi="宋体" w:eastAsia="宋体" w:cs="Times New Roman"/>
          <w:color w:val="auto"/>
          <w:kern w:val="2"/>
          <w:sz w:val="24"/>
          <w:szCs w:val="24"/>
          <w:highlight w:val="none"/>
          <w:lang w:val="en-US" w:eastAsia="zh-CN" w:bidi="ar-SA"/>
        </w:rPr>
        <w:t>，库房水泥地面防渗，</w:t>
      </w:r>
      <w:r>
        <w:rPr>
          <w:rFonts w:hint="eastAsia" w:hAnsi="宋体"/>
          <w:color w:val="auto"/>
          <w:kern w:val="2"/>
          <w:sz w:val="24"/>
          <w:szCs w:val="24"/>
          <w:highlight w:val="none"/>
          <w:lang w:val="en-US" w:eastAsia="zh-CN" w:bidi="ar-SA"/>
        </w:rPr>
        <w:t>医疗废物暂存间地面与裙角均采用防渗混凝土建造，有耐腐蚀的硬化地面，确保地面无裂缝。并由专人管理和维护，符合《危险废物贮存污染控制标准》（GB18597-2001）的要求。</w:t>
      </w:r>
    </w:p>
    <w:p w14:paraId="5E830548">
      <w:pPr>
        <w:pStyle w:val="2"/>
        <w:keepNext w:val="0"/>
        <w:keepLines w:val="0"/>
        <w:pageBreakBefore w:val="0"/>
        <w:widowControl w:val="0"/>
        <w:kinsoku/>
        <w:wordWrap/>
        <w:overflowPunct/>
        <w:topLinePunct w:val="0"/>
        <w:autoSpaceDE/>
        <w:autoSpaceDN/>
        <w:bidi w:val="0"/>
        <w:adjustRightInd w:val="0"/>
        <w:snapToGrid w:val="0"/>
        <w:spacing w:after="0" w:afterLines="0" w:line="360" w:lineRule="auto"/>
        <w:ind w:left="0" w:leftChars="0" w:firstLine="480" w:firstLineChars="200"/>
        <w:textAlignment w:val="auto"/>
        <w:outlineLvl w:val="9"/>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④</w:t>
      </w:r>
      <w:r>
        <w:rPr>
          <w:rFonts w:hint="default" w:ascii="Times New Roman" w:hAnsi="Times New Roman" w:cs="Times New Roman"/>
          <w:color w:val="auto"/>
          <w:sz w:val="24"/>
          <w:szCs w:val="24"/>
          <w:highlight w:val="none"/>
          <w:lang w:val="en-US" w:eastAsia="zh-CN"/>
        </w:rPr>
        <w:t>在设计过程中，应考虑对有害物质可能泄漏到地面的区域采取有针对性的防渗措施，防止洒落地面的污染物渗入地下水中。</w:t>
      </w:r>
    </w:p>
    <w:p w14:paraId="15A4EDD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outlineLvl w:val="9"/>
        <w:rPr>
          <w:rFonts w:hint="default" w:ascii="Times New Roman" w:hAnsi="Times New Roman" w:cs="Times New Roman"/>
          <w:color w:val="auto"/>
          <w:sz w:val="24"/>
          <w:szCs w:val="24"/>
          <w:highlight w:val="none"/>
          <w:lang w:val="en-US" w:eastAsia="zh-CN"/>
        </w:rPr>
      </w:pPr>
      <w:r>
        <w:rPr>
          <w:rFonts w:hint="default" w:ascii="Times New Roman" w:hAnsi="Times New Roman" w:eastAsia="微软雅黑" w:cs="Times New Roman"/>
          <w:color w:val="auto"/>
          <w:sz w:val="24"/>
          <w:szCs w:val="24"/>
          <w:highlight w:val="none"/>
          <w:lang w:val="en-US" w:eastAsia="zh-CN"/>
        </w:rPr>
        <w:t>⑤</w:t>
      </w:r>
      <w:r>
        <w:rPr>
          <w:rFonts w:hint="default" w:ascii="Times New Roman" w:hAnsi="Times New Roman" w:cs="Times New Roman"/>
          <w:color w:val="auto"/>
          <w:sz w:val="24"/>
          <w:szCs w:val="24"/>
          <w:highlight w:val="none"/>
          <w:lang w:val="en-US" w:eastAsia="zh-CN"/>
        </w:rPr>
        <w:t>建立完善、高效的应急响应措施，一旦发现水污染事故，立即启动应急预案、采取应急措施控制污染，并使污染得到治理，将污染物泄漏的</w:t>
      </w:r>
      <w:r>
        <w:rPr>
          <w:rFonts w:hint="eastAsia" w:cs="Times New Roman"/>
          <w:color w:val="auto"/>
          <w:sz w:val="24"/>
          <w:szCs w:val="24"/>
          <w:highlight w:val="none"/>
          <w:lang w:val="en-US" w:eastAsia="zh-CN"/>
        </w:rPr>
        <w:t>环</w:t>
      </w:r>
      <w:r>
        <w:rPr>
          <w:rFonts w:hint="default" w:ascii="Times New Roman" w:hAnsi="Times New Roman" w:cs="Times New Roman"/>
          <w:color w:val="auto"/>
          <w:sz w:val="24"/>
          <w:szCs w:val="24"/>
          <w:highlight w:val="none"/>
          <w:lang w:val="en-US" w:eastAsia="zh-CN"/>
        </w:rPr>
        <w:t>境风险事故降到最低程度。</w:t>
      </w:r>
    </w:p>
    <w:p w14:paraId="07DF6B4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both"/>
        <w:textAlignment w:val="auto"/>
        <w:outlineLvl w:val="9"/>
        <w:rPr>
          <w:rFonts w:hint="eastAsia" w:cs="宋体"/>
          <w:b/>
          <w:bCs/>
          <w:color w:val="auto"/>
          <w:kern w:val="2"/>
          <w:sz w:val="28"/>
          <w:szCs w:val="28"/>
          <w:highlight w:val="none"/>
          <w:lang w:val="en-US" w:eastAsia="zh-CN" w:bidi="ar-SA"/>
        </w:rPr>
      </w:pPr>
      <w:r>
        <w:rPr>
          <w:rFonts w:hint="eastAsia" w:cs="宋体"/>
          <w:b/>
          <w:bCs/>
          <w:color w:val="auto"/>
          <w:kern w:val="2"/>
          <w:sz w:val="28"/>
          <w:szCs w:val="28"/>
          <w:highlight w:val="none"/>
          <w:lang w:val="en-US" w:eastAsia="zh-CN" w:bidi="ar-SA"/>
        </w:rPr>
        <w:t>6.土壤环境影响分析</w:t>
      </w:r>
    </w:p>
    <w:p w14:paraId="6A542254">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color w:val="auto"/>
          <w:highlight w:val="none"/>
          <w:lang w:val="en-US" w:eastAsia="zh-CN"/>
        </w:rPr>
      </w:pPr>
      <w:r>
        <w:rPr>
          <w:rFonts w:hint="eastAsia"/>
          <w:color w:val="auto"/>
          <w:sz w:val="24"/>
          <w:szCs w:val="24"/>
          <w:highlight w:val="none"/>
          <w:lang w:val="en-US" w:eastAsia="zh-CN"/>
        </w:rPr>
        <w:t>根据《环境影响评价技术导则 土壤环境（试行）》附录A中的其他行业，为</w:t>
      </w:r>
      <w:r>
        <w:rPr>
          <w:rFonts w:hint="eastAsia" w:ascii="宋体" w:hAnsi="宋体" w:eastAsia="宋体" w:cs="宋体"/>
          <w:color w:val="auto"/>
          <w:sz w:val="24"/>
          <w:szCs w:val="24"/>
          <w:highlight w:val="none"/>
          <w:lang w:val="en-US" w:eastAsia="zh-CN"/>
        </w:rPr>
        <w:t>Ⅳ</w:t>
      </w:r>
      <w:r>
        <w:rPr>
          <w:rFonts w:hint="eastAsia"/>
          <w:color w:val="auto"/>
          <w:sz w:val="24"/>
          <w:szCs w:val="24"/>
          <w:highlight w:val="none"/>
          <w:lang w:val="en-US" w:eastAsia="zh-CN"/>
        </w:rPr>
        <w:t>类项目，可不开展土壤环境影响评价工作。</w:t>
      </w:r>
    </w:p>
    <w:p w14:paraId="549296E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both"/>
        <w:textAlignment w:val="auto"/>
        <w:outlineLvl w:val="9"/>
        <w:rPr>
          <w:rFonts w:ascii="宋体"/>
          <w:b/>
          <w:bCs/>
          <w:color w:val="auto"/>
          <w:sz w:val="28"/>
          <w:szCs w:val="28"/>
          <w:highlight w:val="none"/>
        </w:rPr>
      </w:pPr>
      <w:r>
        <w:rPr>
          <w:rFonts w:hint="eastAsia" w:cs="宋体"/>
          <w:b/>
          <w:bCs/>
          <w:color w:val="auto"/>
          <w:kern w:val="2"/>
          <w:sz w:val="28"/>
          <w:szCs w:val="28"/>
          <w:highlight w:val="none"/>
          <w:lang w:val="en-US" w:eastAsia="zh-CN" w:bidi="ar-SA"/>
        </w:rPr>
        <w:t>7</w:t>
      </w:r>
      <w:r>
        <w:rPr>
          <w:rFonts w:hint="eastAsia" w:ascii="Times New Roman" w:hAnsi="Times New Roman" w:eastAsia="宋体" w:cs="宋体"/>
          <w:b/>
          <w:bCs/>
          <w:color w:val="auto"/>
          <w:kern w:val="2"/>
          <w:sz w:val="28"/>
          <w:szCs w:val="28"/>
          <w:highlight w:val="none"/>
          <w:lang w:val="en-US" w:eastAsia="zh-CN" w:bidi="ar-SA"/>
        </w:rPr>
        <w:t xml:space="preserve">环境风险分析 </w:t>
      </w:r>
      <w:r>
        <w:rPr>
          <w:b/>
          <w:bCs/>
          <w:color w:val="auto"/>
          <w:sz w:val="28"/>
          <w:szCs w:val="28"/>
          <w:highlight w:val="none"/>
        </w:rPr>
        <w:t xml:space="preserve"> </w:t>
      </w:r>
    </w:p>
    <w:p w14:paraId="28993449">
      <w:pPr>
        <w:pStyle w:val="12"/>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jc w:val="both"/>
        <w:outlineLvl w:val="9"/>
        <w:rPr>
          <w:rFonts w:hint="default" w:ascii="Times New Roman" w:hAnsi="Times New Roman" w:cs="Times New Roman"/>
          <w:color w:val="auto"/>
          <w:sz w:val="24"/>
          <w:highlight w:val="none"/>
          <w:lang w:val="en-US" w:eastAsia="zh-CN"/>
        </w:rPr>
      </w:pPr>
      <w:r>
        <w:rPr>
          <w:rFonts w:hint="eastAsia" w:cs="Times New Roman"/>
          <w:b w:val="0"/>
          <w:bCs w:val="0"/>
          <w:color w:val="auto"/>
          <w:sz w:val="24"/>
          <w:szCs w:val="24"/>
          <w:highlight w:val="none"/>
          <w:lang w:val="en-US" w:eastAsia="zh-CN"/>
        </w:rPr>
        <w:t>7</w:t>
      </w:r>
      <w:r>
        <w:rPr>
          <w:rFonts w:hint="default" w:ascii="Times New Roman" w:hAnsi="Times New Roman" w:cs="Times New Roman"/>
          <w:b w:val="0"/>
          <w:bCs w:val="0"/>
          <w:color w:val="auto"/>
          <w:sz w:val="24"/>
          <w:szCs w:val="24"/>
          <w:highlight w:val="none"/>
          <w:lang w:val="en-US" w:eastAsia="zh-CN"/>
        </w:rPr>
        <w:t>.1</w:t>
      </w:r>
      <w:r>
        <w:rPr>
          <w:rFonts w:hint="default" w:ascii="Times New Roman" w:hAnsi="Times New Roman" w:cs="Times New Roman"/>
          <w:color w:val="auto"/>
          <w:sz w:val="24"/>
          <w:highlight w:val="none"/>
          <w:lang w:val="en-US" w:eastAsia="zh-CN"/>
        </w:rPr>
        <w:t>评价依据</w:t>
      </w:r>
    </w:p>
    <w:p w14:paraId="5F176B99">
      <w:pPr>
        <w:pStyle w:val="12"/>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jc w:val="both"/>
        <w:outlineLvl w:val="9"/>
        <w:rPr>
          <w:rFonts w:hint="eastAsia" w:ascii="Times New Roman" w:hAnsi="Times New Roman" w:cs="Times New Roman"/>
          <w:color w:val="auto"/>
          <w:sz w:val="24"/>
          <w:highlight w:val="none"/>
          <w:lang w:val="en-US" w:eastAsia="zh-CN"/>
        </w:rPr>
      </w:pPr>
      <w:r>
        <w:rPr>
          <w:rFonts w:hint="eastAsia" w:cs="Times New Roman"/>
          <w:color w:val="auto"/>
          <w:sz w:val="24"/>
          <w:highlight w:val="none"/>
          <w:lang w:val="en-US" w:eastAsia="zh-CN"/>
        </w:rPr>
        <w:t>7</w:t>
      </w:r>
      <w:r>
        <w:rPr>
          <w:rFonts w:hint="eastAsia" w:ascii="Times New Roman" w:hAnsi="Times New Roman" w:cs="Times New Roman"/>
          <w:color w:val="auto"/>
          <w:sz w:val="24"/>
          <w:highlight w:val="none"/>
          <w:lang w:val="en-US" w:eastAsia="zh-CN"/>
        </w:rPr>
        <w:t>.1.1风险调查</w:t>
      </w:r>
    </w:p>
    <w:p w14:paraId="0FFCA880">
      <w:pPr>
        <w:pStyle w:val="12"/>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本项目风险物质主要为</w:t>
      </w:r>
      <w:r>
        <w:rPr>
          <w:rFonts w:hint="eastAsia" w:ascii="宋体" w:hAnsi="宋体" w:cs="宋体"/>
          <w:color w:val="auto"/>
          <w:sz w:val="24"/>
          <w:szCs w:val="24"/>
          <w:highlight w:val="none"/>
          <w:lang w:eastAsia="zh-CN"/>
        </w:rPr>
        <w:t>氧气、医疗废水消毒用</w:t>
      </w:r>
      <w:r>
        <w:rPr>
          <w:rFonts w:hint="eastAsia"/>
          <w:color w:val="auto"/>
          <w:sz w:val="24"/>
          <w:highlight w:val="none"/>
        </w:rPr>
        <w:t>二氧化氯</w:t>
      </w:r>
      <w:r>
        <w:rPr>
          <w:rFonts w:hint="eastAsia"/>
          <w:color w:val="auto"/>
          <w:sz w:val="24"/>
          <w:highlight w:val="none"/>
          <w:lang w:eastAsia="zh-CN"/>
        </w:rPr>
        <w:t>及其制备所需的氯酸钠、盐酸，本项目所用盐酸浓度为</w:t>
      </w:r>
      <w:r>
        <w:rPr>
          <w:rFonts w:hint="eastAsia"/>
          <w:color w:val="auto"/>
          <w:sz w:val="24"/>
          <w:highlight w:val="none"/>
          <w:lang w:val="en-US" w:eastAsia="zh-CN"/>
        </w:rPr>
        <w:t>31%，根据《建设项目环境风险评价技术导则》（HJ169-2018）附录B，浓度</w:t>
      </w:r>
      <w:r>
        <w:rPr>
          <w:rFonts w:hint="default" w:ascii="Times New Roman" w:hAnsi="Times New Roman" w:cs="Times New Roman"/>
          <w:color w:val="auto"/>
          <w:sz w:val="24"/>
          <w:highlight w:val="none"/>
          <w:lang w:val="en-US" w:eastAsia="zh-CN"/>
        </w:rPr>
        <w:t>≥37</w:t>
      </w:r>
      <w:r>
        <w:rPr>
          <w:rFonts w:hint="eastAsia" w:ascii="Times New Roman" w:hAnsi="Times New Roman" w:cs="Times New Roman"/>
          <w:color w:val="auto"/>
          <w:sz w:val="24"/>
          <w:highlight w:val="none"/>
          <w:lang w:val="en-US" w:eastAsia="zh-CN"/>
        </w:rPr>
        <w:t>%的盐酸属于</w:t>
      </w:r>
      <w:r>
        <w:rPr>
          <w:rFonts w:hint="eastAsia" w:cs="Times New Roman"/>
          <w:color w:val="auto"/>
          <w:sz w:val="24"/>
          <w:highlight w:val="none"/>
          <w:lang w:val="en-US" w:eastAsia="zh-CN"/>
        </w:rPr>
        <w:t>风险</w:t>
      </w:r>
      <w:r>
        <w:rPr>
          <w:rFonts w:hint="eastAsia" w:ascii="Times New Roman" w:hAnsi="Times New Roman" w:cs="Times New Roman"/>
          <w:color w:val="auto"/>
          <w:sz w:val="24"/>
          <w:highlight w:val="none"/>
          <w:lang w:val="en-US" w:eastAsia="zh-CN"/>
        </w:rPr>
        <w:t>物质，</w:t>
      </w:r>
      <w:r>
        <w:rPr>
          <w:rFonts w:hint="eastAsia" w:cs="Times New Roman"/>
          <w:color w:val="auto"/>
          <w:sz w:val="24"/>
          <w:highlight w:val="none"/>
          <w:lang w:val="en-US" w:eastAsia="zh-CN"/>
        </w:rPr>
        <w:t>参照《关于风险评估中风险物质是否折纯问题的回复》，本项目盐酸存量小于临界量，折纯与否对分级结果没有影响，可不必折算，本次评价直接以31%浓度盐酸最大存在量计算Q值。</w:t>
      </w:r>
    </w:p>
    <w:p w14:paraId="46541E3D">
      <w:pPr>
        <w:pStyle w:val="12"/>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outlineLvl w:val="9"/>
        <w:rPr>
          <w:rFonts w:hint="eastAsia" w:ascii="宋体" w:hAnsi="宋体" w:eastAsia="宋体" w:cs="宋体"/>
          <w:color w:val="auto"/>
          <w:sz w:val="24"/>
          <w:szCs w:val="24"/>
          <w:highlight w:val="none"/>
          <w:lang w:val="en-US" w:eastAsia="zh-CN"/>
        </w:rPr>
      </w:pPr>
      <w:r>
        <w:rPr>
          <w:rFonts w:hint="eastAsia"/>
          <w:color w:val="auto"/>
          <w:sz w:val="24"/>
          <w:highlight w:val="none"/>
          <w:lang w:eastAsia="zh-CN"/>
        </w:rPr>
        <w:t>氯酸钠、盐酸</w:t>
      </w:r>
      <w:r>
        <w:rPr>
          <w:rFonts w:hint="eastAsia" w:ascii="宋体" w:hAnsi="宋体" w:eastAsia="宋体" w:cs="宋体"/>
          <w:color w:val="auto"/>
          <w:sz w:val="24"/>
          <w:szCs w:val="24"/>
          <w:highlight w:val="none"/>
          <w:lang w:eastAsia="zh-CN"/>
        </w:rPr>
        <w:t>储存在</w:t>
      </w:r>
      <w:r>
        <w:rPr>
          <w:rFonts w:hint="eastAsia" w:ascii="宋体" w:hAnsi="宋体" w:cs="宋体"/>
          <w:color w:val="auto"/>
          <w:sz w:val="24"/>
          <w:szCs w:val="24"/>
          <w:highlight w:val="none"/>
          <w:lang w:eastAsia="zh-CN"/>
        </w:rPr>
        <w:t>二氧化氯发生器</w:t>
      </w:r>
      <w:r>
        <w:rPr>
          <w:rFonts w:hint="eastAsia" w:ascii="宋体" w:hAnsi="宋体" w:eastAsia="宋体" w:cs="宋体"/>
          <w:color w:val="auto"/>
          <w:sz w:val="24"/>
          <w:szCs w:val="24"/>
          <w:highlight w:val="none"/>
          <w:lang w:eastAsia="zh-CN"/>
        </w:rPr>
        <w:t>自带的储存装置中，最大储量</w:t>
      </w:r>
      <w:r>
        <w:rPr>
          <w:rFonts w:hint="eastAsia" w:ascii="宋体" w:hAnsi="宋体" w:cs="宋体"/>
          <w:color w:val="auto"/>
          <w:sz w:val="24"/>
          <w:szCs w:val="24"/>
          <w:highlight w:val="none"/>
          <w:lang w:eastAsia="zh-CN"/>
        </w:rPr>
        <w:t>分别</w:t>
      </w:r>
      <w:r>
        <w:rPr>
          <w:rFonts w:hint="eastAsia" w:ascii="宋体" w:hAnsi="宋体" w:eastAsia="宋体" w:cs="宋体"/>
          <w:color w:val="auto"/>
          <w:sz w:val="24"/>
          <w:szCs w:val="24"/>
          <w:highlight w:val="none"/>
          <w:lang w:eastAsia="zh-CN"/>
        </w:rPr>
        <w:t>为</w:t>
      </w:r>
      <w:r>
        <w:rPr>
          <w:rFonts w:hint="eastAsia" w:cs="Times New Roman"/>
          <w:color w:val="auto"/>
          <w:sz w:val="24"/>
          <w:szCs w:val="24"/>
          <w:highlight w:val="none"/>
          <w:lang w:val="en-US" w:eastAsia="zh-CN"/>
        </w:rPr>
        <w:t>68kg、34kg。</w:t>
      </w:r>
      <w:r>
        <w:rPr>
          <w:rFonts w:hint="eastAsia" w:hAnsi="宋体"/>
          <w:color w:val="auto"/>
          <w:sz w:val="24"/>
          <w:highlight w:val="none"/>
        </w:rPr>
        <w:t>二氧化氯发生器中二氧化氯产生量为0.005kg/h</w:t>
      </w:r>
      <w:r>
        <w:rPr>
          <w:rFonts w:hint="eastAsia" w:hAnsi="宋体"/>
          <w:color w:val="auto"/>
          <w:sz w:val="24"/>
          <w:highlight w:val="none"/>
          <w:lang w:eastAsia="zh-CN"/>
        </w:rPr>
        <w:t>，消毒时间为</w:t>
      </w:r>
      <w:r>
        <w:rPr>
          <w:rFonts w:hint="eastAsia" w:hAnsi="宋体"/>
          <w:color w:val="auto"/>
          <w:sz w:val="24"/>
          <w:highlight w:val="none"/>
          <w:lang w:val="en-US" w:eastAsia="zh-CN"/>
        </w:rPr>
        <w:t>1.5h，则</w:t>
      </w:r>
      <w:r>
        <w:rPr>
          <w:rFonts w:hint="eastAsia" w:hAnsi="宋体"/>
          <w:color w:val="auto"/>
          <w:sz w:val="24"/>
          <w:highlight w:val="none"/>
        </w:rPr>
        <w:t>二氧化氯</w:t>
      </w:r>
      <w:r>
        <w:rPr>
          <w:rFonts w:hint="eastAsia" w:hAnsi="宋体"/>
          <w:color w:val="auto"/>
          <w:sz w:val="24"/>
          <w:highlight w:val="none"/>
          <w:lang w:eastAsia="zh-CN"/>
        </w:rPr>
        <w:t>最大存在量为</w:t>
      </w:r>
      <w:r>
        <w:rPr>
          <w:rFonts w:hint="eastAsia" w:hAnsi="宋体"/>
          <w:color w:val="auto"/>
          <w:sz w:val="24"/>
          <w:highlight w:val="none"/>
          <w:lang w:val="en-US" w:eastAsia="zh-CN"/>
        </w:rPr>
        <w:t>0.008kg，氧气瓶中氧气密度为6kg/m</w:t>
      </w:r>
      <w:r>
        <w:rPr>
          <w:rFonts w:hint="eastAsia" w:hAnsi="宋体"/>
          <w:color w:val="auto"/>
          <w:sz w:val="24"/>
          <w:highlight w:val="none"/>
          <w:vertAlign w:val="superscript"/>
          <w:lang w:val="en-US" w:eastAsia="zh-CN"/>
        </w:rPr>
        <w:t>3</w:t>
      </w:r>
      <w:r>
        <w:rPr>
          <w:rFonts w:hint="eastAsia" w:hAnsi="宋体"/>
          <w:color w:val="auto"/>
          <w:sz w:val="24"/>
          <w:highlight w:val="none"/>
          <w:vertAlign w:val="baseline"/>
          <w:lang w:val="en-US" w:eastAsia="zh-CN"/>
        </w:rPr>
        <w:t>,氧气最大储量为500L，即3kg</w:t>
      </w:r>
      <w:r>
        <w:rPr>
          <w:rFonts w:hint="eastAsia" w:hAnsi="宋体"/>
          <w:color w:val="auto"/>
          <w:sz w:val="24"/>
          <w:highlight w:val="none"/>
          <w:lang w:val="en-US" w:eastAsia="zh-CN"/>
        </w:rPr>
        <w:t>。</w:t>
      </w:r>
      <w:r>
        <w:rPr>
          <w:rFonts w:hint="eastAsia" w:ascii="宋体" w:hAnsi="宋体" w:cs="宋体"/>
          <w:color w:val="auto"/>
          <w:sz w:val="24"/>
          <w:szCs w:val="24"/>
          <w:highlight w:val="none"/>
          <w:lang w:eastAsia="zh-CN"/>
        </w:rPr>
        <w:t>二氧化氯发生器</w:t>
      </w:r>
      <w:r>
        <w:rPr>
          <w:rFonts w:ascii="Times New Roman" w:hAnsi="Times New Roman" w:cs="Times New Roman"/>
          <w:color w:val="auto"/>
          <w:sz w:val="24"/>
          <w:szCs w:val="24"/>
          <w:highlight w:val="none"/>
        </w:rPr>
        <w:t>位于</w:t>
      </w:r>
      <w:r>
        <w:rPr>
          <w:rFonts w:hint="eastAsia" w:ascii="Times New Roman" w:hAnsi="Times New Roman" w:cs="Times New Roman"/>
          <w:color w:val="auto"/>
          <w:sz w:val="24"/>
          <w:szCs w:val="24"/>
          <w:highlight w:val="none"/>
          <w:lang w:eastAsia="zh-CN"/>
        </w:rPr>
        <w:t>医院</w:t>
      </w:r>
      <w:r>
        <w:rPr>
          <w:rFonts w:hint="eastAsia" w:cs="Times New Roman"/>
          <w:color w:val="auto"/>
          <w:sz w:val="24"/>
          <w:szCs w:val="24"/>
          <w:highlight w:val="none"/>
          <w:lang w:eastAsia="zh-CN"/>
        </w:rPr>
        <w:t>大楼</w:t>
      </w:r>
      <w:r>
        <w:rPr>
          <w:rFonts w:hint="eastAsia" w:cs="Times New Roman"/>
          <w:color w:val="auto"/>
          <w:sz w:val="24"/>
          <w:szCs w:val="24"/>
          <w:highlight w:val="none"/>
          <w:lang w:val="en-US" w:eastAsia="zh-CN"/>
        </w:rPr>
        <w:t>3</w:t>
      </w:r>
      <w:r>
        <w:rPr>
          <w:rFonts w:hint="eastAsia" w:ascii="Times New Roman" w:hAnsi="Times New Roman" w:cs="Times New Roman"/>
          <w:color w:val="auto"/>
          <w:sz w:val="24"/>
          <w:szCs w:val="24"/>
          <w:highlight w:val="none"/>
          <w:lang w:val="en-US" w:eastAsia="zh-CN"/>
        </w:rPr>
        <w:t>层东侧</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氧气瓶储存于医院大楼4层中部库房，风险物质</w:t>
      </w:r>
      <w:r>
        <w:rPr>
          <w:rFonts w:hint="eastAsia" w:ascii="宋体" w:hAnsi="宋体" w:eastAsia="宋体" w:cs="宋体"/>
          <w:color w:val="auto"/>
          <w:sz w:val="24"/>
          <w:szCs w:val="24"/>
          <w:highlight w:val="none"/>
          <w:lang w:val="en-US" w:eastAsia="zh-CN"/>
        </w:rPr>
        <w:t>特性如下表所示：</w:t>
      </w:r>
    </w:p>
    <w:p w14:paraId="7A478F4C">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b/>
          <w:color w:val="auto"/>
          <w:sz w:val="21"/>
          <w:szCs w:val="21"/>
          <w:highlight w:val="none"/>
        </w:rPr>
      </w:pPr>
      <w:r>
        <w:rPr>
          <w:rFonts w:hint="eastAsia" w:ascii="Times New Roman" w:hAnsi="Times New Roman" w:cs="Times New Roman"/>
          <w:b/>
          <w:bCs/>
          <w:color w:val="auto"/>
          <w:sz w:val="21"/>
          <w:szCs w:val="21"/>
          <w:highlight w:val="none"/>
          <w:lang w:val="en-US" w:eastAsia="zh-CN"/>
        </w:rPr>
        <w:t>表</w:t>
      </w:r>
      <w:r>
        <w:rPr>
          <w:rFonts w:hint="eastAsia" w:cs="Times New Roman"/>
          <w:b/>
          <w:bCs/>
          <w:color w:val="auto"/>
          <w:sz w:val="21"/>
          <w:szCs w:val="21"/>
          <w:highlight w:val="none"/>
          <w:lang w:val="en-US" w:eastAsia="zh-CN"/>
        </w:rPr>
        <w:t>42</w:t>
      </w:r>
      <w:r>
        <w:rPr>
          <w:rFonts w:hint="eastAsia" w:ascii="Times New Roman" w:hAnsi="Times New Roman" w:cs="Times New Roman"/>
          <w:b/>
          <w:bCs/>
          <w:color w:val="auto"/>
          <w:sz w:val="21"/>
          <w:szCs w:val="21"/>
          <w:highlight w:val="none"/>
          <w:lang w:val="en-US" w:eastAsia="zh-CN"/>
        </w:rPr>
        <w:t xml:space="preserve">                    </w:t>
      </w:r>
      <w:r>
        <w:rPr>
          <w:rFonts w:hint="eastAsia"/>
          <w:b/>
          <w:color w:val="auto"/>
          <w:sz w:val="21"/>
          <w:szCs w:val="21"/>
          <w:highlight w:val="none"/>
        </w:rPr>
        <w:t>主要原辅材料化学性质及危险特性一览表</w:t>
      </w:r>
    </w:p>
    <w:tbl>
      <w:tblPr>
        <w:tblStyle w:val="24"/>
        <w:tblW w:w="92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7891"/>
      </w:tblGrid>
      <w:tr w14:paraId="1AA90C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1395" w:type="dxa"/>
            <w:vAlign w:val="center"/>
          </w:tcPr>
          <w:p w14:paraId="5B94FF9E">
            <w:pPr>
              <w:jc w:val="center"/>
              <w:rPr>
                <w:b/>
                <w:color w:val="auto"/>
                <w:spacing w:val="4"/>
                <w:highlight w:val="none"/>
              </w:rPr>
            </w:pPr>
            <w:r>
              <w:rPr>
                <w:b/>
                <w:color w:val="auto"/>
                <w:spacing w:val="4"/>
                <w:highlight w:val="none"/>
              </w:rPr>
              <w:t>名称</w:t>
            </w:r>
          </w:p>
        </w:tc>
        <w:tc>
          <w:tcPr>
            <w:tcW w:w="7891" w:type="dxa"/>
            <w:vAlign w:val="center"/>
          </w:tcPr>
          <w:p w14:paraId="46CE2C1B">
            <w:pPr>
              <w:jc w:val="center"/>
              <w:rPr>
                <w:rFonts w:hint="eastAsia" w:eastAsia="宋体"/>
                <w:b/>
                <w:color w:val="auto"/>
                <w:spacing w:val="4"/>
                <w:highlight w:val="none"/>
                <w:lang w:eastAsia="zh-CN"/>
              </w:rPr>
            </w:pPr>
            <w:r>
              <w:rPr>
                <w:rFonts w:hint="eastAsia"/>
                <w:b/>
                <w:color w:val="auto"/>
                <w:spacing w:val="4"/>
                <w:highlight w:val="none"/>
                <w:lang w:eastAsia="zh-CN"/>
              </w:rPr>
              <w:t>氯酸钠</w:t>
            </w:r>
          </w:p>
        </w:tc>
      </w:tr>
      <w:tr w14:paraId="54CBC1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1395" w:type="dxa"/>
            <w:vAlign w:val="center"/>
          </w:tcPr>
          <w:p w14:paraId="606E8564">
            <w:pPr>
              <w:jc w:val="center"/>
              <w:rPr>
                <w:color w:val="auto"/>
                <w:spacing w:val="4"/>
                <w:highlight w:val="none"/>
              </w:rPr>
            </w:pPr>
            <w:r>
              <w:rPr>
                <w:color w:val="auto"/>
                <w:spacing w:val="4"/>
                <w:highlight w:val="none"/>
              </w:rPr>
              <w:t>化学结构或性质</w:t>
            </w:r>
          </w:p>
        </w:tc>
        <w:tc>
          <w:tcPr>
            <w:tcW w:w="7891" w:type="dxa"/>
            <w:vAlign w:val="center"/>
          </w:tcPr>
          <w:p w14:paraId="4B8698DD">
            <w:pPr>
              <w:keepNext w:val="0"/>
              <w:keepLines w:val="0"/>
              <w:pageBreakBefore w:val="0"/>
              <w:widowControl w:val="0"/>
              <w:kinsoku/>
              <w:wordWrap/>
              <w:overflowPunct/>
              <w:topLinePunct w:val="0"/>
              <w:autoSpaceDE/>
              <w:autoSpaceDN/>
              <w:bidi w:val="0"/>
              <w:adjustRightInd w:val="0"/>
              <w:snapToGrid w:val="0"/>
              <w:spacing w:line="240" w:lineRule="auto"/>
              <w:ind w:firstLine="482"/>
              <w:textAlignment w:val="auto"/>
              <w:outlineLvl w:val="9"/>
              <w:rPr>
                <w:color w:val="auto"/>
                <w:spacing w:val="8"/>
                <w:highlight w:val="none"/>
              </w:rPr>
            </w:pPr>
            <w:r>
              <w:rPr>
                <w:rFonts w:hint="default"/>
                <w:color w:val="auto"/>
                <w:spacing w:val="4"/>
                <w:highlight w:val="none"/>
                <w:lang w:eastAsia="zh-CN"/>
              </w:rPr>
              <w:t>常温下为无色立方晶体或三方结晶或白色粉末。味咸而凉。密度2.490g/cm3。熔点255℃。易溶于水，0℃在水中的溶解度为79g。溶于乙醇、</w:t>
            </w:r>
            <w:r>
              <w:rPr>
                <w:rFonts w:hint="default"/>
                <w:color w:val="auto"/>
                <w:spacing w:val="4"/>
                <w:highlight w:val="none"/>
                <w:lang w:eastAsia="zh-CN"/>
              </w:rPr>
              <w:fldChar w:fldCharType="begin"/>
            </w:r>
            <w:r>
              <w:rPr>
                <w:rFonts w:hint="default"/>
                <w:color w:val="auto"/>
                <w:spacing w:val="4"/>
                <w:highlight w:val="none"/>
                <w:lang w:eastAsia="zh-CN"/>
              </w:rPr>
              <w:instrText xml:space="preserve"> HYPERLINK "https://baike.baidu.com/item/%E7%94%98%E6%B2%B9" \t "https://baike.baidu.com/item/%E6%B0%AF%E9%85%B8%E9%92%A0/_blank" </w:instrText>
            </w:r>
            <w:r>
              <w:rPr>
                <w:rFonts w:hint="default"/>
                <w:color w:val="auto"/>
                <w:spacing w:val="4"/>
                <w:highlight w:val="none"/>
                <w:lang w:eastAsia="zh-CN"/>
              </w:rPr>
              <w:fldChar w:fldCharType="separate"/>
            </w:r>
            <w:r>
              <w:rPr>
                <w:rFonts w:hint="default"/>
                <w:color w:val="auto"/>
                <w:spacing w:val="4"/>
                <w:highlight w:val="none"/>
                <w:lang w:eastAsia="zh-CN"/>
              </w:rPr>
              <w:t>甘油</w:t>
            </w:r>
            <w:r>
              <w:rPr>
                <w:rFonts w:hint="default"/>
                <w:color w:val="auto"/>
                <w:spacing w:val="4"/>
                <w:highlight w:val="none"/>
                <w:lang w:eastAsia="zh-CN"/>
              </w:rPr>
              <w:fldChar w:fldCharType="end"/>
            </w:r>
            <w:r>
              <w:rPr>
                <w:rFonts w:hint="default"/>
                <w:color w:val="auto"/>
                <w:spacing w:val="4"/>
                <w:highlight w:val="none"/>
                <w:lang w:eastAsia="zh-CN"/>
              </w:rPr>
              <w:t>、</w:t>
            </w:r>
            <w:r>
              <w:rPr>
                <w:rFonts w:hint="default"/>
                <w:color w:val="auto"/>
                <w:spacing w:val="4"/>
                <w:highlight w:val="none"/>
                <w:lang w:eastAsia="zh-CN"/>
              </w:rPr>
              <w:fldChar w:fldCharType="begin"/>
            </w:r>
            <w:r>
              <w:rPr>
                <w:rFonts w:hint="default"/>
                <w:color w:val="auto"/>
                <w:spacing w:val="4"/>
                <w:highlight w:val="none"/>
                <w:lang w:eastAsia="zh-CN"/>
              </w:rPr>
              <w:instrText xml:space="preserve"> HYPERLINK "https://baike.baidu.com/item/%E4%B8%99%E9%85%AE" \t "https://baike.baidu.com/item/%E6%B0%AF%E9%85%B8%E9%92%A0/_blank" </w:instrText>
            </w:r>
            <w:r>
              <w:rPr>
                <w:rFonts w:hint="default"/>
                <w:color w:val="auto"/>
                <w:spacing w:val="4"/>
                <w:highlight w:val="none"/>
                <w:lang w:eastAsia="zh-CN"/>
              </w:rPr>
              <w:fldChar w:fldCharType="separate"/>
            </w:r>
            <w:r>
              <w:rPr>
                <w:rFonts w:hint="default"/>
                <w:color w:val="auto"/>
                <w:spacing w:val="4"/>
                <w:highlight w:val="none"/>
                <w:lang w:eastAsia="zh-CN"/>
              </w:rPr>
              <w:t>丙酮</w:t>
            </w:r>
            <w:r>
              <w:rPr>
                <w:rFonts w:hint="default"/>
                <w:color w:val="auto"/>
                <w:spacing w:val="4"/>
                <w:highlight w:val="none"/>
                <w:lang w:eastAsia="zh-CN"/>
              </w:rPr>
              <w:fldChar w:fldCharType="end"/>
            </w:r>
            <w:r>
              <w:rPr>
                <w:rFonts w:hint="default"/>
                <w:color w:val="auto"/>
                <w:spacing w:val="4"/>
                <w:highlight w:val="none"/>
                <w:lang w:eastAsia="zh-CN"/>
              </w:rPr>
              <w:t>、</w:t>
            </w:r>
            <w:r>
              <w:rPr>
                <w:rFonts w:hint="default"/>
                <w:color w:val="auto"/>
                <w:spacing w:val="4"/>
                <w:highlight w:val="none"/>
                <w:lang w:eastAsia="zh-CN"/>
              </w:rPr>
              <w:fldChar w:fldCharType="begin"/>
            </w:r>
            <w:r>
              <w:rPr>
                <w:rFonts w:hint="default"/>
                <w:color w:val="auto"/>
                <w:spacing w:val="4"/>
                <w:highlight w:val="none"/>
                <w:lang w:eastAsia="zh-CN"/>
              </w:rPr>
              <w:instrText xml:space="preserve"> HYPERLINK "https://baike.baidu.com/item/%E6%B6%B2%E6%B0%A8" \t "https://baike.baidu.com/item/%E6%B0%AF%E9%85%B8%E9%92%A0/_blank" </w:instrText>
            </w:r>
            <w:r>
              <w:rPr>
                <w:rFonts w:hint="default"/>
                <w:color w:val="auto"/>
                <w:spacing w:val="4"/>
                <w:highlight w:val="none"/>
                <w:lang w:eastAsia="zh-CN"/>
              </w:rPr>
              <w:fldChar w:fldCharType="separate"/>
            </w:r>
            <w:r>
              <w:rPr>
                <w:rFonts w:hint="default"/>
                <w:color w:val="auto"/>
                <w:spacing w:val="4"/>
                <w:highlight w:val="none"/>
                <w:lang w:eastAsia="zh-CN"/>
              </w:rPr>
              <w:t>液氨</w:t>
            </w:r>
            <w:r>
              <w:rPr>
                <w:rFonts w:hint="default"/>
                <w:color w:val="auto"/>
                <w:spacing w:val="4"/>
                <w:highlight w:val="none"/>
                <w:lang w:eastAsia="zh-CN"/>
              </w:rPr>
              <w:fldChar w:fldCharType="end"/>
            </w:r>
            <w:r>
              <w:rPr>
                <w:rFonts w:hint="default"/>
                <w:color w:val="auto"/>
                <w:spacing w:val="4"/>
                <w:highlight w:val="none"/>
                <w:lang w:eastAsia="zh-CN"/>
              </w:rPr>
              <w:t>。常压下加热至300℃以上易分解放出</w:t>
            </w:r>
            <w:r>
              <w:rPr>
                <w:rFonts w:hint="default"/>
                <w:color w:val="auto"/>
                <w:spacing w:val="4"/>
                <w:highlight w:val="none"/>
                <w:lang w:eastAsia="zh-CN"/>
              </w:rPr>
              <w:fldChar w:fldCharType="begin"/>
            </w:r>
            <w:r>
              <w:rPr>
                <w:rFonts w:hint="default"/>
                <w:color w:val="auto"/>
                <w:spacing w:val="4"/>
                <w:highlight w:val="none"/>
                <w:lang w:eastAsia="zh-CN"/>
              </w:rPr>
              <w:instrText xml:space="preserve"> HYPERLINK "https://baike.baidu.com/item/%E6%B0%A7%E6%B0%94" \t "https://baike.baidu.com/item/%E6%B0%AF%E9%85%B8%E9%92%A0/_blank" </w:instrText>
            </w:r>
            <w:r>
              <w:rPr>
                <w:rFonts w:hint="default"/>
                <w:color w:val="auto"/>
                <w:spacing w:val="4"/>
                <w:highlight w:val="none"/>
                <w:lang w:eastAsia="zh-CN"/>
              </w:rPr>
              <w:fldChar w:fldCharType="separate"/>
            </w:r>
            <w:r>
              <w:rPr>
                <w:rFonts w:hint="default"/>
                <w:color w:val="auto"/>
                <w:spacing w:val="4"/>
                <w:highlight w:val="none"/>
                <w:lang w:eastAsia="zh-CN"/>
              </w:rPr>
              <w:t>氧气</w:t>
            </w:r>
            <w:r>
              <w:rPr>
                <w:rFonts w:hint="default"/>
                <w:color w:val="auto"/>
                <w:spacing w:val="4"/>
                <w:highlight w:val="none"/>
                <w:lang w:eastAsia="zh-CN"/>
              </w:rPr>
              <w:fldChar w:fldCharType="end"/>
            </w:r>
            <w:r>
              <w:rPr>
                <w:rFonts w:hint="default"/>
                <w:color w:val="auto"/>
                <w:spacing w:val="4"/>
                <w:highlight w:val="none"/>
                <w:lang w:eastAsia="zh-CN"/>
              </w:rPr>
              <w:t>。在中性或弱碱性溶液中氧化力非常低，但在酸性溶液中或有诱导氧化剂和催化剂(如</w:t>
            </w:r>
            <w:r>
              <w:rPr>
                <w:rFonts w:hint="default"/>
                <w:color w:val="auto"/>
                <w:spacing w:val="4"/>
                <w:highlight w:val="none"/>
                <w:lang w:eastAsia="zh-CN"/>
              </w:rPr>
              <w:fldChar w:fldCharType="begin"/>
            </w:r>
            <w:r>
              <w:rPr>
                <w:rFonts w:hint="default"/>
                <w:color w:val="auto"/>
                <w:spacing w:val="4"/>
                <w:highlight w:val="none"/>
                <w:lang w:eastAsia="zh-CN"/>
              </w:rPr>
              <w:instrText xml:space="preserve"> HYPERLINK "https://baike.baidu.com/item/%E7%A1%AB%E9%85%B8%E9%93%9C" \t "https://baike.baidu.com/item/%E6%B0%AF%E9%85%B8%E9%92%A0/_blank" </w:instrText>
            </w:r>
            <w:r>
              <w:rPr>
                <w:rFonts w:hint="default"/>
                <w:color w:val="auto"/>
                <w:spacing w:val="4"/>
                <w:highlight w:val="none"/>
                <w:lang w:eastAsia="zh-CN"/>
              </w:rPr>
              <w:fldChar w:fldCharType="separate"/>
            </w:r>
            <w:r>
              <w:rPr>
                <w:rFonts w:hint="default"/>
                <w:color w:val="auto"/>
                <w:spacing w:val="4"/>
                <w:highlight w:val="none"/>
                <w:lang w:eastAsia="zh-CN"/>
              </w:rPr>
              <w:t>硫酸铜</w:t>
            </w:r>
            <w:r>
              <w:rPr>
                <w:rFonts w:hint="default"/>
                <w:color w:val="auto"/>
                <w:spacing w:val="4"/>
                <w:highlight w:val="none"/>
                <w:lang w:eastAsia="zh-CN"/>
              </w:rPr>
              <w:fldChar w:fldCharType="end"/>
            </w:r>
            <w:r>
              <w:rPr>
                <w:rFonts w:hint="default"/>
                <w:color w:val="auto"/>
                <w:spacing w:val="4"/>
                <w:highlight w:val="none"/>
                <w:lang w:eastAsia="zh-CN"/>
              </w:rPr>
              <w:t>)存在时，则是</w:t>
            </w:r>
            <w:r>
              <w:rPr>
                <w:rFonts w:hint="default"/>
                <w:color w:val="auto"/>
                <w:spacing w:val="4"/>
                <w:highlight w:val="none"/>
                <w:lang w:eastAsia="zh-CN"/>
              </w:rPr>
              <w:fldChar w:fldCharType="begin"/>
            </w:r>
            <w:r>
              <w:rPr>
                <w:rFonts w:hint="default"/>
                <w:color w:val="auto"/>
                <w:spacing w:val="4"/>
                <w:highlight w:val="none"/>
                <w:lang w:eastAsia="zh-CN"/>
              </w:rPr>
              <w:instrText xml:space="preserve"> HYPERLINK "https://baike.baidu.com/item/%E5%BC%BA%E6%B0%A7%E5%8C%96%E5%89%82" \t "https://baike.baidu.com/item/%E6%B0%AF%E9%85%B8%E9%92%A0/_blank" </w:instrText>
            </w:r>
            <w:r>
              <w:rPr>
                <w:rFonts w:hint="default"/>
                <w:color w:val="auto"/>
                <w:spacing w:val="4"/>
                <w:highlight w:val="none"/>
                <w:lang w:eastAsia="zh-CN"/>
              </w:rPr>
              <w:fldChar w:fldCharType="separate"/>
            </w:r>
            <w:r>
              <w:rPr>
                <w:rFonts w:hint="default"/>
                <w:color w:val="auto"/>
                <w:spacing w:val="4"/>
                <w:highlight w:val="none"/>
                <w:lang w:eastAsia="zh-CN"/>
              </w:rPr>
              <w:t>强氧化剂</w:t>
            </w:r>
            <w:r>
              <w:rPr>
                <w:rFonts w:hint="default"/>
                <w:color w:val="auto"/>
                <w:spacing w:val="4"/>
                <w:highlight w:val="none"/>
                <w:lang w:eastAsia="zh-CN"/>
              </w:rPr>
              <w:fldChar w:fldCharType="end"/>
            </w:r>
            <w:r>
              <w:rPr>
                <w:rFonts w:hint="default"/>
                <w:color w:val="auto"/>
                <w:spacing w:val="4"/>
                <w:highlight w:val="none"/>
                <w:lang w:eastAsia="zh-CN"/>
              </w:rPr>
              <w:t>。与酸类(如硫酸)作用放出</w:t>
            </w:r>
            <w:r>
              <w:rPr>
                <w:rFonts w:hint="default"/>
                <w:color w:val="auto"/>
                <w:spacing w:val="4"/>
                <w:highlight w:val="none"/>
                <w:lang w:eastAsia="zh-CN"/>
              </w:rPr>
              <w:fldChar w:fldCharType="begin"/>
            </w:r>
            <w:r>
              <w:rPr>
                <w:rFonts w:hint="default"/>
                <w:color w:val="auto"/>
                <w:spacing w:val="4"/>
                <w:highlight w:val="none"/>
                <w:lang w:eastAsia="zh-CN"/>
              </w:rPr>
              <w:instrText xml:space="preserve"> HYPERLINK "https://baike.baidu.com/item/%E4%BA%8C%E6%B0%A7%E5%8C%96%E6%B0%AF" \t "https://baike.baidu.com/item/%E6%B0%AF%E9%85%B8%E9%92%A0/_blank" </w:instrText>
            </w:r>
            <w:r>
              <w:rPr>
                <w:rFonts w:hint="default"/>
                <w:color w:val="auto"/>
                <w:spacing w:val="4"/>
                <w:highlight w:val="none"/>
                <w:lang w:eastAsia="zh-CN"/>
              </w:rPr>
              <w:fldChar w:fldCharType="separate"/>
            </w:r>
            <w:r>
              <w:rPr>
                <w:rFonts w:hint="default"/>
                <w:color w:val="auto"/>
                <w:spacing w:val="4"/>
                <w:highlight w:val="none"/>
                <w:lang w:eastAsia="zh-CN"/>
              </w:rPr>
              <w:t>二氧化氯</w:t>
            </w:r>
            <w:r>
              <w:rPr>
                <w:rFonts w:hint="default"/>
                <w:color w:val="auto"/>
                <w:spacing w:val="4"/>
                <w:highlight w:val="none"/>
                <w:lang w:eastAsia="zh-CN"/>
              </w:rPr>
              <w:fldChar w:fldCharType="end"/>
            </w:r>
            <w:r>
              <w:rPr>
                <w:rFonts w:hint="default"/>
                <w:color w:val="auto"/>
                <w:spacing w:val="4"/>
                <w:highlight w:val="none"/>
                <w:lang w:eastAsia="zh-CN"/>
              </w:rPr>
              <w:t>，有强氧化性。</w:t>
            </w:r>
          </w:p>
        </w:tc>
      </w:tr>
      <w:tr w14:paraId="299C80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1395" w:type="dxa"/>
            <w:vAlign w:val="center"/>
          </w:tcPr>
          <w:p w14:paraId="11EBB4C8">
            <w:pPr>
              <w:jc w:val="center"/>
              <w:rPr>
                <w:color w:val="auto"/>
                <w:spacing w:val="4"/>
                <w:highlight w:val="none"/>
              </w:rPr>
            </w:pPr>
            <w:r>
              <w:rPr>
                <w:rFonts w:hint="eastAsia"/>
                <w:color w:val="auto"/>
                <w:spacing w:val="4"/>
                <w:highlight w:val="none"/>
              </w:rPr>
              <w:t>危险特性</w:t>
            </w:r>
          </w:p>
        </w:tc>
        <w:tc>
          <w:tcPr>
            <w:tcW w:w="7891" w:type="dxa"/>
            <w:vAlign w:val="center"/>
          </w:tcPr>
          <w:p w14:paraId="5647A28D">
            <w:pPr>
              <w:jc w:val="center"/>
              <w:rPr>
                <w:rFonts w:hint="eastAsia"/>
                <w:color w:val="auto"/>
                <w:spacing w:val="4"/>
                <w:highlight w:val="none"/>
                <w:lang w:eastAsia="zh-CN"/>
              </w:rPr>
            </w:pPr>
            <w:bookmarkStart w:id="4" w:name="sub1729_4_1"/>
            <w:bookmarkEnd w:id="4"/>
            <w:bookmarkStart w:id="5" w:name="4_1"/>
            <w:bookmarkEnd w:id="5"/>
            <w:bookmarkStart w:id="6" w:name="毒理性质_危险性概述"/>
            <w:bookmarkEnd w:id="6"/>
            <w:r>
              <w:rPr>
                <w:rFonts w:hint="eastAsia"/>
                <w:color w:val="auto"/>
                <w:spacing w:val="4"/>
                <w:highlight w:val="none"/>
                <w:lang w:eastAsia="zh-CN"/>
              </w:rPr>
              <w:t>本品粉尘对呼吸道、眼及皮肤有刺激性。口服急性中毒，表现为高铁血红蛋白血症，胃肠炎，肝肾损伤，甚至发生窒息。本品助燃，具刺激性。</w:t>
            </w:r>
          </w:p>
          <w:p w14:paraId="4A361493">
            <w:pPr>
              <w:jc w:val="center"/>
              <w:rPr>
                <w:rFonts w:hAnsi="Arial"/>
                <w:color w:val="auto"/>
                <w:spacing w:val="8"/>
                <w:highlight w:val="none"/>
              </w:rPr>
            </w:pPr>
            <w:r>
              <w:rPr>
                <w:color w:val="auto"/>
                <w:spacing w:val="4"/>
                <w:highlight w:val="none"/>
              </w:rPr>
              <w:t>急性毒性：LD</w:t>
            </w:r>
            <w:r>
              <w:rPr>
                <w:color w:val="auto"/>
                <w:spacing w:val="4"/>
                <w:highlight w:val="none"/>
                <w:vertAlign w:val="subscript"/>
              </w:rPr>
              <w:t>50</w:t>
            </w:r>
            <w:r>
              <w:rPr>
                <w:rFonts w:hint="eastAsia"/>
                <w:color w:val="auto"/>
                <w:spacing w:val="4"/>
                <w:highlight w:val="none"/>
                <w:lang w:val="en-US" w:eastAsia="zh-CN"/>
              </w:rPr>
              <w:t>1200</w:t>
            </w:r>
            <w:r>
              <w:rPr>
                <w:color w:val="auto"/>
                <w:spacing w:val="4"/>
                <w:highlight w:val="none"/>
              </w:rPr>
              <w:t>mg/kg（</w:t>
            </w:r>
            <w:r>
              <w:rPr>
                <w:rFonts w:hint="eastAsia"/>
                <w:color w:val="auto"/>
                <w:spacing w:val="4"/>
                <w:highlight w:val="none"/>
                <w:lang w:eastAsia="zh-CN"/>
              </w:rPr>
              <w:t>大鼠</w:t>
            </w:r>
            <w:r>
              <w:rPr>
                <w:color w:val="auto"/>
                <w:spacing w:val="4"/>
                <w:highlight w:val="none"/>
              </w:rPr>
              <w:t>经口）；LC</w:t>
            </w:r>
            <w:r>
              <w:rPr>
                <w:color w:val="auto"/>
                <w:spacing w:val="4"/>
                <w:highlight w:val="none"/>
                <w:vertAlign w:val="subscript"/>
              </w:rPr>
              <w:t>50</w:t>
            </w:r>
            <w:r>
              <w:rPr>
                <w:rFonts w:hint="eastAsia"/>
                <w:color w:val="auto"/>
                <w:spacing w:val="4"/>
                <w:highlight w:val="none"/>
                <w:lang w:eastAsia="zh-CN"/>
              </w:rPr>
              <w:t>无资料</w:t>
            </w:r>
            <w:r>
              <w:rPr>
                <w:rFonts w:hint="eastAsia"/>
                <w:color w:val="auto"/>
                <w:spacing w:val="4"/>
                <w:highlight w:val="none"/>
              </w:rPr>
              <w:t>。</w:t>
            </w:r>
          </w:p>
        </w:tc>
      </w:tr>
      <w:tr w14:paraId="7C6049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95" w:type="dxa"/>
            <w:vAlign w:val="center"/>
          </w:tcPr>
          <w:p w14:paraId="0EEAA8ED">
            <w:pPr>
              <w:jc w:val="center"/>
              <w:rPr>
                <w:b/>
                <w:color w:val="auto"/>
                <w:spacing w:val="4"/>
                <w:highlight w:val="none"/>
              </w:rPr>
            </w:pPr>
            <w:r>
              <w:rPr>
                <w:b/>
                <w:color w:val="auto"/>
                <w:spacing w:val="4"/>
                <w:highlight w:val="none"/>
              </w:rPr>
              <w:t>名称</w:t>
            </w:r>
          </w:p>
        </w:tc>
        <w:tc>
          <w:tcPr>
            <w:tcW w:w="7891" w:type="dxa"/>
            <w:vAlign w:val="center"/>
          </w:tcPr>
          <w:p w14:paraId="21020819">
            <w:pPr>
              <w:jc w:val="center"/>
              <w:rPr>
                <w:b/>
                <w:color w:val="auto"/>
                <w:spacing w:val="4"/>
                <w:highlight w:val="none"/>
              </w:rPr>
            </w:pPr>
            <w:r>
              <w:rPr>
                <w:rFonts w:hint="eastAsia"/>
                <w:b/>
                <w:color w:val="auto"/>
                <w:spacing w:val="4"/>
                <w:highlight w:val="none"/>
              </w:rPr>
              <w:t>二氧化氯</w:t>
            </w:r>
          </w:p>
        </w:tc>
      </w:tr>
      <w:tr w14:paraId="3B72C0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5" w:type="dxa"/>
            <w:vAlign w:val="center"/>
          </w:tcPr>
          <w:p w14:paraId="4E8722A1">
            <w:pPr>
              <w:jc w:val="center"/>
              <w:rPr>
                <w:color w:val="auto"/>
                <w:spacing w:val="4"/>
                <w:highlight w:val="none"/>
              </w:rPr>
            </w:pPr>
            <w:r>
              <w:rPr>
                <w:color w:val="auto"/>
                <w:spacing w:val="4"/>
                <w:highlight w:val="none"/>
              </w:rPr>
              <w:t>化学结构或性质</w:t>
            </w:r>
          </w:p>
        </w:tc>
        <w:tc>
          <w:tcPr>
            <w:tcW w:w="7891" w:type="dxa"/>
            <w:vAlign w:val="center"/>
          </w:tcPr>
          <w:p w14:paraId="7F55E94A">
            <w:pPr>
              <w:jc w:val="center"/>
              <w:rPr>
                <w:color w:val="auto"/>
                <w:spacing w:val="4"/>
                <w:highlight w:val="none"/>
              </w:rPr>
            </w:pPr>
            <w:r>
              <w:rPr>
                <w:color w:val="auto"/>
                <w:highlight w:val="none"/>
              </w:rPr>
              <w:t>名称：二氧化氯</w:t>
            </w:r>
            <w:r>
              <w:rPr>
                <w:rFonts w:hint="eastAsia"/>
                <w:color w:val="auto"/>
                <w:highlight w:val="none"/>
              </w:rPr>
              <w:t>；</w:t>
            </w:r>
            <w:r>
              <w:rPr>
                <w:color w:val="auto"/>
                <w:highlight w:val="none"/>
              </w:rPr>
              <w:t>结构或分子式：ClO</w:t>
            </w:r>
            <w:r>
              <w:rPr>
                <w:rFonts w:hint="eastAsia"/>
                <w:color w:val="auto"/>
                <w:highlight w:val="none"/>
                <w:vertAlign w:val="subscript"/>
              </w:rPr>
              <w:t>2</w:t>
            </w:r>
            <w:r>
              <w:rPr>
                <w:rFonts w:hint="eastAsia" w:ascii="MS Mincho" w:hAnsi="MS Mincho" w:cs="MS Mincho"/>
                <w:color w:val="auto"/>
                <w:highlight w:val="none"/>
              </w:rPr>
              <w:t>；</w:t>
            </w:r>
            <w:r>
              <w:rPr>
                <w:color w:val="auto"/>
                <w:highlight w:val="none"/>
              </w:rPr>
              <w:t>CAS登记号：10049-04-4</w:t>
            </w:r>
            <w:r>
              <w:rPr>
                <w:rFonts w:hint="eastAsia"/>
                <w:color w:val="auto"/>
                <w:highlight w:val="none"/>
              </w:rPr>
              <w:t>；</w:t>
            </w:r>
            <w:r>
              <w:rPr>
                <w:color w:val="auto"/>
                <w:highlight w:val="none"/>
              </w:rPr>
              <w:t>相对分子量：67.46</w:t>
            </w:r>
            <w:r>
              <w:rPr>
                <w:rFonts w:hint="eastAsia"/>
                <w:color w:val="auto"/>
                <w:highlight w:val="none"/>
              </w:rPr>
              <w:t>；</w:t>
            </w:r>
            <w:r>
              <w:rPr>
                <w:color w:val="auto"/>
                <w:highlight w:val="none"/>
              </w:rPr>
              <w:t>密度：3.09（11</w:t>
            </w:r>
            <w:r>
              <w:rPr>
                <w:rFonts w:hint="eastAsia" w:ascii="宋体" w:hAnsi="宋体" w:cs="宋体"/>
                <w:color w:val="auto"/>
                <w:highlight w:val="none"/>
              </w:rPr>
              <w:t>℃</w:t>
            </w:r>
            <w:r>
              <w:rPr>
                <w:color w:val="auto"/>
                <w:highlight w:val="none"/>
              </w:rPr>
              <w:t>）</w:t>
            </w:r>
            <w:r>
              <w:rPr>
                <w:rFonts w:hint="eastAsia"/>
                <w:color w:val="auto"/>
                <w:highlight w:val="none"/>
              </w:rPr>
              <w:t>；</w:t>
            </w:r>
            <w:r>
              <w:rPr>
                <w:color w:val="auto"/>
                <w:highlight w:val="none"/>
              </w:rPr>
              <w:t>熔点（</w:t>
            </w:r>
            <w:r>
              <w:rPr>
                <w:rFonts w:hint="eastAsia" w:ascii="宋体" w:hAnsi="宋体" w:cs="宋体"/>
                <w:color w:val="auto"/>
                <w:highlight w:val="none"/>
              </w:rPr>
              <w:t>℃</w:t>
            </w:r>
            <w:r>
              <w:rPr>
                <w:color w:val="auto"/>
                <w:highlight w:val="none"/>
              </w:rPr>
              <w:t>）：-59.5</w:t>
            </w:r>
            <w:r>
              <w:rPr>
                <w:rFonts w:hint="eastAsia"/>
                <w:color w:val="auto"/>
                <w:highlight w:val="none"/>
              </w:rPr>
              <w:t>；</w:t>
            </w:r>
            <w:r>
              <w:rPr>
                <w:color w:val="auto"/>
                <w:highlight w:val="none"/>
              </w:rPr>
              <w:t>沸点（</w:t>
            </w:r>
            <w:r>
              <w:rPr>
                <w:rFonts w:hint="eastAsia" w:ascii="宋体" w:hAnsi="宋体" w:cs="宋体"/>
                <w:color w:val="auto"/>
                <w:highlight w:val="none"/>
              </w:rPr>
              <w:t>℃</w:t>
            </w:r>
            <w:r>
              <w:rPr>
                <w:color w:val="auto"/>
                <w:highlight w:val="none"/>
              </w:rPr>
              <w:t>）：11</w:t>
            </w:r>
            <w:r>
              <w:rPr>
                <w:rFonts w:hint="eastAsia"/>
                <w:color w:val="auto"/>
                <w:highlight w:val="none"/>
              </w:rPr>
              <w:t>。</w:t>
            </w:r>
            <w:r>
              <w:rPr>
                <w:rFonts w:hint="eastAsia"/>
                <w:color w:val="auto"/>
                <w:spacing w:val="4"/>
                <w:highlight w:val="none"/>
              </w:rPr>
              <w:t>为</w:t>
            </w:r>
            <w:r>
              <w:rPr>
                <w:color w:val="auto"/>
                <w:spacing w:val="4"/>
                <w:highlight w:val="none"/>
              </w:rPr>
              <w:t>红黄色有</w:t>
            </w:r>
            <w:r>
              <w:rPr>
                <w:bCs/>
                <w:color w:val="auto"/>
                <w:spacing w:val="4"/>
                <w:highlight w:val="none"/>
              </w:rPr>
              <w:t>强烈刺激性臭味</w:t>
            </w:r>
            <w:r>
              <w:rPr>
                <w:color w:val="auto"/>
                <w:spacing w:val="4"/>
                <w:highlight w:val="none"/>
              </w:rPr>
              <w:t>气体</w:t>
            </w:r>
            <w:r>
              <w:rPr>
                <w:rFonts w:hint="eastAsia"/>
                <w:color w:val="auto"/>
                <w:spacing w:val="4"/>
                <w:highlight w:val="none"/>
              </w:rPr>
              <w:t>，</w:t>
            </w:r>
            <w:r>
              <w:rPr>
                <w:color w:val="auto"/>
                <w:spacing w:val="4"/>
                <w:highlight w:val="none"/>
              </w:rPr>
              <w:t>11</w:t>
            </w:r>
            <w:r>
              <w:rPr>
                <w:rFonts w:hint="eastAsia" w:ascii="宋体" w:hAnsi="宋体" w:cs="宋体"/>
                <w:color w:val="auto"/>
                <w:spacing w:val="4"/>
                <w:highlight w:val="none"/>
              </w:rPr>
              <w:t>℃</w:t>
            </w:r>
            <w:r>
              <w:rPr>
                <w:color w:val="auto"/>
                <w:spacing w:val="4"/>
                <w:highlight w:val="none"/>
              </w:rPr>
              <w:t>时液化成红棕色液体，-59</w:t>
            </w:r>
            <w:r>
              <w:rPr>
                <w:rFonts w:hint="eastAsia" w:ascii="宋体" w:hAnsi="宋体" w:cs="宋体"/>
                <w:color w:val="auto"/>
                <w:spacing w:val="4"/>
                <w:highlight w:val="none"/>
              </w:rPr>
              <w:t>℃</w:t>
            </w:r>
            <w:r>
              <w:rPr>
                <w:color w:val="auto"/>
                <w:spacing w:val="4"/>
                <w:highlight w:val="none"/>
              </w:rPr>
              <w:t>时凝固成橙红色晶体。属强氧化剂，其有效氯是氯的2.6倍。二氧化氯是一种广谱、高效的灭菌剂。国外许多的研究结果表明，二氧化氯在极低的浓度（0.1ppm）下，即可杀灭许多诸如大肠杆菌、</w:t>
            </w:r>
            <w:r>
              <w:rPr>
                <w:color w:val="auto"/>
                <w:highlight w:val="none"/>
              </w:rPr>
              <w:fldChar w:fldCharType="begin"/>
            </w:r>
            <w:r>
              <w:rPr>
                <w:color w:val="auto"/>
                <w:highlight w:val="none"/>
              </w:rPr>
              <w:instrText xml:space="preserve"> HYPERLINK "http://baike.baidu.com/view/321509.htm" \t "_blank" </w:instrText>
            </w:r>
            <w:r>
              <w:rPr>
                <w:color w:val="auto"/>
                <w:highlight w:val="none"/>
              </w:rPr>
              <w:fldChar w:fldCharType="separate"/>
            </w:r>
            <w:r>
              <w:rPr>
                <w:color w:val="auto"/>
                <w:spacing w:val="4"/>
                <w:highlight w:val="none"/>
              </w:rPr>
              <w:t>金黄色葡萄球菌</w:t>
            </w:r>
            <w:r>
              <w:rPr>
                <w:color w:val="auto"/>
                <w:spacing w:val="4"/>
                <w:highlight w:val="none"/>
              </w:rPr>
              <w:fldChar w:fldCharType="end"/>
            </w:r>
            <w:r>
              <w:rPr>
                <w:color w:val="auto"/>
                <w:spacing w:val="4"/>
                <w:highlight w:val="none"/>
              </w:rPr>
              <w:t>等致病菌。即使在有机物的干扰下，在使用浓度为几十ppm时，也可完全杀灭细菌繁殖体、</w:t>
            </w:r>
            <w:r>
              <w:rPr>
                <w:color w:val="auto"/>
                <w:highlight w:val="none"/>
              </w:rPr>
              <w:fldChar w:fldCharType="begin"/>
            </w:r>
            <w:r>
              <w:rPr>
                <w:color w:val="auto"/>
                <w:highlight w:val="none"/>
              </w:rPr>
              <w:instrText xml:space="preserve"> HYPERLINK "http://baike.baidu.com/view/261066.htm" \t "_blank" </w:instrText>
            </w:r>
            <w:r>
              <w:rPr>
                <w:color w:val="auto"/>
                <w:highlight w:val="none"/>
              </w:rPr>
              <w:fldChar w:fldCharType="separate"/>
            </w:r>
            <w:r>
              <w:rPr>
                <w:color w:val="auto"/>
                <w:spacing w:val="4"/>
                <w:highlight w:val="none"/>
              </w:rPr>
              <w:t>肝炎病毒</w:t>
            </w:r>
            <w:r>
              <w:rPr>
                <w:color w:val="auto"/>
                <w:spacing w:val="4"/>
                <w:highlight w:val="none"/>
              </w:rPr>
              <w:fldChar w:fldCharType="end"/>
            </w:r>
            <w:r>
              <w:rPr>
                <w:color w:val="auto"/>
                <w:spacing w:val="4"/>
                <w:highlight w:val="none"/>
              </w:rPr>
              <w:t>、噬菌体和细菌芽孢等所有微生物。</w:t>
            </w:r>
          </w:p>
        </w:tc>
      </w:tr>
      <w:tr w14:paraId="3A4D67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95" w:type="dxa"/>
            <w:vAlign w:val="center"/>
          </w:tcPr>
          <w:p w14:paraId="1A3DEAB7">
            <w:pPr>
              <w:jc w:val="center"/>
              <w:rPr>
                <w:color w:val="auto"/>
                <w:spacing w:val="4"/>
                <w:highlight w:val="none"/>
              </w:rPr>
            </w:pPr>
            <w:r>
              <w:rPr>
                <w:rFonts w:hint="eastAsia"/>
                <w:color w:val="auto"/>
                <w:spacing w:val="4"/>
                <w:highlight w:val="none"/>
              </w:rPr>
              <w:t>危险特性</w:t>
            </w:r>
          </w:p>
        </w:tc>
        <w:tc>
          <w:tcPr>
            <w:tcW w:w="7891" w:type="dxa"/>
            <w:vAlign w:val="center"/>
          </w:tcPr>
          <w:p w14:paraId="6FDEEAB1">
            <w:pPr>
              <w:jc w:val="center"/>
              <w:rPr>
                <w:color w:val="auto"/>
                <w:spacing w:val="4"/>
                <w:highlight w:val="none"/>
              </w:rPr>
            </w:pPr>
            <w:r>
              <w:rPr>
                <w:color w:val="auto"/>
                <w:spacing w:val="4"/>
                <w:highlight w:val="none"/>
              </w:rPr>
              <w:t>二氧化氯能与许多化学物质发生爆炸性反应。对热、震动、撞击和摩擦相当敏感，极易分解发生爆炸。受热和受光照或遇有机物等能促进氧化作用的物质时，能促进分解并易引起爆炸。二氧化氯具有强氧化性，空气中的体积浓度超过10%便有爆炸性，但其水溶液却是十分安全的（水中含量超过30%易爆炸）。二氧化氯是安全、无毒的消毒剂，无</w:t>
            </w:r>
            <w:r>
              <w:rPr>
                <w:rFonts w:hint="eastAsia"/>
                <w:color w:val="auto"/>
                <w:spacing w:val="4"/>
                <w:highlight w:val="none"/>
              </w:rPr>
              <w:t>“</w:t>
            </w:r>
            <w:r>
              <w:rPr>
                <w:color w:val="auto"/>
                <w:spacing w:val="4"/>
                <w:highlight w:val="none"/>
              </w:rPr>
              <w:t>三致</w:t>
            </w:r>
            <w:r>
              <w:rPr>
                <w:rFonts w:hint="eastAsia"/>
                <w:color w:val="auto"/>
                <w:spacing w:val="4"/>
                <w:highlight w:val="none"/>
              </w:rPr>
              <w:t>”</w:t>
            </w:r>
            <w:r>
              <w:rPr>
                <w:color w:val="auto"/>
                <w:spacing w:val="4"/>
                <w:highlight w:val="none"/>
              </w:rPr>
              <w:t>效应（致癌、致畸、致突变），同时在消毒过程中也不与有机物发生氯代反应生成可产生“三致作用”的有机氯化物或其它有毒类物质。但由于二氧化氯具有极强的氧化能力，应避免在高浓度时（&gt;500ppm）使用。当使用浓度低于500ppm时，其对人体的影响可以忽略，100ppm以下时不会对人体产生任何的影响，包括生理生化方面的影响。对皮肤亦无任何的致敏作用。ClO</w:t>
            </w:r>
            <w:r>
              <w:rPr>
                <w:color w:val="auto"/>
                <w:spacing w:val="4"/>
                <w:highlight w:val="none"/>
                <w:vertAlign w:val="subscript"/>
              </w:rPr>
              <w:t>2</w:t>
            </w:r>
            <w:r>
              <w:rPr>
                <w:color w:val="auto"/>
                <w:spacing w:val="4"/>
                <w:highlight w:val="none"/>
              </w:rPr>
              <w:t>的安全浓度为0.75mg/</w:t>
            </w:r>
            <w:r>
              <w:rPr>
                <w:rFonts w:hint="eastAsia"/>
                <w:color w:val="auto"/>
                <w:spacing w:val="4"/>
                <w:highlight w:val="none"/>
              </w:rPr>
              <w:t>L，</w:t>
            </w:r>
            <w:r>
              <w:rPr>
                <w:color w:val="auto"/>
                <w:spacing w:val="4"/>
                <w:highlight w:val="none"/>
              </w:rPr>
              <w:t>由小白鼠急性经口毒性实验，ClO</w:t>
            </w:r>
            <w:r>
              <w:rPr>
                <w:color w:val="auto"/>
                <w:spacing w:val="4"/>
                <w:highlight w:val="none"/>
                <w:vertAlign w:val="subscript"/>
              </w:rPr>
              <w:t>2</w:t>
            </w:r>
            <w:r>
              <w:rPr>
                <w:color w:val="auto"/>
                <w:spacing w:val="4"/>
                <w:highlight w:val="none"/>
              </w:rPr>
              <w:t>属实际无毒型水处理剂。</w:t>
            </w:r>
          </w:p>
        </w:tc>
      </w:tr>
      <w:tr w14:paraId="3D6D86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95" w:type="dxa"/>
            <w:vAlign w:val="center"/>
          </w:tcPr>
          <w:p w14:paraId="559D8983">
            <w:pPr>
              <w:jc w:val="center"/>
              <w:rPr>
                <w:rFonts w:hint="eastAsia"/>
                <w:color w:val="auto"/>
                <w:spacing w:val="4"/>
                <w:highlight w:val="none"/>
              </w:rPr>
            </w:pPr>
            <w:r>
              <w:rPr>
                <w:b/>
                <w:color w:val="auto"/>
                <w:spacing w:val="4"/>
                <w:highlight w:val="none"/>
              </w:rPr>
              <w:t>名称</w:t>
            </w:r>
          </w:p>
        </w:tc>
        <w:tc>
          <w:tcPr>
            <w:tcW w:w="7891" w:type="dxa"/>
            <w:vAlign w:val="center"/>
          </w:tcPr>
          <w:p w14:paraId="28A437B1">
            <w:pPr>
              <w:jc w:val="center"/>
              <w:rPr>
                <w:color w:val="auto"/>
                <w:spacing w:val="4"/>
                <w:highlight w:val="none"/>
              </w:rPr>
            </w:pPr>
            <w:r>
              <w:rPr>
                <w:rFonts w:hint="eastAsia"/>
                <w:b/>
                <w:color w:val="auto"/>
                <w:spacing w:val="4"/>
                <w:highlight w:val="none"/>
              </w:rPr>
              <w:t>盐酸</w:t>
            </w:r>
          </w:p>
        </w:tc>
      </w:tr>
      <w:tr w14:paraId="32D843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95" w:type="dxa"/>
            <w:vAlign w:val="center"/>
          </w:tcPr>
          <w:p w14:paraId="239805F2">
            <w:pPr>
              <w:jc w:val="center"/>
              <w:rPr>
                <w:rFonts w:hint="eastAsia"/>
                <w:color w:val="auto"/>
                <w:spacing w:val="4"/>
                <w:highlight w:val="none"/>
              </w:rPr>
            </w:pPr>
            <w:r>
              <w:rPr>
                <w:color w:val="auto"/>
                <w:spacing w:val="4"/>
                <w:highlight w:val="none"/>
              </w:rPr>
              <w:t>化学结构或性质</w:t>
            </w:r>
          </w:p>
        </w:tc>
        <w:tc>
          <w:tcPr>
            <w:tcW w:w="7891" w:type="dxa"/>
            <w:vAlign w:val="center"/>
          </w:tcPr>
          <w:p w14:paraId="45E818CB">
            <w:pPr>
              <w:jc w:val="center"/>
              <w:rPr>
                <w:color w:val="auto"/>
                <w:spacing w:val="4"/>
                <w:highlight w:val="none"/>
              </w:rPr>
            </w:pPr>
            <w:r>
              <w:rPr>
                <w:color w:val="auto"/>
                <w:spacing w:val="4"/>
                <w:highlight w:val="none"/>
              </w:rPr>
              <w:t>氯化氢水溶液俗称盐酸，学名氢氯酸。盐酸是无色液体，有腐蚀性，为氯化氢的水溶液，具有刺激性气味。浓盐酸具有挥发性，挥发出的氯化氢气体与空气中的水蒸气作用形成盐酸小液滴，所以会看到酸雾。主要成分：氯化氢，水。氯化氢分子式为HCl</w:t>
            </w:r>
            <w:r>
              <w:rPr>
                <w:rFonts w:hint="eastAsia"/>
                <w:color w:val="auto"/>
                <w:spacing w:val="4"/>
                <w:highlight w:val="none"/>
              </w:rPr>
              <w:t>，</w:t>
            </w:r>
            <w:r>
              <w:rPr>
                <w:color w:val="auto"/>
                <w:spacing w:val="4"/>
                <w:highlight w:val="none"/>
              </w:rPr>
              <w:t>相对分子质量为36.5</w:t>
            </w:r>
            <w:r>
              <w:rPr>
                <w:rFonts w:hint="eastAsia"/>
                <w:color w:val="auto"/>
                <w:spacing w:val="4"/>
                <w:highlight w:val="none"/>
              </w:rPr>
              <w:t>。</w:t>
            </w:r>
            <w:r>
              <w:rPr>
                <w:color w:val="auto"/>
                <w:spacing w:val="4"/>
                <w:highlight w:val="none"/>
              </w:rPr>
              <w:t>一般使用的盐酸pH在2~3左右（呈强酸性）</w:t>
            </w:r>
            <w:r>
              <w:rPr>
                <w:rFonts w:hint="eastAsia"/>
                <w:color w:val="auto"/>
                <w:spacing w:val="4"/>
                <w:highlight w:val="none"/>
              </w:rPr>
              <w:t>，</w:t>
            </w:r>
            <w:r>
              <w:rPr>
                <w:color w:val="auto"/>
                <w:spacing w:val="4"/>
                <w:highlight w:val="none"/>
              </w:rPr>
              <w:t>pKa：-7</w:t>
            </w:r>
            <w:r>
              <w:rPr>
                <w:rFonts w:hint="eastAsia"/>
                <w:color w:val="auto"/>
                <w:spacing w:val="4"/>
                <w:highlight w:val="none"/>
              </w:rPr>
              <w:t>；</w:t>
            </w:r>
            <w:r>
              <w:rPr>
                <w:color w:val="auto"/>
                <w:spacing w:val="4"/>
                <w:highlight w:val="none"/>
              </w:rPr>
              <w:t>熔点(</w:t>
            </w:r>
            <w:r>
              <w:rPr>
                <w:rFonts w:hint="eastAsia" w:ascii="宋体" w:hAnsi="宋体" w:cs="宋体"/>
                <w:color w:val="auto"/>
                <w:spacing w:val="4"/>
                <w:highlight w:val="none"/>
              </w:rPr>
              <w:t>℃</w:t>
            </w:r>
            <w:r>
              <w:rPr>
                <w:color w:val="auto"/>
                <w:spacing w:val="4"/>
                <w:highlight w:val="none"/>
              </w:rPr>
              <w:t>)：-35 °C</w:t>
            </w:r>
            <w:r>
              <w:rPr>
                <w:rFonts w:hint="eastAsia"/>
                <w:color w:val="auto"/>
                <w:spacing w:val="4"/>
                <w:highlight w:val="none"/>
              </w:rPr>
              <w:t>；</w:t>
            </w:r>
            <w:r>
              <w:rPr>
                <w:color w:val="auto"/>
                <w:spacing w:val="4"/>
                <w:highlight w:val="none"/>
              </w:rPr>
              <w:t>沸点(</w:t>
            </w:r>
            <w:r>
              <w:rPr>
                <w:rFonts w:hint="eastAsia" w:ascii="宋体" w:hAnsi="宋体" w:cs="宋体"/>
                <w:color w:val="auto"/>
                <w:spacing w:val="4"/>
                <w:highlight w:val="none"/>
              </w:rPr>
              <w:t>℃</w:t>
            </w:r>
            <w:r>
              <w:rPr>
                <w:color w:val="auto"/>
                <w:spacing w:val="4"/>
                <w:highlight w:val="none"/>
              </w:rPr>
              <w:t>)：57 °C</w:t>
            </w:r>
            <w:r>
              <w:rPr>
                <w:rFonts w:hint="eastAsia"/>
                <w:color w:val="auto"/>
                <w:spacing w:val="4"/>
                <w:highlight w:val="none"/>
              </w:rPr>
              <w:t>；</w:t>
            </w:r>
            <w:r>
              <w:rPr>
                <w:color w:val="auto"/>
                <w:spacing w:val="4"/>
                <w:highlight w:val="none"/>
              </w:rPr>
              <w:t>相对密度(水=1)：1.20</w:t>
            </w:r>
            <w:r>
              <w:rPr>
                <w:rFonts w:hint="eastAsia"/>
                <w:color w:val="auto"/>
                <w:spacing w:val="4"/>
                <w:highlight w:val="none"/>
              </w:rPr>
              <w:t>；</w:t>
            </w:r>
            <w:r>
              <w:rPr>
                <w:color w:val="auto"/>
                <w:spacing w:val="4"/>
                <w:highlight w:val="none"/>
              </w:rPr>
              <w:t>相对蒸气密度(空气=1)：1.26</w:t>
            </w:r>
            <w:r>
              <w:rPr>
                <w:rFonts w:hint="eastAsia"/>
                <w:color w:val="auto"/>
                <w:spacing w:val="4"/>
                <w:highlight w:val="none"/>
              </w:rPr>
              <w:t>；</w:t>
            </w:r>
            <w:r>
              <w:rPr>
                <w:color w:val="auto"/>
                <w:spacing w:val="4"/>
                <w:highlight w:val="none"/>
              </w:rPr>
              <w:t>饱和蒸气压(kPa)：30.66(21</w:t>
            </w:r>
            <w:r>
              <w:rPr>
                <w:rFonts w:hint="eastAsia" w:ascii="宋体" w:hAnsi="宋体" w:cs="宋体"/>
                <w:color w:val="auto"/>
                <w:spacing w:val="4"/>
                <w:highlight w:val="none"/>
              </w:rPr>
              <w:t>℃</w:t>
            </w:r>
            <w:r>
              <w:rPr>
                <w:color w:val="auto"/>
                <w:spacing w:val="4"/>
                <w:highlight w:val="none"/>
              </w:rPr>
              <w:t>)</w:t>
            </w:r>
            <w:r>
              <w:rPr>
                <w:rFonts w:hint="eastAsia"/>
                <w:color w:val="auto"/>
                <w:spacing w:val="4"/>
                <w:highlight w:val="none"/>
              </w:rPr>
              <w:t>。</w:t>
            </w:r>
            <w:r>
              <w:rPr>
                <w:color w:val="auto"/>
                <w:spacing w:val="4"/>
                <w:highlight w:val="none"/>
              </w:rPr>
              <w:t>溶解性：与水混溶，浓盐酸溶于水有热量放出。溶于碱液并与碱液发生中和反应。</w:t>
            </w:r>
          </w:p>
        </w:tc>
      </w:tr>
      <w:tr w14:paraId="6DF5A6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95" w:type="dxa"/>
            <w:vAlign w:val="center"/>
          </w:tcPr>
          <w:p w14:paraId="0BE59DFF">
            <w:pPr>
              <w:jc w:val="center"/>
              <w:rPr>
                <w:rFonts w:hint="eastAsia"/>
                <w:color w:val="auto"/>
                <w:spacing w:val="4"/>
                <w:highlight w:val="none"/>
              </w:rPr>
            </w:pPr>
            <w:r>
              <w:rPr>
                <w:rFonts w:hint="eastAsia"/>
                <w:color w:val="auto"/>
                <w:spacing w:val="4"/>
                <w:highlight w:val="none"/>
              </w:rPr>
              <w:t>危险特性</w:t>
            </w:r>
          </w:p>
        </w:tc>
        <w:tc>
          <w:tcPr>
            <w:tcW w:w="7891" w:type="dxa"/>
            <w:vAlign w:val="center"/>
          </w:tcPr>
          <w:p w14:paraId="02AFBCFF">
            <w:pPr>
              <w:jc w:val="center"/>
              <w:rPr>
                <w:color w:val="auto"/>
                <w:spacing w:val="4"/>
                <w:highlight w:val="none"/>
              </w:rPr>
            </w:pPr>
            <w:r>
              <w:rPr>
                <w:bCs/>
                <w:color w:val="auto"/>
                <w:spacing w:val="4"/>
                <w:highlight w:val="none"/>
              </w:rPr>
              <w:t>健康危害：</w:t>
            </w:r>
            <w:r>
              <w:rPr>
                <w:color w:val="auto"/>
                <w:spacing w:val="4"/>
                <w:highlight w:val="none"/>
              </w:rPr>
              <w:t>接触其蒸气或烟雾，可引起急性中毒：出现眼结膜炎，鼻及口腔粘膜有烧灼感，鼻出血、齿龈出血，气管炎等。误服可引起消化道灼伤、溃疡形成，有可能引起胃穿孔、腹膜炎等。眼和皮肤接触可致灼伤。</w:t>
            </w:r>
            <w:r>
              <w:rPr>
                <w:bCs/>
                <w:color w:val="auto"/>
                <w:spacing w:val="4"/>
                <w:highlight w:val="none"/>
              </w:rPr>
              <w:t>慢性影响：</w:t>
            </w:r>
            <w:r>
              <w:rPr>
                <w:color w:val="auto"/>
                <w:spacing w:val="4"/>
                <w:highlight w:val="none"/>
              </w:rPr>
              <w:t>长期接触，引起慢性鼻炎、慢性支气管炎、牙齿酸蚀症及皮肤损害。</w:t>
            </w:r>
            <w:r>
              <w:rPr>
                <w:bCs/>
                <w:color w:val="auto"/>
                <w:spacing w:val="4"/>
                <w:highlight w:val="none"/>
              </w:rPr>
              <w:t>环境危害：</w:t>
            </w:r>
            <w:r>
              <w:rPr>
                <w:color w:val="auto"/>
                <w:spacing w:val="4"/>
                <w:highlight w:val="none"/>
              </w:rPr>
              <w:t>对环境有危害，对水体和土壤可造成污染。</w:t>
            </w:r>
          </w:p>
          <w:p w14:paraId="78768E0E">
            <w:pPr>
              <w:jc w:val="center"/>
              <w:rPr>
                <w:color w:val="auto"/>
                <w:spacing w:val="4"/>
                <w:highlight w:val="none"/>
              </w:rPr>
            </w:pPr>
            <w:r>
              <w:rPr>
                <w:bCs/>
                <w:color w:val="auto"/>
                <w:spacing w:val="4"/>
                <w:highlight w:val="none"/>
              </w:rPr>
              <w:t>燃爆危险：</w:t>
            </w:r>
            <w:r>
              <w:rPr>
                <w:color w:val="auto"/>
                <w:spacing w:val="4"/>
                <w:highlight w:val="none"/>
              </w:rPr>
              <w:t>该品不燃。具强腐蚀性、强刺激性，可致人体灼伤。</w:t>
            </w:r>
          </w:p>
          <w:p w14:paraId="4498DD7D">
            <w:pPr>
              <w:jc w:val="center"/>
              <w:rPr>
                <w:color w:val="auto"/>
                <w:spacing w:val="4"/>
                <w:highlight w:val="none"/>
              </w:rPr>
            </w:pPr>
            <w:r>
              <w:rPr>
                <w:color w:val="auto"/>
                <w:spacing w:val="4"/>
                <w:highlight w:val="none"/>
              </w:rPr>
              <w:t>急性毒性：LD</w:t>
            </w:r>
            <w:r>
              <w:rPr>
                <w:color w:val="auto"/>
                <w:spacing w:val="4"/>
                <w:highlight w:val="none"/>
                <w:vertAlign w:val="subscript"/>
              </w:rPr>
              <w:t>50</w:t>
            </w:r>
            <w:r>
              <w:rPr>
                <w:color w:val="auto"/>
                <w:spacing w:val="4"/>
                <w:highlight w:val="none"/>
              </w:rPr>
              <w:t>900mg/kg（兔经口）；LC</w:t>
            </w:r>
            <w:r>
              <w:rPr>
                <w:color w:val="auto"/>
                <w:spacing w:val="4"/>
                <w:highlight w:val="none"/>
                <w:vertAlign w:val="subscript"/>
              </w:rPr>
              <w:t>50</w:t>
            </w:r>
            <w:r>
              <w:rPr>
                <w:color w:val="auto"/>
                <w:spacing w:val="4"/>
                <w:highlight w:val="none"/>
              </w:rPr>
              <w:t>3124ppm，1小时(大鼠吸入)</w:t>
            </w:r>
            <w:r>
              <w:rPr>
                <w:rFonts w:hint="eastAsia"/>
                <w:color w:val="auto"/>
                <w:spacing w:val="4"/>
                <w:highlight w:val="none"/>
              </w:rPr>
              <w:t>。</w:t>
            </w:r>
          </w:p>
        </w:tc>
      </w:tr>
      <w:tr w14:paraId="13D552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95" w:type="dxa"/>
            <w:vAlign w:val="center"/>
          </w:tcPr>
          <w:p w14:paraId="4C9BD953">
            <w:pPr>
              <w:jc w:val="center"/>
              <w:rPr>
                <w:rFonts w:hint="eastAsia"/>
                <w:color w:val="auto"/>
                <w:spacing w:val="4"/>
                <w:highlight w:val="none"/>
              </w:rPr>
            </w:pPr>
            <w:r>
              <w:rPr>
                <w:b/>
                <w:color w:val="auto"/>
                <w:spacing w:val="4"/>
                <w:highlight w:val="none"/>
              </w:rPr>
              <w:t>名称</w:t>
            </w:r>
          </w:p>
        </w:tc>
        <w:tc>
          <w:tcPr>
            <w:tcW w:w="7891" w:type="dxa"/>
            <w:vAlign w:val="center"/>
          </w:tcPr>
          <w:p w14:paraId="209E2051">
            <w:pPr>
              <w:jc w:val="center"/>
              <w:rPr>
                <w:rFonts w:hint="eastAsia" w:eastAsia="宋体"/>
                <w:color w:val="auto"/>
                <w:spacing w:val="4"/>
                <w:highlight w:val="none"/>
                <w:lang w:eastAsia="zh-CN"/>
              </w:rPr>
            </w:pPr>
            <w:r>
              <w:rPr>
                <w:rFonts w:hint="eastAsia"/>
                <w:b/>
                <w:color w:val="auto"/>
                <w:spacing w:val="4"/>
                <w:highlight w:val="none"/>
                <w:lang w:eastAsia="zh-CN"/>
              </w:rPr>
              <w:t>氧气</w:t>
            </w:r>
          </w:p>
        </w:tc>
      </w:tr>
      <w:tr w14:paraId="2E299E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95" w:type="dxa"/>
            <w:vAlign w:val="center"/>
          </w:tcPr>
          <w:p w14:paraId="341BD7EE">
            <w:pPr>
              <w:jc w:val="center"/>
              <w:rPr>
                <w:rFonts w:hint="eastAsia"/>
                <w:color w:val="auto"/>
                <w:spacing w:val="4"/>
                <w:highlight w:val="none"/>
              </w:rPr>
            </w:pPr>
            <w:r>
              <w:rPr>
                <w:color w:val="auto"/>
                <w:spacing w:val="4"/>
                <w:highlight w:val="none"/>
              </w:rPr>
              <w:t>化学结构或性质</w:t>
            </w:r>
          </w:p>
        </w:tc>
        <w:tc>
          <w:tcPr>
            <w:tcW w:w="7891" w:type="dxa"/>
            <w:vAlign w:val="center"/>
          </w:tcPr>
          <w:p w14:paraId="0FE8905C">
            <w:pPr>
              <w:jc w:val="center"/>
              <w:rPr>
                <w:color w:val="auto"/>
                <w:spacing w:val="4"/>
                <w:highlight w:val="none"/>
              </w:rPr>
            </w:pPr>
            <w:r>
              <w:rPr>
                <w:rFonts w:hint="eastAsia" w:ascii="Times New Roman" w:hAnsi="Times New Roman" w:cs="Times New Roman"/>
                <w:color w:val="auto"/>
                <w:sz w:val="21"/>
                <w:szCs w:val="21"/>
                <w:highlight w:val="none"/>
              </w:rPr>
              <w:t>无色无味气体，熔点-218.8℃，沸点-183.1℃，相对密度1.14（-183℃，水=1），相对蒸气密度1.43（空气=1），</w:t>
            </w: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HYPERLINK "https://baike.baidu.com/item/%E9%A5%B1%E5%92%8C%E8%92%B8%E6%B0%94%E5%8E%8B" \t "https://baike.baidu.com/item/%E6%B0%A7%E6%B0%94/_blank" </w:instrText>
            </w:r>
            <w:r>
              <w:rPr>
                <w:rFonts w:hint="default" w:ascii="Times New Roman" w:hAnsi="Times New Roman" w:cs="Times New Roman"/>
                <w:color w:val="auto"/>
                <w:sz w:val="21"/>
                <w:szCs w:val="21"/>
                <w:highlight w:val="none"/>
              </w:rPr>
              <w:fldChar w:fldCharType="separate"/>
            </w:r>
            <w:r>
              <w:rPr>
                <w:rFonts w:hint="default" w:ascii="Times New Roman" w:hAnsi="Times New Roman" w:cs="Times New Roman"/>
                <w:color w:val="auto"/>
                <w:sz w:val="21"/>
                <w:szCs w:val="21"/>
                <w:highlight w:val="none"/>
              </w:rPr>
              <w:t>饱和蒸气压</w:t>
            </w:r>
            <w:r>
              <w:rPr>
                <w:rFonts w:hint="default" w:ascii="Times New Roman" w:hAnsi="Times New Roman" w:cs="Times New Roman"/>
                <w:color w:val="auto"/>
                <w:sz w:val="21"/>
                <w:szCs w:val="21"/>
                <w:highlight w:val="none"/>
              </w:rPr>
              <w:fldChar w:fldCharType="end"/>
            </w:r>
            <w:r>
              <w:rPr>
                <w:rFonts w:hint="default" w:ascii="Times New Roman" w:hAnsi="Times New Roman" w:cs="Times New Roman"/>
                <w:color w:val="auto"/>
                <w:sz w:val="21"/>
                <w:szCs w:val="21"/>
                <w:highlight w:val="none"/>
              </w:rPr>
              <w:t>506.62kPa（-164℃），</w:t>
            </w: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HYPERLINK "https://baike.baidu.com/item/%E4%B8%B4%E7%95%8C%E6%B8%A9%E5%BA%A6/22831" \t "https://baike.baidu.com/item/%E6%B0%A7%E6%B0%94/_blank" </w:instrText>
            </w:r>
            <w:r>
              <w:rPr>
                <w:rFonts w:hint="default" w:ascii="Times New Roman" w:hAnsi="Times New Roman" w:cs="Times New Roman"/>
                <w:color w:val="auto"/>
                <w:sz w:val="21"/>
                <w:szCs w:val="21"/>
                <w:highlight w:val="none"/>
              </w:rPr>
              <w:fldChar w:fldCharType="separate"/>
            </w:r>
            <w:r>
              <w:rPr>
                <w:rFonts w:hint="default" w:ascii="Times New Roman" w:hAnsi="Times New Roman" w:cs="Times New Roman"/>
                <w:color w:val="auto"/>
                <w:sz w:val="21"/>
                <w:szCs w:val="21"/>
                <w:highlight w:val="none"/>
              </w:rPr>
              <w:t>临界温度</w:t>
            </w:r>
            <w:r>
              <w:rPr>
                <w:rFonts w:hint="default" w:ascii="Times New Roman" w:hAnsi="Times New Roman" w:cs="Times New Roman"/>
                <w:color w:val="auto"/>
                <w:sz w:val="21"/>
                <w:szCs w:val="21"/>
                <w:highlight w:val="none"/>
              </w:rPr>
              <w:fldChar w:fldCharType="end"/>
            </w:r>
            <w:r>
              <w:rPr>
                <w:rFonts w:hint="default" w:ascii="Times New Roman" w:hAnsi="Times New Roman" w:cs="Times New Roman"/>
                <w:color w:val="auto"/>
                <w:sz w:val="21"/>
                <w:szCs w:val="21"/>
                <w:highlight w:val="none"/>
              </w:rPr>
              <w:t>-118.95℃，</w:t>
            </w: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HYPERLINK "https://baike.baidu.com/item/%E4%B8%B4%E7%95%8C%E5%8E%8B%E5%8A%9B" \t "https://baike.baidu.com/item/%E6%B0%A7%E6%B0%94/_blank" </w:instrText>
            </w:r>
            <w:r>
              <w:rPr>
                <w:rFonts w:hint="default" w:ascii="Times New Roman" w:hAnsi="Times New Roman" w:cs="Times New Roman"/>
                <w:color w:val="auto"/>
                <w:sz w:val="21"/>
                <w:szCs w:val="21"/>
                <w:highlight w:val="none"/>
              </w:rPr>
              <w:fldChar w:fldCharType="separate"/>
            </w:r>
            <w:r>
              <w:rPr>
                <w:rFonts w:hint="default" w:ascii="Times New Roman" w:hAnsi="Times New Roman" w:cs="Times New Roman"/>
                <w:color w:val="auto"/>
                <w:sz w:val="21"/>
                <w:szCs w:val="21"/>
                <w:highlight w:val="none"/>
              </w:rPr>
              <w:t>临界压力</w:t>
            </w:r>
            <w:r>
              <w:rPr>
                <w:rFonts w:hint="default" w:ascii="Times New Roman" w:hAnsi="Times New Roman" w:cs="Times New Roman"/>
                <w:color w:val="auto"/>
                <w:sz w:val="21"/>
                <w:szCs w:val="21"/>
                <w:highlight w:val="none"/>
              </w:rPr>
              <w:fldChar w:fldCharType="end"/>
            </w:r>
            <w:r>
              <w:rPr>
                <w:rFonts w:hint="default" w:ascii="Times New Roman" w:hAnsi="Times New Roman" w:cs="Times New Roman"/>
                <w:color w:val="auto"/>
                <w:sz w:val="21"/>
                <w:szCs w:val="21"/>
                <w:highlight w:val="none"/>
              </w:rPr>
              <w:t>5.08MPa</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rPr>
              <w:t>氧气的化学性质比较活泼</w:t>
            </w:r>
            <w:r>
              <w:rPr>
                <w:rFonts w:hint="eastAsia" w:ascii="Times New Roman" w:hAnsi="Times New Roman" w:cs="Times New Roman"/>
                <w:color w:val="auto"/>
                <w:sz w:val="21"/>
                <w:szCs w:val="21"/>
                <w:highlight w:val="none"/>
                <w:lang w:eastAsia="zh-CN"/>
              </w:rPr>
              <w:t>，具有助燃性</w:t>
            </w:r>
            <w:r>
              <w:rPr>
                <w:rFonts w:hint="eastAsia" w:ascii="Times New Roman" w:hAnsi="Times New Roman" w:cs="Times New Roman"/>
                <w:color w:val="auto"/>
                <w:sz w:val="21"/>
                <w:szCs w:val="21"/>
                <w:highlight w:val="none"/>
              </w:rPr>
              <w:t>。除了</w:t>
            </w: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HYPERLINK "https://baike.baidu.com/item/%E7%A8%80%E6%9C%89%E6%B0%94%E4%BD%93" \t "https://baike.baidu.com/item/%E6%B0%A7%E6%B0%94/_blank" </w:instrText>
            </w:r>
            <w:r>
              <w:rPr>
                <w:rFonts w:hint="default" w:ascii="Times New Roman" w:hAnsi="Times New Roman" w:cs="Times New Roman"/>
                <w:color w:val="auto"/>
                <w:sz w:val="21"/>
                <w:szCs w:val="21"/>
                <w:highlight w:val="none"/>
              </w:rPr>
              <w:fldChar w:fldCharType="separate"/>
            </w:r>
            <w:r>
              <w:rPr>
                <w:rFonts w:hint="default" w:ascii="Times New Roman" w:hAnsi="Times New Roman" w:cs="Times New Roman"/>
                <w:color w:val="auto"/>
                <w:sz w:val="21"/>
                <w:szCs w:val="21"/>
                <w:highlight w:val="none"/>
              </w:rPr>
              <w:t>稀有气体</w:t>
            </w:r>
            <w:r>
              <w:rPr>
                <w:rFonts w:hint="default" w:ascii="Times New Roman" w:hAnsi="Times New Roman" w:cs="Times New Roman"/>
                <w:color w:val="auto"/>
                <w:sz w:val="21"/>
                <w:szCs w:val="21"/>
                <w:highlight w:val="none"/>
              </w:rPr>
              <w:fldChar w:fldCharType="end"/>
            </w:r>
            <w:r>
              <w:rPr>
                <w:rFonts w:hint="default" w:ascii="Times New Roman" w:hAnsi="Times New Roman" w:cs="Times New Roman"/>
                <w:color w:val="auto"/>
                <w:sz w:val="21"/>
                <w:szCs w:val="21"/>
                <w:highlight w:val="none"/>
              </w:rPr>
              <w:t>、活性小的</w:t>
            </w: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HYPERLINK "https://baike.baidu.com/item/%E9%87%91%E5%B1%9E%E5%85%83%E7%B4%A0" \t "https://baike.baidu.com/item/%E6%B0%A7%E6%B0%94/_blank" </w:instrText>
            </w:r>
            <w:r>
              <w:rPr>
                <w:rFonts w:hint="default" w:ascii="Times New Roman" w:hAnsi="Times New Roman" w:cs="Times New Roman"/>
                <w:color w:val="auto"/>
                <w:sz w:val="21"/>
                <w:szCs w:val="21"/>
                <w:highlight w:val="none"/>
              </w:rPr>
              <w:fldChar w:fldCharType="separate"/>
            </w:r>
            <w:r>
              <w:rPr>
                <w:rFonts w:hint="default" w:ascii="Times New Roman" w:hAnsi="Times New Roman" w:cs="Times New Roman"/>
                <w:color w:val="auto"/>
                <w:sz w:val="21"/>
                <w:szCs w:val="21"/>
                <w:highlight w:val="none"/>
              </w:rPr>
              <w:t>金属元素</w:t>
            </w:r>
            <w:r>
              <w:rPr>
                <w:rFonts w:hint="default" w:ascii="Times New Roman" w:hAnsi="Times New Roman" w:cs="Times New Roman"/>
                <w:color w:val="auto"/>
                <w:sz w:val="21"/>
                <w:szCs w:val="21"/>
                <w:highlight w:val="none"/>
              </w:rPr>
              <w:fldChar w:fldCharType="end"/>
            </w:r>
            <w:r>
              <w:rPr>
                <w:rFonts w:hint="default" w:ascii="Times New Roman" w:hAnsi="Times New Roman" w:cs="Times New Roman"/>
                <w:color w:val="auto"/>
                <w:sz w:val="21"/>
                <w:szCs w:val="21"/>
                <w:highlight w:val="none"/>
              </w:rPr>
              <w:t>如金、铂、</w:t>
            </w: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HYPERLINK "https://baike.baidu.com/item/%E9%93%B6" \t "https://baike.baidu.com/item/%E6%B0%A7%E6%B0%94/_blank" </w:instrText>
            </w:r>
            <w:r>
              <w:rPr>
                <w:rFonts w:hint="default" w:ascii="Times New Roman" w:hAnsi="Times New Roman" w:cs="Times New Roman"/>
                <w:color w:val="auto"/>
                <w:sz w:val="21"/>
                <w:szCs w:val="21"/>
                <w:highlight w:val="none"/>
              </w:rPr>
              <w:fldChar w:fldCharType="separate"/>
            </w:r>
            <w:r>
              <w:rPr>
                <w:rFonts w:hint="default" w:ascii="Times New Roman" w:hAnsi="Times New Roman" w:cs="Times New Roman"/>
                <w:color w:val="auto"/>
                <w:sz w:val="21"/>
                <w:szCs w:val="21"/>
                <w:highlight w:val="none"/>
              </w:rPr>
              <w:t>银</w:t>
            </w:r>
            <w:r>
              <w:rPr>
                <w:rFonts w:hint="default" w:ascii="Times New Roman" w:hAnsi="Times New Roman" w:cs="Times New Roman"/>
                <w:color w:val="auto"/>
                <w:sz w:val="21"/>
                <w:szCs w:val="21"/>
                <w:highlight w:val="none"/>
              </w:rPr>
              <w:fldChar w:fldCharType="end"/>
            </w:r>
            <w:r>
              <w:rPr>
                <w:rFonts w:hint="default" w:ascii="Times New Roman" w:hAnsi="Times New Roman" w:cs="Times New Roman"/>
                <w:color w:val="auto"/>
                <w:sz w:val="21"/>
                <w:szCs w:val="21"/>
                <w:highlight w:val="none"/>
              </w:rPr>
              <w:t>之外，大部分的元素都能与氧气反应，这些反应称为</w:t>
            </w: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HYPERLINK "https://baike.baidu.com/item/%E6%B0%A7%E5%8C%96%E5%8F%8D%E5%BA%94" \t "https://baike.baidu.com/item/%E6%B0%A7%E6%B0%94/_blank" </w:instrText>
            </w:r>
            <w:r>
              <w:rPr>
                <w:rFonts w:hint="default" w:ascii="Times New Roman" w:hAnsi="Times New Roman" w:cs="Times New Roman"/>
                <w:color w:val="auto"/>
                <w:sz w:val="21"/>
                <w:szCs w:val="21"/>
                <w:highlight w:val="none"/>
              </w:rPr>
              <w:fldChar w:fldCharType="separate"/>
            </w:r>
            <w:r>
              <w:rPr>
                <w:rFonts w:hint="default" w:ascii="Times New Roman" w:hAnsi="Times New Roman" w:cs="Times New Roman"/>
                <w:color w:val="auto"/>
                <w:sz w:val="21"/>
                <w:szCs w:val="21"/>
                <w:highlight w:val="none"/>
              </w:rPr>
              <w:t>氧化反应</w:t>
            </w:r>
            <w:r>
              <w:rPr>
                <w:rFonts w:hint="default" w:ascii="Times New Roman" w:hAnsi="Times New Roman" w:cs="Times New Roman"/>
                <w:color w:val="auto"/>
                <w:sz w:val="21"/>
                <w:szCs w:val="21"/>
                <w:highlight w:val="none"/>
              </w:rPr>
              <w:fldChar w:fldCharType="end"/>
            </w:r>
            <w:r>
              <w:rPr>
                <w:rFonts w:hint="default" w:ascii="Times New Roman" w:hAnsi="Times New Roman" w:cs="Times New Roman"/>
                <w:color w:val="auto"/>
                <w:sz w:val="21"/>
                <w:szCs w:val="21"/>
                <w:highlight w:val="none"/>
              </w:rPr>
              <w:t>，而经过反应产生的化合物称为氧化物。</w:t>
            </w:r>
          </w:p>
        </w:tc>
      </w:tr>
      <w:tr w14:paraId="603A55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95" w:type="dxa"/>
            <w:vAlign w:val="center"/>
          </w:tcPr>
          <w:p w14:paraId="73413544">
            <w:pPr>
              <w:jc w:val="center"/>
              <w:rPr>
                <w:rFonts w:hint="eastAsia"/>
                <w:color w:val="auto"/>
                <w:spacing w:val="4"/>
                <w:highlight w:val="none"/>
              </w:rPr>
            </w:pPr>
            <w:r>
              <w:rPr>
                <w:rFonts w:hint="eastAsia"/>
                <w:color w:val="auto"/>
                <w:spacing w:val="4"/>
                <w:highlight w:val="none"/>
              </w:rPr>
              <w:t>危险特性</w:t>
            </w:r>
          </w:p>
        </w:tc>
        <w:tc>
          <w:tcPr>
            <w:tcW w:w="7891" w:type="dxa"/>
            <w:vAlign w:val="center"/>
          </w:tcPr>
          <w:p w14:paraId="66E25D62">
            <w:pPr>
              <w:jc w:val="center"/>
              <w:rPr>
                <w:color w:val="auto"/>
                <w:spacing w:val="4"/>
                <w:highlight w:val="none"/>
              </w:rPr>
            </w:pPr>
            <w:r>
              <w:rPr>
                <w:rFonts w:hint="eastAsia"/>
                <w:color w:val="auto"/>
                <w:spacing w:val="-2"/>
                <w:highlight w:val="none"/>
              </w:rPr>
              <w:t>是易燃物、可燃物燃烧爆炸的基本元素之一，与易燃物（如氢、乙炔等）形成有爆炸性的混合物；化学性质活泼，能与多种元素化合发出光和热，也即燃烧。当氧与油脂接触则发生反应热，此热蓄积到一定程度时就会自然；当空气中氧的浓度增加时，火焰的温度和火焰长度增加，可燃物的着火温度下降。</w:t>
            </w:r>
            <w:r>
              <w:rPr>
                <w:color w:val="auto"/>
                <w:highlight w:val="none"/>
              </w:rPr>
              <w:t>常压下，当氧的浓度超过40%时，有可能发生氧中毒。</w:t>
            </w:r>
          </w:p>
        </w:tc>
      </w:tr>
    </w:tbl>
    <w:p w14:paraId="3590277B">
      <w:pPr>
        <w:keepNext w:val="0"/>
        <w:keepLines w:val="0"/>
        <w:pageBreakBefore w:val="0"/>
        <w:widowControl w:val="0"/>
        <w:kinsoku/>
        <w:wordWrap/>
        <w:overflowPunct/>
        <w:topLinePunct w:val="0"/>
        <w:autoSpaceDE/>
        <w:autoSpaceDN/>
        <w:bidi w:val="0"/>
        <w:adjustRightInd w:val="0"/>
        <w:snapToGrid w:val="0"/>
        <w:spacing w:line="360" w:lineRule="auto"/>
        <w:ind w:left="0" w:leftChars="0"/>
        <w:textAlignment w:val="auto"/>
        <w:outlineLvl w:val="9"/>
        <w:rPr>
          <w:rFonts w:hint="eastAsia"/>
          <w:color w:val="auto"/>
          <w:sz w:val="24"/>
          <w:szCs w:val="24"/>
          <w:highlight w:val="none"/>
        </w:rPr>
      </w:pPr>
      <w:r>
        <w:rPr>
          <w:rFonts w:hint="eastAsia"/>
          <w:color w:val="auto"/>
          <w:sz w:val="24"/>
          <w:szCs w:val="24"/>
          <w:highlight w:val="none"/>
          <w:lang w:val="en-US" w:eastAsia="zh-CN"/>
        </w:rPr>
        <w:t>7.1.2</w:t>
      </w:r>
      <w:r>
        <w:rPr>
          <w:rFonts w:hint="eastAsia"/>
          <w:color w:val="auto"/>
          <w:sz w:val="24"/>
          <w:szCs w:val="24"/>
          <w:highlight w:val="none"/>
        </w:rPr>
        <w:t>风险潜势初判</w:t>
      </w:r>
    </w:p>
    <w:p w14:paraId="45BF2F00">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color w:val="auto"/>
          <w:sz w:val="24"/>
          <w:szCs w:val="24"/>
          <w:highlight w:val="none"/>
          <w:lang w:val="en-US" w:eastAsia="zh-CN"/>
        </w:rPr>
      </w:pPr>
      <w:r>
        <w:rPr>
          <w:rFonts w:hint="eastAsia"/>
          <w:color w:val="auto"/>
          <w:sz w:val="24"/>
          <w:highlight w:val="none"/>
          <w:lang w:eastAsia="zh-CN"/>
        </w:rPr>
        <w:t>氯酸钠、盐酸</w:t>
      </w:r>
      <w:r>
        <w:rPr>
          <w:rFonts w:hint="eastAsia" w:ascii="宋体" w:hAnsi="宋体" w:eastAsia="宋体" w:cs="宋体"/>
          <w:color w:val="auto"/>
          <w:sz w:val="24"/>
          <w:szCs w:val="24"/>
          <w:highlight w:val="none"/>
          <w:lang w:eastAsia="zh-CN"/>
        </w:rPr>
        <w:t>储存在</w:t>
      </w:r>
      <w:r>
        <w:rPr>
          <w:rFonts w:hint="eastAsia" w:ascii="宋体" w:hAnsi="宋体" w:cs="宋体"/>
          <w:color w:val="auto"/>
          <w:sz w:val="24"/>
          <w:szCs w:val="24"/>
          <w:highlight w:val="none"/>
          <w:lang w:eastAsia="zh-CN"/>
        </w:rPr>
        <w:t>二氧化氯发生器</w:t>
      </w:r>
      <w:r>
        <w:rPr>
          <w:rFonts w:hint="eastAsia" w:ascii="宋体" w:hAnsi="宋体" w:eastAsia="宋体" w:cs="宋体"/>
          <w:color w:val="auto"/>
          <w:sz w:val="24"/>
          <w:szCs w:val="24"/>
          <w:highlight w:val="none"/>
          <w:lang w:eastAsia="zh-CN"/>
        </w:rPr>
        <w:t>自带的储存装置中，最大储量</w:t>
      </w:r>
      <w:r>
        <w:rPr>
          <w:rFonts w:hint="eastAsia" w:ascii="宋体" w:hAnsi="宋体" w:cs="宋体"/>
          <w:color w:val="auto"/>
          <w:sz w:val="24"/>
          <w:szCs w:val="24"/>
          <w:highlight w:val="none"/>
          <w:lang w:eastAsia="zh-CN"/>
        </w:rPr>
        <w:t>分别</w:t>
      </w:r>
      <w:r>
        <w:rPr>
          <w:rFonts w:hint="eastAsia" w:ascii="宋体" w:hAnsi="宋体" w:eastAsia="宋体" w:cs="宋体"/>
          <w:color w:val="auto"/>
          <w:sz w:val="24"/>
          <w:szCs w:val="24"/>
          <w:highlight w:val="none"/>
          <w:lang w:eastAsia="zh-CN"/>
        </w:rPr>
        <w:t>为</w:t>
      </w:r>
      <w:r>
        <w:rPr>
          <w:rFonts w:hint="eastAsia" w:cs="Times New Roman"/>
          <w:color w:val="auto"/>
          <w:sz w:val="24"/>
          <w:szCs w:val="24"/>
          <w:highlight w:val="none"/>
          <w:lang w:val="en-US" w:eastAsia="zh-CN"/>
        </w:rPr>
        <w:t>68kg、34kg；</w:t>
      </w:r>
      <w:r>
        <w:rPr>
          <w:rFonts w:hint="eastAsia" w:hAnsi="宋体"/>
          <w:color w:val="auto"/>
          <w:sz w:val="24"/>
          <w:highlight w:val="none"/>
        </w:rPr>
        <w:t>二氧化氯</w:t>
      </w:r>
      <w:r>
        <w:rPr>
          <w:rFonts w:hint="eastAsia" w:hAnsi="宋体"/>
          <w:color w:val="auto"/>
          <w:sz w:val="24"/>
          <w:highlight w:val="none"/>
          <w:lang w:eastAsia="zh-CN"/>
        </w:rPr>
        <w:t>最大存在量为</w:t>
      </w:r>
      <w:r>
        <w:rPr>
          <w:rFonts w:hint="eastAsia" w:hAnsi="宋体"/>
          <w:color w:val="auto"/>
          <w:sz w:val="24"/>
          <w:highlight w:val="none"/>
          <w:lang w:val="en-US" w:eastAsia="zh-CN"/>
        </w:rPr>
        <w:t>0.008kg；</w:t>
      </w:r>
      <w:r>
        <w:rPr>
          <w:rFonts w:hint="eastAsia" w:hAnsi="宋体"/>
          <w:color w:val="auto"/>
          <w:sz w:val="24"/>
          <w:highlight w:val="none"/>
          <w:vertAlign w:val="baseline"/>
          <w:lang w:val="en-US" w:eastAsia="zh-CN"/>
        </w:rPr>
        <w:t>氧气最大储量为3kg</w:t>
      </w:r>
      <w:r>
        <w:rPr>
          <w:rFonts w:hint="eastAsia" w:hAnsi="宋体"/>
          <w:color w:val="auto"/>
          <w:sz w:val="24"/>
          <w:highlight w:val="none"/>
          <w:lang w:val="en-US" w:eastAsia="zh-CN"/>
        </w:rPr>
        <w:t>。</w:t>
      </w:r>
      <w:r>
        <w:rPr>
          <w:rFonts w:hint="eastAsia" w:ascii="宋体" w:hAnsi="宋体" w:cs="宋体"/>
          <w:color w:val="auto"/>
          <w:sz w:val="24"/>
          <w:szCs w:val="24"/>
          <w:highlight w:val="none"/>
          <w:lang w:eastAsia="zh-CN"/>
        </w:rPr>
        <w:t>二氧化氯发生器</w:t>
      </w:r>
      <w:r>
        <w:rPr>
          <w:rFonts w:ascii="Times New Roman" w:hAnsi="Times New Roman" w:cs="Times New Roman"/>
          <w:color w:val="auto"/>
          <w:sz w:val="24"/>
          <w:szCs w:val="24"/>
          <w:highlight w:val="none"/>
        </w:rPr>
        <w:t>位于</w:t>
      </w:r>
      <w:r>
        <w:rPr>
          <w:rFonts w:hint="eastAsia" w:ascii="Times New Roman" w:hAnsi="Times New Roman" w:cs="Times New Roman"/>
          <w:color w:val="auto"/>
          <w:sz w:val="24"/>
          <w:szCs w:val="24"/>
          <w:highlight w:val="none"/>
          <w:lang w:eastAsia="zh-CN"/>
        </w:rPr>
        <w:t>医院</w:t>
      </w:r>
      <w:r>
        <w:rPr>
          <w:rFonts w:hint="eastAsia" w:cs="Times New Roman"/>
          <w:color w:val="auto"/>
          <w:sz w:val="24"/>
          <w:szCs w:val="24"/>
          <w:highlight w:val="none"/>
          <w:lang w:eastAsia="zh-CN"/>
        </w:rPr>
        <w:t>大楼</w:t>
      </w:r>
      <w:r>
        <w:rPr>
          <w:rFonts w:hint="eastAsia" w:cs="Times New Roman"/>
          <w:color w:val="auto"/>
          <w:sz w:val="24"/>
          <w:szCs w:val="24"/>
          <w:highlight w:val="none"/>
          <w:lang w:val="en-US" w:eastAsia="zh-CN"/>
        </w:rPr>
        <w:t>3</w:t>
      </w:r>
      <w:r>
        <w:rPr>
          <w:rFonts w:hint="eastAsia" w:ascii="Times New Roman" w:hAnsi="Times New Roman" w:cs="Times New Roman"/>
          <w:color w:val="auto"/>
          <w:sz w:val="24"/>
          <w:szCs w:val="24"/>
          <w:highlight w:val="none"/>
          <w:lang w:val="en-US" w:eastAsia="zh-CN"/>
        </w:rPr>
        <w:t>层东侧</w:t>
      </w:r>
      <w:r>
        <w:rPr>
          <w:rFonts w:hint="eastAsia" w:cs="Times New Roman"/>
          <w:color w:val="auto"/>
          <w:sz w:val="24"/>
          <w:szCs w:val="24"/>
          <w:highlight w:val="none"/>
          <w:lang w:val="en-US" w:eastAsia="zh-CN"/>
        </w:rPr>
        <w:t>，</w:t>
      </w:r>
      <w:r>
        <w:rPr>
          <w:rFonts w:hint="eastAsia" w:ascii="宋体" w:hAnsi="宋体" w:cs="宋体"/>
          <w:color w:val="auto"/>
          <w:sz w:val="24"/>
          <w:szCs w:val="24"/>
          <w:highlight w:val="none"/>
          <w:lang w:val="en-US" w:eastAsia="zh-CN"/>
        </w:rPr>
        <w:t>氧气瓶储存于医院大</w:t>
      </w:r>
      <w:r>
        <w:rPr>
          <w:rFonts w:hint="default" w:ascii="Times New Roman" w:hAnsi="Times New Roman" w:cs="Times New Roman"/>
          <w:color w:val="auto"/>
          <w:sz w:val="24"/>
          <w:szCs w:val="24"/>
          <w:highlight w:val="none"/>
          <w:lang w:val="en-US" w:eastAsia="zh-CN"/>
        </w:rPr>
        <w:t>楼4</w:t>
      </w:r>
      <w:r>
        <w:rPr>
          <w:rFonts w:hint="eastAsia" w:ascii="宋体" w:hAnsi="宋体" w:cs="宋体"/>
          <w:color w:val="auto"/>
          <w:sz w:val="24"/>
          <w:szCs w:val="24"/>
          <w:highlight w:val="none"/>
          <w:lang w:val="en-US" w:eastAsia="zh-CN"/>
        </w:rPr>
        <w:t>层中部库房</w:t>
      </w:r>
      <w:r>
        <w:rPr>
          <w:rFonts w:hint="eastAsia" w:cs="Times New Roman"/>
          <w:color w:val="auto"/>
          <w:sz w:val="24"/>
          <w:szCs w:val="24"/>
          <w:highlight w:val="none"/>
          <w:lang w:val="en-US" w:eastAsia="zh-CN"/>
        </w:rPr>
        <w:t>。根据</w:t>
      </w:r>
      <w:r>
        <w:rPr>
          <w:color w:val="auto"/>
          <w:sz w:val="24"/>
          <w:szCs w:val="24"/>
          <w:highlight w:val="none"/>
        </w:rPr>
        <w:t>《建设项目环境风险评价技术导则》（HJ169-2018）</w:t>
      </w:r>
      <w:r>
        <w:rPr>
          <w:rFonts w:hint="eastAsia"/>
          <w:color w:val="auto"/>
          <w:sz w:val="24"/>
          <w:szCs w:val="24"/>
          <w:highlight w:val="none"/>
          <w:lang w:eastAsia="zh-CN"/>
        </w:rPr>
        <w:t>表</w:t>
      </w:r>
      <w:r>
        <w:rPr>
          <w:rFonts w:hint="eastAsia"/>
          <w:color w:val="auto"/>
          <w:sz w:val="24"/>
          <w:szCs w:val="24"/>
          <w:highlight w:val="none"/>
          <w:lang w:val="en-US" w:eastAsia="zh-CN"/>
        </w:rPr>
        <w:t>B.1，氯酸钠临界量为100t，二氧化氯临界量为0.5t，盐酸临界量为7.5t，氧气参照《危险化学品重大危险源辨识》（GB18218-2018）表1临界量，为200t。</w:t>
      </w:r>
    </w:p>
    <w:p w14:paraId="6F134962">
      <w:pPr>
        <w:pStyle w:val="2"/>
        <w:keepNext w:val="0"/>
        <w:keepLines w:val="0"/>
        <w:pageBreakBefore w:val="0"/>
        <w:widowControl w:val="0"/>
        <w:kinsoku/>
        <w:wordWrap/>
        <w:overflowPunct/>
        <w:topLinePunct w:val="0"/>
        <w:autoSpaceDE/>
        <w:autoSpaceDN/>
        <w:bidi w:val="0"/>
        <w:adjustRightInd w:val="0"/>
        <w:snapToGrid w:val="0"/>
        <w:spacing w:after="0" w:line="360" w:lineRule="auto"/>
        <w:ind w:left="480" w:leftChars="0" w:hanging="480" w:hangingChars="200"/>
        <w:jc w:val="left"/>
        <w:textAlignment w:val="auto"/>
        <w:outlineLvl w:val="9"/>
        <w:rPr>
          <w:rFonts w:hint="eastAsia"/>
          <w:color w:val="auto"/>
          <w:sz w:val="24"/>
          <w:szCs w:val="24"/>
          <w:highlight w:val="none"/>
        </w:rPr>
      </w:pPr>
      <w:r>
        <w:rPr>
          <w:rFonts w:hint="eastAsia"/>
          <w:color w:val="auto"/>
          <w:sz w:val="24"/>
          <w:szCs w:val="24"/>
          <w:highlight w:val="none"/>
          <w:lang w:eastAsia="zh-CN"/>
        </w:rPr>
        <w:t>则本项目</w:t>
      </w:r>
      <w:r>
        <w:rPr>
          <w:rFonts w:hint="eastAsia"/>
          <w:color w:val="auto"/>
          <w:sz w:val="24"/>
          <w:szCs w:val="24"/>
          <w:highlight w:val="none"/>
        </w:rPr>
        <w:t>危险物质数量与其临界量比值</w:t>
      </w:r>
      <w:r>
        <w:rPr>
          <w:rFonts w:hint="eastAsia"/>
          <w:color w:val="auto"/>
          <w:sz w:val="24"/>
          <w:szCs w:val="24"/>
          <w:highlight w:val="none"/>
          <w:lang w:eastAsia="zh-CN"/>
        </w:rPr>
        <w:t>为：</w:t>
      </w:r>
      <w:r>
        <w:rPr>
          <w:rFonts w:hint="default" w:ascii="Times New Roman" w:hAnsi="Times New Roman" w:cs="Times New Roman"/>
          <w:color w:val="auto"/>
          <w:sz w:val="24"/>
          <w:szCs w:val="24"/>
          <w:highlight w:val="none"/>
        </w:rPr>
        <w:t>Q</w:t>
      </w:r>
      <w:r>
        <w:rPr>
          <w:rFonts w:hint="default" w:ascii="Times New Roman" w:hAnsi="Times New Roman" w:cs="Times New Roman"/>
          <w:color w:val="auto"/>
          <w:sz w:val="24"/>
          <w:szCs w:val="24"/>
          <w:highlight w:val="none"/>
          <w:lang w:val="en-US" w:eastAsia="zh-CN"/>
        </w:rPr>
        <w:t>=0.</w:t>
      </w:r>
      <w:r>
        <w:rPr>
          <w:rFonts w:hint="eastAsia" w:cs="Times New Roman"/>
          <w:color w:val="auto"/>
          <w:sz w:val="24"/>
          <w:szCs w:val="24"/>
          <w:highlight w:val="none"/>
          <w:lang w:val="en-US" w:eastAsia="zh-CN"/>
        </w:rPr>
        <w:t>068</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100+0.000008</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0.5+0.034</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7.5+0.003</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200</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0.005</w:t>
      </w:r>
      <w:r>
        <w:rPr>
          <w:rFonts w:hint="default" w:ascii="Times New Roman" w:hAnsi="Times New Roman" w:cs="Times New Roman"/>
          <w:color w:val="auto"/>
          <w:sz w:val="24"/>
          <w:szCs w:val="24"/>
          <w:highlight w:val="none"/>
        </w:rPr>
        <w:t>&lt;1，</w:t>
      </w:r>
      <w:r>
        <w:rPr>
          <w:rFonts w:hint="eastAsia"/>
          <w:color w:val="auto"/>
          <w:sz w:val="24"/>
          <w:szCs w:val="24"/>
          <w:highlight w:val="none"/>
        </w:rPr>
        <w:t>当Q&lt;1时，该项目环</w:t>
      </w:r>
    </w:p>
    <w:p w14:paraId="4B8CF619">
      <w:pPr>
        <w:pStyle w:val="2"/>
        <w:keepNext w:val="0"/>
        <w:keepLines w:val="0"/>
        <w:pageBreakBefore w:val="0"/>
        <w:widowControl w:val="0"/>
        <w:kinsoku/>
        <w:wordWrap/>
        <w:overflowPunct/>
        <w:topLinePunct w:val="0"/>
        <w:autoSpaceDE/>
        <w:autoSpaceDN/>
        <w:bidi w:val="0"/>
        <w:adjustRightInd w:val="0"/>
        <w:snapToGrid w:val="0"/>
        <w:spacing w:after="0" w:line="360" w:lineRule="auto"/>
        <w:ind w:left="480" w:leftChars="0" w:hanging="480" w:hangingChars="200"/>
        <w:jc w:val="left"/>
        <w:textAlignment w:val="auto"/>
        <w:outlineLvl w:val="9"/>
        <w:rPr>
          <w:rFonts w:hint="eastAsia"/>
          <w:color w:val="auto"/>
          <w:sz w:val="24"/>
          <w:szCs w:val="24"/>
          <w:highlight w:val="none"/>
        </w:rPr>
      </w:pPr>
      <w:r>
        <w:rPr>
          <w:rFonts w:hint="eastAsia"/>
          <w:color w:val="auto"/>
          <w:sz w:val="24"/>
          <w:szCs w:val="24"/>
          <w:highlight w:val="none"/>
        </w:rPr>
        <w:t>境风险潜势为Ⅰ。</w:t>
      </w:r>
    </w:p>
    <w:p w14:paraId="624A1112">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color w:val="auto"/>
          <w:kern w:val="2"/>
          <w:sz w:val="24"/>
          <w:szCs w:val="24"/>
          <w:highlight w:val="none"/>
          <w:lang w:val="en-US" w:eastAsia="zh-CN" w:bidi="ar-SA"/>
        </w:rPr>
      </w:pPr>
      <w:r>
        <w:rPr>
          <w:rFonts w:hint="eastAsia"/>
          <w:color w:val="auto"/>
          <w:kern w:val="2"/>
          <w:sz w:val="24"/>
          <w:szCs w:val="24"/>
          <w:highlight w:val="none"/>
          <w:lang w:val="en-US" w:eastAsia="zh-CN" w:bidi="ar-SA"/>
        </w:rPr>
        <w:t>7.1.3评价等级</w:t>
      </w:r>
    </w:p>
    <w:p w14:paraId="6A931F86">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textAlignment w:val="auto"/>
        <w:outlineLvl w:val="9"/>
        <w:rPr>
          <w:rFonts w:hint="eastAsia" w:eastAsia="宋体"/>
          <w:color w:val="auto"/>
          <w:sz w:val="24"/>
          <w:highlight w:val="none"/>
        </w:rPr>
      </w:pPr>
      <w:r>
        <w:rPr>
          <w:rFonts w:hint="eastAsia" w:eastAsia="宋体"/>
          <w:color w:val="auto"/>
          <w:sz w:val="24"/>
          <w:highlight w:val="none"/>
        </w:rPr>
        <w:t>根据《建设项目环境风险评价技术导则》（HJ169－2018）评价等级划分依据，</w:t>
      </w:r>
      <w:r>
        <w:rPr>
          <w:rFonts w:hint="eastAsia" w:eastAsia="宋体"/>
          <w:color w:val="auto"/>
          <w:sz w:val="24"/>
          <w:highlight w:val="none"/>
          <w:lang w:eastAsia="zh-CN"/>
        </w:rPr>
        <w:t>本项目</w:t>
      </w:r>
      <w:r>
        <w:rPr>
          <w:rFonts w:hint="eastAsia"/>
          <w:color w:val="auto"/>
          <w:sz w:val="24"/>
          <w:szCs w:val="24"/>
          <w:highlight w:val="none"/>
        </w:rPr>
        <w:t>环境风险潜势为Ⅰ</w:t>
      </w:r>
      <w:r>
        <w:rPr>
          <w:rFonts w:hint="eastAsia"/>
          <w:color w:val="auto"/>
          <w:sz w:val="24"/>
          <w:szCs w:val="24"/>
          <w:highlight w:val="none"/>
          <w:lang w:eastAsia="zh-CN"/>
        </w:rPr>
        <w:t>，</w:t>
      </w:r>
      <w:r>
        <w:rPr>
          <w:rFonts w:hint="eastAsia" w:eastAsia="宋体"/>
          <w:color w:val="auto"/>
          <w:sz w:val="24"/>
          <w:highlight w:val="none"/>
        </w:rPr>
        <w:t>确定本项目环境风险评价等级为简单分析。</w:t>
      </w:r>
    </w:p>
    <w:p w14:paraId="47F2640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outlineLvl w:val="9"/>
        <w:rPr>
          <w:rFonts w:hint="eastAsia" w:eastAsia="宋体"/>
          <w:b/>
          <w:color w:val="auto"/>
          <w:sz w:val="21"/>
          <w:highlight w:val="none"/>
        </w:rPr>
      </w:pPr>
      <w:r>
        <w:rPr>
          <w:rFonts w:hint="eastAsia" w:eastAsia="宋体"/>
          <w:b/>
          <w:color w:val="auto"/>
          <w:sz w:val="21"/>
          <w:highlight w:val="none"/>
        </w:rPr>
        <w:t>表</w:t>
      </w:r>
      <w:r>
        <w:rPr>
          <w:rFonts w:hint="eastAsia"/>
          <w:b/>
          <w:color w:val="auto"/>
          <w:sz w:val="21"/>
          <w:highlight w:val="none"/>
          <w:lang w:val="en-US" w:eastAsia="zh-CN"/>
        </w:rPr>
        <w:t>43</w:t>
      </w:r>
      <w:r>
        <w:rPr>
          <w:rFonts w:hint="eastAsia" w:eastAsia="宋体"/>
          <w:b/>
          <w:color w:val="auto"/>
          <w:sz w:val="21"/>
          <w:highlight w:val="none"/>
        </w:rPr>
        <w:t xml:space="preserve">                         </w:t>
      </w:r>
      <w:r>
        <w:rPr>
          <w:rFonts w:hint="eastAsia"/>
          <w:b/>
          <w:color w:val="auto"/>
          <w:sz w:val="21"/>
          <w:highlight w:val="none"/>
          <w:lang w:val="en-US" w:eastAsia="zh-CN"/>
        </w:rPr>
        <w:t xml:space="preserve">   </w:t>
      </w:r>
      <w:r>
        <w:rPr>
          <w:rFonts w:hint="eastAsia" w:eastAsia="宋体"/>
          <w:b/>
          <w:color w:val="auto"/>
          <w:sz w:val="21"/>
          <w:highlight w:val="none"/>
        </w:rPr>
        <w:t xml:space="preserve"> 评价工作等级划分</w:t>
      </w:r>
    </w:p>
    <w:tbl>
      <w:tblPr>
        <w:tblStyle w:val="24"/>
        <w:tblW w:w="9286"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29"/>
        <w:gridCol w:w="1930"/>
        <w:gridCol w:w="1864"/>
        <w:gridCol w:w="1865"/>
        <w:gridCol w:w="1698"/>
      </w:tblGrid>
      <w:tr w14:paraId="56C476F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929" w:type="dxa"/>
            <w:tcBorders>
              <w:top w:val="double" w:color="auto" w:sz="4" w:space="0"/>
              <w:left w:val="nil"/>
              <w:bottom w:val="single" w:color="auto" w:sz="4" w:space="0"/>
              <w:right w:val="single" w:color="auto" w:sz="4" w:space="0"/>
              <w:tl2br w:val="nil"/>
              <w:tr2bl w:val="nil"/>
            </w:tcBorders>
            <w:noWrap w:val="0"/>
            <w:vAlign w:val="center"/>
          </w:tcPr>
          <w:p w14:paraId="3A9B9266">
            <w:pPr>
              <w:spacing w:beforeLines="0" w:afterLines="0"/>
              <w:ind w:firstLine="210" w:firstLineChars="100"/>
              <w:rPr>
                <w:rFonts w:hint="eastAsia" w:eastAsia="宋体"/>
                <w:color w:val="auto"/>
                <w:sz w:val="21"/>
                <w:highlight w:val="none"/>
              </w:rPr>
            </w:pPr>
            <w:r>
              <w:rPr>
                <w:rFonts w:hint="eastAsia" w:eastAsia="宋体"/>
                <w:color w:val="auto"/>
                <w:sz w:val="21"/>
                <w:highlight w:val="none"/>
              </w:rPr>
              <w:t>环境风险潜势</w:t>
            </w:r>
          </w:p>
        </w:tc>
        <w:tc>
          <w:tcPr>
            <w:tcW w:w="1930" w:type="dxa"/>
            <w:tcBorders>
              <w:top w:val="double" w:color="auto" w:sz="4" w:space="0"/>
              <w:left w:val="single" w:color="auto" w:sz="4" w:space="0"/>
              <w:bottom w:val="single" w:color="auto" w:sz="4" w:space="0"/>
              <w:right w:val="single" w:color="auto" w:sz="4" w:space="0"/>
              <w:tl2br w:val="nil"/>
              <w:tr2bl w:val="nil"/>
            </w:tcBorders>
            <w:noWrap w:val="0"/>
            <w:vAlign w:val="center"/>
          </w:tcPr>
          <w:p w14:paraId="7B55C9C8">
            <w:pPr>
              <w:spacing w:beforeLines="0" w:afterLines="0"/>
              <w:ind w:firstLine="420"/>
              <w:rPr>
                <w:rFonts w:hint="eastAsia" w:eastAsia="宋体"/>
                <w:color w:val="auto"/>
                <w:sz w:val="21"/>
                <w:highlight w:val="none"/>
              </w:rPr>
            </w:pPr>
            <w:r>
              <w:rPr>
                <w:rFonts w:hint="eastAsia" w:eastAsia="宋体"/>
                <w:color w:val="auto"/>
                <w:sz w:val="21"/>
                <w:highlight w:val="none"/>
              </w:rPr>
              <w:t>Ⅳ、Ⅳ+</w:t>
            </w:r>
          </w:p>
        </w:tc>
        <w:tc>
          <w:tcPr>
            <w:tcW w:w="1864" w:type="dxa"/>
            <w:tcBorders>
              <w:top w:val="double" w:color="auto" w:sz="4" w:space="0"/>
              <w:left w:val="single" w:color="auto" w:sz="4" w:space="0"/>
              <w:bottom w:val="single" w:color="auto" w:sz="4" w:space="0"/>
              <w:right w:val="single" w:color="auto" w:sz="4" w:space="0"/>
              <w:tl2br w:val="nil"/>
              <w:tr2bl w:val="nil"/>
            </w:tcBorders>
            <w:noWrap w:val="0"/>
            <w:vAlign w:val="center"/>
          </w:tcPr>
          <w:p w14:paraId="0B93B74C">
            <w:pPr>
              <w:spacing w:beforeLines="0" w:afterLines="0"/>
              <w:ind w:firstLine="630" w:firstLineChars="300"/>
              <w:rPr>
                <w:rFonts w:hint="eastAsia" w:eastAsia="宋体"/>
                <w:color w:val="auto"/>
                <w:sz w:val="21"/>
                <w:highlight w:val="none"/>
              </w:rPr>
            </w:pPr>
            <w:r>
              <w:rPr>
                <w:rFonts w:hint="eastAsia" w:eastAsia="宋体"/>
                <w:color w:val="auto"/>
                <w:sz w:val="21"/>
                <w:highlight w:val="none"/>
              </w:rPr>
              <w:t>Ⅲ</w:t>
            </w:r>
          </w:p>
        </w:tc>
        <w:tc>
          <w:tcPr>
            <w:tcW w:w="1865" w:type="dxa"/>
            <w:tcBorders>
              <w:top w:val="double" w:color="auto" w:sz="4" w:space="0"/>
              <w:left w:val="single" w:color="auto" w:sz="4" w:space="0"/>
              <w:bottom w:val="single" w:color="auto" w:sz="4" w:space="0"/>
              <w:right w:val="single" w:color="auto" w:sz="4" w:space="0"/>
              <w:tl2br w:val="nil"/>
              <w:tr2bl w:val="nil"/>
            </w:tcBorders>
            <w:noWrap w:val="0"/>
            <w:vAlign w:val="center"/>
          </w:tcPr>
          <w:p w14:paraId="49EBF487">
            <w:pPr>
              <w:spacing w:beforeLines="0" w:afterLines="0"/>
              <w:ind w:firstLine="840" w:firstLineChars="400"/>
              <w:rPr>
                <w:rFonts w:hint="eastAsia" w:eastAsia="宋体"/>
                <w:color w:val="auto"/>
                <w:sz w:val="21"/>
                <w:highlight w:val="none"/>
              </w:rPr>
            </w:pPr>
            <w:r>
              <w:rPr>
                <w:rFonts w:hint="eastAsia" w:eastAsia="宋体"/>
                <w:color w:val="auto"/>
                <w:sz w:val="21"/>
                <w:highlight w:val="none"/>
              </w:rPr>
              <w:t>Ⅱ</w:t>
            </w:r>
          </w:p>
        </w:tc>
        <w:tc>
          <w:tcPr>
            <w:tcW w:w="1698" w:type="dxa"/>
            <w:tcBorders>
              <w:top w:val="double" w:color="auto" w:sz="4" w:space="0"/>
              <w:left w:val="single" w:color="auto" w:sz="4" w:space="0"/>
              <w:bottom w:val="single" w:color="auto" w:sz="4" w:space="0"/>
              <w:right w:val="nil"/>
              <w:tl2br w:val="nil"/>
              <w:tr2bl w:val="nil"/>
            </w:tcBorders>
            <w:noWrap w:val="0"/>
            <w:vAlign w:val="center"/>
          </w:tcPr>
          <w:p w14:paraId="0F618B80">
            <w:pPr>
              <w:spacing w:beforeLines="0" w:afterLines="0"/>
              <w:ind w:firstLine="630" w:firstLineChars="300"/>
              <w:rPr>
                <w:rFonts w:hint="eastAsia" w:eastAsia="宋体"/>
                <w:color w:val="auto"/>
                <w:sz w:val="21"/>
                <w:highlight w:val="none"/>
              </w:rPr>
            </w:pPr>
            <w:r>
              <w:rPr>
                <w:rFonts w:hint="eastAsia" w:eastAsia="宋体"/>
                <w:color w:val="auto"/>
                <w:sz w:val="21"/>
                <w:highlight w:val="none"/>
              </w:rPr>
              <w:t>Ⅰ</w:t>
            </w:r>
          </w:p>
        </w:tc>
      </w:tr>
      <w:tr w14:paraId="2C7A4BB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929" w:type="dxa"/>
            <w:tcBorders>
              <w:top w:val="single" w:color="auto" w:sz="4" w:space="0"/>
              <w:left w:val="nil"/>
              <w:bottom w:val="double" w:color="auto" w:sz="4" w:space="0"/>
              <w:right w:val="single" w:color="auto" w:sz="4" w:space="0"/>
              <w:tl2br w:val="nil"/>
              <w:tr2bl w:val="nil"/>
            </w:tcBorders>
            <w:noWrap w:val="0"/>
            <w:vAlign w:val="center"/>
          </w:tcPr>
          <w:p w14:paraId="4CE629FF">
            <w:pPr>
              <w:spacing w:beforeLines="0" w:afterLines="0"/>
              <w:ind w:firstLine="210" w:firstLineChars="100"/>
              <w:rPr>
                <w:rFonts w:hint="eastAsia" w:eastAsia="宋体"/>
                <w:color w:val="auto"/>
                <w:sz w:val="21"/>
                <w:highlight w:val="none"/>
              </w:rPr>
            </w:pPr>
            <w:r>
              <w:rPr>
                <w:rFonts w:hint="eastAsia" w:eastAsia="宋体"/>
                <w:color w:val="auto"/>
                <w:sz w:val="21"/>
                <w:highlight w:val="none"/>
              </w:rPr>
              <w:t>评价工作等级</w:t>
            </w:r>
          </w:p>
        </w:tc>
        <w:tc>
          <w:tcPr>
            <w:tcW w:w="1930" w:type="dxa"/>
            <w:tcBorders>
              <w:top w:val="single" w:color="auto" w:sz="4" w:space="0"/>
              <w:left w:val="single" w:color="auto" w:sz="4" w:space="0"/>
              <w:bottom w:val="double" w:color="auto" w:sz="4" w:space="0"/>
              <w:right w:val="single" w:color="auto" w:sz="4" w:space="0"/>
              <w:tl2br w:val="nil"/>
              <w:tr2bl w:val="nil"/>
            </w:tcBorders>
            <w:noWrap w:val="0"/>
            <w:vAlign w:val="center"/>
          </w:tcPr>
          <w:p w14:paraId="1F94F3A3">
            <w:pPr>
              <w:spacing w:beforeLines="0" w:afterLines="0"/>
              <w:ind w:firstLine="630" w:firstLineChars="300"/>
              <w:rPr>
                <w:rFonts w:hint="eastAsia" w:eastAsia="宋体"/>
                <w:color w:val="auto"/>
                <w:sz w:val="21"/>
                <w:highlight w:val="none"/>
              </w:rPr>
            </w:pPr>
            <w:r>
              <w:rPr>
                <w:rFonts w:hint="eastAsia" w:eastAsia="宋体"/>
                <w:color w:val="auto"/>
                <w:sz w:val="21"/>
                <w:highlight w:val="none"/>
              </w:rPr>
              <w:t>一</w:t>
            </w:r>
          </w:p>
        </w:tc>
        <w:tc>
          <w:tcPr>
            <w:tcW w:w="1864" w:type="dxa"/>
            <w:tcBorders>
              <w:top w:val="single" w:color="auto" w:sz="4" w:space="0"/>
              <w:left w:val="single" w:color="auto" w:sz="4" w:space="0"/>
              <w:bottom w:val="double" w:color="auto" w:sz="4" w:space="0"/>
              <w:right w:val="single" w:color="auto" w:sz="4" w:space="0"/>
              <w:tl2br w:val="nil"/>
              <w:tr2bl w:val="nil"/>
            </w:tcBorders>
            <w:noWrap w:val="0"/>
            <w:vAlign w:val="center"/>
          </w:tcPr>
          <w:p w14:paraId="2167F2F8">
            <w:pPr>
              <w:spacing w:beforeLines="0" w:afterLines="0"/>
              <w:ind w:firstLine="630" w:firstLineChars="300"/>
              <w:rPr>
                <w:rFonts w:hint="eastAsia" w:eastAsia="宋体"/>
                <w:color w:val="auto"/>
                <w:sz w:val="21"/>
                <w:highlight w:val="none"/>
              </w:rPr>
            </w:pPr>
            <w:r>
              <w:rPr>
                <w:rFonts w:hint="eastAsia" w:eastAsia="宋体"/>
                <w:color w:val="auto"/>
                <w:sz w:val="21"/>
                <w:highlight w:val="none"/>
              </w:rPr>
              <w:t>二</w:t>
            </w:r>
          </w:p>
        </w:tc>
        <w:tc>
          <w:tcPr>
            <w:tcW w:w="1865" w:type="dxa"/>
            <w:tcBorders>
              <w:top w:val="single" w:color="auto" w:sz="4" w:space="0"/>
              <w:left w:val="single" w:color="auto" w:sz="4" w:space="0"/>
              <w:bottom w:val="double" w:color="auto" w:sz="4" w:space="0"/>
              <w:right w:val="single" w:color="auto" w:sz="4" w:space="0"/>
              <w:tl2br w:val="nil"/>
              <w:tr2bl w:val="nil"/>
            </w:tcBorders>
            <w:noWrap w:val="0"/>
            <w:vAlign w:val="center"/>
          </w:tcPr>
          <w:p w14:paraId="38501C83">
            <w:pPr>
              <w:spacing w:beforeLines="0" w:afterLines="0"/>
              <w:ind w:firstLine="840" w:firstLineChars="400"/>
              <w:rPr>
                <w:rFonts w:hint="eastAsia" w:eastAsia="宋体"/>
                <w:color w:val="auto"/>
                <w:sz w:val="21"/>
                <w:highlight w:val="none"/>
              </w:rPr>
            </w:pPr>
            <w:r>
              <w:rPr>
                <w:rFonts w:hint="eastAsia" w:eastAsia="宋体"/>
                <w:color w:val="auto"/>
                <w:sz w:val="21"/>
                <w:highlight w:val="none"/>
              </w:rPr>
              <w:t>三</w:t>
            </w:r>
          </w:p>
        </w:tc>
        <w:tc>
          <w:tcPr>
            <w:tcW w:w="1698" w:type="dxa"/>
            <w:tcBorders>
              <w:top w:val="single" w:color="auto" w:sz="4" w:space="0"/>
              <w:left w:val="single" w:color="auto" w:sz="4" w:space="0"/>
              <w:bottom w:val="double" w:color="auto" w:sz="4" w:space="0"/>
              <w:right w:val="nil"/>
              <w:tl2br w:val="nil"/>
              <w:tr2bl w:val="nil"/>
            </w:tcBorders>
            <w:noWrap w:val="0"/>
            <w:vAlign w:val="center"/>
          </w:tcPr>
          <w:p w14:paraId="73E36C08">
            <w:pPr>
              <w:spacing w:beforeLines="0" w:afterLines="0"/>
              <w:ind w:firstLine="420"/>
              <w:rPr>
                <w:rFonts w:hint="eastAsia" w:eastAsia="宋体"/>
                <w:color w:val="auto"/>
                <w:sz w:val="21"/>
                <w:highlight w:val="none"/>
              </w:rPr>
            </w:pPr>
            <w:r>
              <w:rPr>
                <w:rFonts w:hint="eastAsia" w:eastAsia="宋体"/>
                <w:color w:val="auto"/>
                <w:sz w:val="21"/>
                <w:highlight w:val="none"/>
              </w:rPr>
              <w:t>简单分析</w:t>
            </w:r>
          </w:p>
        </w:tc>
      </w:tr>
    </w:tbl>
    <w:p w14:paraId="12C7F429">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color w:val="auto"/>
          <w:sz w:val="24"/>
          <w:szCs w:val="24"/>
          <w:highlight w:val="none"/>
        </w:rPr>
      </w:pPr>
      <w:r>
        <w:rPr>
          <w:rFonts w:hint="eastAsia"/>
          <w:color w:val="auto"/>
          <w:sz w:val="24"/>
          <w:szCs w:val="24"/>
          <w:highlight w:val="none"/>
          <w:lang w:val="en-US" w:eastAsia="zh-CN"/>
        </w:rPr>
        <w:t>7.2</w:t>
      </w:r>
      <w:r>
        <w:rPr>
          <w:rFonts w:hint="eastAsia"/>
          <w:color w:val="auto"/>
          <w:sz w:val="24"/>
          <w:szCs w:val="24"/>
          <w:highlight w:val="none"/>
        </w:rPr>
        <w:t>环境敏感目标概况</w:t>
      </w:r>
    </w:p>
    <w:p w14:paraId="641A2D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sz w:val="24"/>
          <w:szCs w:val="24"/>
          <w:highlight w:val="none"/>
        </w:rPr>
      </w:pPr>
      <w:r>
        <w:rPr>
          <w:rFonts w:hint="eastAsia"/>
          <w:color w:val="auto"/>
          <w:sz w:val="24"/>
          <w:szCs w:val="24"/>
          <w:highlight w:val="none"/>
        </w:rPr>
        <w:t>本项目周围无濒危动植物、水源地、名胜古迹、自然保护区、温泉、疗养地等国家明令规定的保护对象，环境敏感目标主要为</w:t>
      </w:r>
      <w:r>
        <w:rPr>
          <w:rFonts w:hint="eastAsia"/>
          <w:color w:val="auto"/>
          <w:sz w:val="24"/>
          <w:szCs w:val="24"/>
          <w:highlight w:val="none"/>
          <w:lang w:eastAsia="zh-CN"/>
        </w:rPr>
        <w:t>院区周边</w:t>
      </w:r>
      <w:r>
        <w:rPr>
          <w:rFonts w:hint="eastAsia"/>
          <w:color w:val="auto"/>
          <w:sz w:val="24"/>
          <w:szCs w:val="24"/>
          <w:highlight w:val="none"/>
        </w:rPr>
        <w:t>居民，详见</w:t>
      </w:r>
      <w:r>
        <w:rPr>
          <w:rFonts w:hint="eastAsia"/>
          <w:color w:val="auto"/>
          <w:sz w:val="24"/>
          <w:szCs w:val="24"/>
          <w:highlight w:val="none"/>
          <w:lang w:eastAsia="zh-CN"/>
        </w:rPr>
        <w:t>上文</w:t>
      </w:r>
      <w:r>
        <w:rPr>
          <w:rFonts w:hint="eastAsia"/>
          <w:color w:val="auto"/>
          <w:sz w:val="24"/>
          <w:szCs w:val="24"/>
          <w:highlight w:val="none"/>
        </w:rPr>
        <w:t>环境保护目标。</w:t>
      </w:r>
    </w:p>
    <w:p w14:paraId="1767D53F">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color w:val="auto"/>
          <w:sz w:val="24"/>
          <w:szCs w:val="24"/>
          <w:highlight w:val="none"/>
          <w:lang w:val="en-US" w:eastAsia="zh-CN"/>
        </w:rPr>
      </w:pPr>
      <w:r>
        <w:rPr>
          <w:rFonts w:hint="eastAsia"/>
          <w:color w:val="auto"/>
          <w:sz w:val="24"/>
          <w:szCs w:val="24"/>
          <w:highlight w:val="none"/>
          <w:lang w:val="en-US" w:eastAsia="zh-CN"/>
        </w:rPr>
        <w:t>7.3环境风险识别</w:t>
      </w:r>
    </w:p>
    <w:p w14:paraId="37B2E86D">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本项目主要风险物质为</w:t>
      </w:r>
      <w:r>
        <w:rPr>
          <w:rFonts w:hint="eastAsia"/>
          <w:color w:val="auto"/>
          <w:sz w:val="24"/>
          <w:highlight w:val="none"/>
          <w:lang w:eastAsia="zh-CN"/>
        </w:rPr>
        <w:t>氯酸钠、</w:t>
      </w:r>
      <w:r>
        <w:rPr>
          <w:rFonts w:hint="eastAsia" w:ascii="宋体" w:hAnsi="宋体" w:cs="宋体"/>
          <w:color w:val="auto"/>
          <w:sz w:val="24"/>
          <w:szCs w:val="24"/>
          <w:highlight w:val="none"/>
          <w:lang w:eastAsia="zh-CN"/>
        </w:rPr>
        <w:t>二氧化氯、盐酸、氧气</w:t>
      </w:r>
      <w:r>
        <w:rPr>
          <w:rFonts w:hint="eastAsia"/>
          <w:color w:val="auto"/>
          <w:sz w:val="24"/>
          <w:szCs w:val="24"/>
          <w:highlight w:val="none"/>
          <w:lang w:eastAsia="zh-CN"/>
        </w:rPr>
        <w:t>，</w:t>
      </w:r>
      <w:r>
        <w:rPr>
          <w:rFonts w:hint="eastAsia" w:ascii="宋体" w:hAnsi="宋体" w:cs="宋体"/>
          <w:color w:val="auto"/>
          <w:sz w:val="24"/>
          <w:szCs w:val="24"/>
          <w:highlight w:val="none"/>
          <w:lang w:eastAsia="zh-CN"/>
        </w:rPr>
        <w:t>二氧化氯发生器</w:t>
      </w:r>
      <w:r>
        <w:rPr>
          <w:rFonts w:hint="eastAsia" w:ascii="宋体" w:hAnsi="宋体" w:eastAsia="宋体" w:cs="宋体"/>
          <w:color w:val="auto"/>
          <w:sz w:val="24"/>
          <w:szCs w:val="24"/>
          <w:highlight w:val="none"/>
          <w:lang w:val="en-US" w:eastAsia="zh-CN"/>
        </w:rPr>
        <w:t>位于</w:t>
      </w:r>
      <w:r>
        <w:rPr>
          <w:rFonts w:hint="eastAsia" w:ascii="Times New Roman" w:hAnsi="Times New Roman" w:cs="Times New Roman"/>
          <w:color w:val="auto"/>
          <w:sz w:val="24"/>
          <w:szCs w:val="24"/>
          <w:highlight w:val="none"/>
          <w:lang w:eastAsia="zh-CN"/>
        </w:rPr>
        <w:t>医院</w:t>
      </w:r>
      <w:r>
        <w:rPr>
          <w:rFonts w:hint="eastAsia" w:cs="Times New Roman"/>
          <w:color w:val="auto"/>
          <w:sz w:val="24"/>
          <w:szCs w:val="24"/>
          <w:highlight w:val="none"/>
          <w:lang w:eastAsia="zh-CN"/>
        </w:rPr>
        <w:t>大楼</w:t>
      </w:r>
      <w:r>
        <w:rPr>
          <w:rFonts w:hint="eastAsia" w:cs="Times New Roman"/>
          <w:color w:val="auto"/>
          <w:sz w:val="24"/>
          <w:szCs w:val="24"/>
          <w:highlight w:val="none"/>
          <w:lang w:val="en-US" w:eastAsia="zh-CN"/>
        </w:rPr>
        <w:t>3</w:t>
      </w:r>
      <w:r>
        <w:rPr>
          <w:rFonts w:hint="eastAsia" w:ascii="Times New Roman" w:hAnsi="Times New Roman" w:cs="Times New Roman"/>
          <w:color w:val="auto"/>
          <w:sz w:val="24"/>
          <w:szCs w:val="24"/>
          <w:highlight w:val="none"/>
          <w:lang w:val="en-US" w:eastAsia="zh-CN"/>
        </w:rPr>
        <w:t>层东侧</w:t>
      </w:r>
      <w:r>
        <w:rPr>
          <w:rFonts w:hint="eastAsia"/>
          <w:color w:val="auto"/>
          <w:sz w:val="24"/>
          <w:szCs w:val="24"/>
          <w:highlight w:val="none"/>
          <w:lang w:eastAsia="zh-CN"/>
        </w:rPr>
        <w:t>，</w:t>
      </w:r>
      <w:r>
        <w:rPr>
          <w:rFonts w:hint="eastAsia" w:ascii="宋体" w:hAnsi="宋体" w:cs="宋体"/>
          <w:color w:val="auto"/>
          <w:sz w:val="24"/>
          <w:szCs w:val="24"/>
          <w:highlight w:val="none"/>
          <w:lang w:val="en-US" w:eastAsia="zh-CN"/>
        </w:rPr>
        <w:t>氧气瓶储存于医院大楼4层中部库房，</w:t>
      </w:r>
      <w:r>
        <w:rPr>
          <w:rFonts w:hint="eastAsia"/>
          <w:color w:val="auto"/>
          <w:sz w:val="24"/>
          <w:szCs w:val="24"/>
          <w:highlight w:val="none"/>
          <w:lang w:eastAsia="zh-CN"/>
        </w:rPr>
        <w:t>存在量很低，泄漏事故发生后可能造成的危害类型主要包括盐酸、</w:t>
      </w:r>
      <w:r>
        <w:rPr>
          <w:rFonts w:hint="eastAsia"/>
          <w:color w:val="auto"/>
          <w:sz w:val="24"/>
          <w:highlight w:val="none"/>
        </w:rPr>
        <w:t>二氧化氯挥发导致环境空气污染</w:t>
      </w:r>
      <w:r>
        <w:rPr>
          <w:rFonts w:hint="eastAsia"/>
          <w:color w:val="auto"/>
          <w:sz w:val="24"/>
          <w:highlight w:val="none"/>
          <w:lang w:eastAsia="zh-CN"/>
        </w:rPr>
        <w:t>，氧气泄漏可导致人员氧中毒，与易燃物形成有爆炸性的混合物，发生爆炸；氯酸钠、</w:t>
      </w:r>
      <w:r>
        <w:rPr>
          <w:rFonts w:hint="eastAsia" w:ascii="宋体" w:hAnsi="宋体" w:cs="宋体"/>
          <w:color w:val="auto"/>
          <w:sz w:val="24"/>
          <w:szCs w:val="24"/>
          <w:highlight w:val="none"/>
          <w:lang w:eastAsia="zh-CN"/>
        </w:rPr>
        <w:t>二氧化氯及盐酸泄漏，</w:t>
      </w:r>
      <w:r>
        <w:rPr>
          <w:rFonts w:hint="eastAsia"/>
          <w:color w:val="auto"/>
          <w:sz w:val="24"/>
          <w:szCs w:val="24"/>
          <w:highlight w:val="none"/>
          <w:lang w:eastAsia="zh-CN"/>
        </w:rPr>
        <w:t>防渗层破裂，可能对地下水环境产生影响；污水处理设施防渗层破裂会导致污水泄漏污染地下水；污水处理设施失灵导致污水事故排放，会对地表水环境产生影响；医疗废物在收集、贮存、运送过程中若存在遗撒、不分类收集、储存装置破裂等情况，可能会对地下水环境造成污染。</w:t>
      </w:r>
    </w:p>
    <w:p w14:paraId="57E10058">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default" w:ascii="Times New Roman" w:hAnsi="Times New Roman" w:cs="Times New Roman"/>
          <w:color w:val="auto"/>
          <w:sz w:val="24"/>
          <w:szCs w:val="24"/>
          <w:highlight w:val="none"/>
          <w:lang w:val="en-US" w:eastAsia="zh-CN"/>
        </w:rPr>
      </w:pPr>
      <w:r>
        <w:rPr>
          <w:rFonts w:hint="eastAsia"/>
          <w:color w:val="auto"/>
          <w:sz w:val="24"/>
          <w:szCs w:val="24"/>
          <w:highlight w:val="none"/>
          <w:lang w:val="en-US" w:eastAsia="zh-CN"/>
        </w:rPr>
        <w:t>7.4</w:t>
      </w:r>
      <w:r>
        <w:rPr>
          <w:rFonts w:hint="default" w:ascii="Times New Roman" w:hAnsi="Times New Roman" w:cs="Times New Roman"/>
          <w:color w:val="auto"/>
          <w:sz w:val="24"/>
          <w:szCs w:val="24"/>
          <w:highlight w:val="none"/>
          <w:lang w:val="en-US" w:eastAsia="zh-CN"/>
        </w:rPr>
        <w:t>环境风险分析</w:t>
      </w:r>
    </w:p>
    <w:p w14:paraId="69AD35CB">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7</w:t>
      </w:r>
      <w:r>
        <w:rPr>
          <w:rFonts w:hint="default" w:ascii="Times New Roman" w:hAnsi="Times New Roman" w:cs="Times New Roman"/>
          <w:color w:val="auto"/>
          <w:sz w:val="24"/>
          <w:szCs w:val="24"/>
          <w:highlight w:val="none"/>
          <w:lang w:val="en-US" w:eastAsia="zh-CN"/>
        </w:rPr>
        <w:t>.4.1</w:t>
      </w:r>
      <w:r>
        <w:rPr>
          <w:rFonts w:hint="default" w:ascii="Times New Roman" w:hAnsi="Times New Roman" w:cs="Times New Roman"/>
          <w:color w:val="auto"/>
          <w:sz w:val="24"/>
          <w:szCs w:val="24"/>
          <w:highlight w:val="none"/>
        </w:rPr>
        <w:t>大气环境危害后果</w:t>
      </w:r>
    </w:p>
    <w:p w14:paraId="38F7E701">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①</w:t>
      </w:r>
      <w:r>
        <w:rPr>
          <w:rFonts w:hint="eastAsia" w:ascii="宋体" w:hAnsi="宋体" w:eastAsia="宋体" w:cs="宋体"/>
          <w:color w:val="auto"/>
          <w:sz w:val="24"/>
          <w:szCs w:val="24"/>
          <w:highlight w:val="none"/>
          <w:lang w:eastAsia="zh-CN"/>
        </w:rPr>
        <w:t>装置</w:t>
      </w:r>
      <w:r>
        <w:rPr>
          <w:rFonts w:hint="default" w:ascii="Times New Roman" w:hAnsi="Times New Roman" w:cs="Times New Roman"/>
          <w:color w:val="auto"/>
          <w:sz w:val="24"/>
          <w:szCs w:val="24"/>
          <w:highlight w:val="none"/>
          <w:lang w:val="en-US" w:eastAsia="zh-CN"/>
        </w:rPr>
        <w:t>泄漏：</w:t>
      </w:r>
      <w:r>
        <w:rPr>
          <w:rFonts w:hint="eastAsia" w:cs="Times New Roman"/>
          <w:color w:val="auto"/>
          <w:sz w:val="24"/>
          <w:szCs w:val="24"/>
          <w:highlight w:val="none"/>
          <w:lang w:val="en-US" w:eastAsia="zh-CN"/>
        </w:rPr>
        <w:t>二氧化氯发生器</w:t>
      </w:r>
      <w:r>
        <w:rPr>
          <w:rFonts w:hint="default" w:ascii="Times New Roman" w:hAnsi="Times New Roman" w:eastAsia="宋体" w:cs="Times New Roman"/>
          <w:color w:val="auto"/>
          <w:sz w:val="24"/>
          <w:szCs w:val="24"/>
          <w:highlight w:val="none"/>
          <w:lang w:eastAsia="zh-CN"/>
        </w:rPr>
        <w:t>装置</w:t>
      </w:r>
      <w:r>
        <w:rPr>
          <w:rFonts w:hint="default" w:ascii="Times New Roman" w:hAnsi="Times New Roman" w:cs="Times New Roman"/>
          <w:color w:val="auto"/>
          <w:sz w:val="24"/>
          <w:szCs w:val="24"/>
          <w:highlight w:val="none"/>
          <w:lang w:eastAsia="zh-CN"/>
        </w:rPr>
        <w:t>泄漏会导致</w:t>
      </w:r>
      <w:r>
        <w:rPr>
          <w:rFonts w:hint="eastAsia" w:cs="Times New Roman"/>
          <w:color w:val="auto"/>
          <w:sz w:val="24"/>
          <w:szCs w:val="24"/>
          <w:highlight w:val="none"/>
          <w:lang w:eastAsia="zh-CN"/>
        </w:rPr>
        <w:t>盐酸、二氧化氯</w:t>
      </w:r>
      <w:r>
        <w:rPr>
          <w:rFonts w:hint="default" w:ascii="Times New Roman" w:hAnsi="Times New Roman" w:cs="Times New Roman"/>
          <w:color w:val="auto"/>
          <w:sz w:val="24"/>
          <w:szCs w:val="24"/>
          <w:highlight w:val="none"/>
          <w:lang w:eastAsia="zh-CN"/>
        </w:rPr>
        <w:t>外泄，外泄会</w:t>
      </w:r>
      <w:r>
        <w:rPr>
          <w:rFonts w:hint="eastAsia" w:cs="Times New Roman"/>
          <w:color w:val="auto"/>
          <w:sz w:val="24"/>
          <w:szCs w:val="24"/>
          <w:highlight w:val="none"/>
          <w:lang w:eastAsia="zh-CN"/>
        </w:rPr>
        <w:t>导致盐酸、二氧化氯</w:t>
      </w:r>
      <w:r>
        <w:rPr>
          <w:rFonts w:hint="default" w:ascii="Times New Roman" w:hAnsi="Times New Roman" w:cs="Times New Roman"/>
          <w:color w:val="auto"/>
          <w:sz w:val="24"/>
          <w:szCs w:val="24"/>
          <w:highlight w:val="none"/>
          <w:lang w:eastAsia="zh-CN"/>
        </w:rPr>
        <w:t>挥发，会对大气环境产生污染</w:t>
      </w:r>
      <w:r>
        <w:rPr>
          <w:rFonts w:hint="eastAsia" w:cs="Times New Roman"/>
          <w:color w:val="auto"/>
          <w:sz w:val="24"/>
          <w:szCs w:val="24"/>
          <w:highlight w:val="none"/>
          <w:lang w:eastAsia="zh-CN"/>
        </w:rPr>
        <w:t>，</w:t>
      </w:r>
      <w:r>
        <w:rPr>
          <w:rFonts w:hint="eastAsia"/>
          <w:color w:val="auto"/>
          <w:sz w:val="24"/>
          <w:highlight w:val="none"/>
          <w:lang w:eastAsia="zh-CN"/>
        </w:rPr>
        <w:t>氧气泄漏可导致人员氧中毒，与易燃物形成有爆炸性的混合物，发生爆炸</w:t>
      </w:r>
      <w:r>
        <w:rPr>
          <w:rFonts w:hint="default" w:ascii="Times New Roman" w:hAnsi="Times New Roman" w:cs="Times New Roman"/>
          <w:color w:val="auto"/>
          <w:sz w:val="24"/>
          <w:szCs w:val="24"/>
          <w:highlight w:val="none"/>
          <w:lang w:eastAsia="zh-CN"/>
        </w:rPr>
        <w:t>。</w:t>
      </w:r>
    </w:p>
    <w:p w14:paraId="6BB61F19">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7</w:t>
      </w:r>
      <w:r>
        <w:rPr>
          <w:rFonts w:hint="default" w:ascii="Times New Roman" w:hAnsi="Times New Roman" w:eastAsia="宋体" w:cs="Times New Roman"/>
          <w:color w:val="auto"/>
          <w:kern w:val="2"/>
          <w:sz w:val="24"/>
          <w:szCs w:val="24"/>
          <w:highlight w:val="none"/>
          <w:lang w:val="en-US" w:eastAsia="zh-CN" w:bidi="ar-SA"/>
        </w:rPr>
        <w:t>.4.2</w:t>
      </w:r>
      <w:r>
        <w:rPr>
          <w:rFonts w:hint="default" w:ascii="Times New Roman" w:hAnsi="Times New Roman" w:cs="Times New Roman"/>
          <w:color w:val="auto"/>
          <w:kern w:val="2"/>
          <w:sz w:val="24"/>
          <w:szCs w:val="24"/>
          <w:highlight w:val="none"/>
          <w:lang w:val="en-US" w:eastAsia="zh-CN" w:bidi="ar-SA"/>
        </w:rPr>
        <w:t>地下水环境危害后果</w:t>
      </w:r>
    </w:p>
    <w:p w14:paraId="4394A545">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①</w:t>
      </w:r>
      <w:r>
        <w:rPr>
          <w:rFonts w:hint="eastAsia"/>
          <w:color w:val="auto"/>
          <w:sz w:val="24"/>
          <w:highlight w:val="none"/>
          <w:lang w:eastAsia="zh-CN"/>
        </w:rPr>
        <w:t>装置</w:t>
      </w:r>
      <w:r>
        <w:rPr>
          <w:rFonts w:hint="default" w:ascii="Times New Roman" w:hAnsi="Times New Roman" w:cs="Times New Roman"/>
          <w:color w:val="auto"/>
          <w:sz w:val="24"/>
          <w:szCs w:val="24"/>
          <w:highlight w:val="none"/>
          <w:lang w:val="en-US" w:eastAsia="zh-CN"/>
        </w:rPr>
        <w:t>泄漏：</w:t>
      </w:r>
      <w:r>
        <w:rPr>
          <w:rFonts w:hint="eastAsia" w:cs="Times New Roman"/>
          <w:color w:val="auto"/>
          <w:sz w:val="24"/>
          <w:szCs w:val="24"/>
          <w:highlight w:val="none"/>
          <w:lang w:val="en-US" w:eastAsia="zh-CN"/>
        </w:rPr>
        <w:t>二氧化氯发生器</w:t>
      </w:r>
      <w:r>
        <w:rPr>
          <w:rFonts w:hint="default" w:ascii="Times New Roman" w:hAnsi="Times New Roman" w:eastAsia="宋体" w:cs="Times New Roman"/>
          <w:color w:val="auto"/>
          <w:kern w:val="2"/>
          <w:sz w:val="24"/>
          <w:szCs w:val="24"/>
          <w:highlight w:val="none"/>
          <w:lang w:val="en-US" w:eastAsia="zh-CN" w:bidi="ar-SA"/>
        </w:rPr>
        <w:t>装置泄漏会导致</w:t>
      </w:r>
      <w:r>
        <w:rPr>
          <w:rFonts w:hint="eastAsia" w:cs="Times New Roman"/>
          <w:color w:val="auto"/>
          <w:sz w:val="24"/>
          <w:szCs w:val="24"/>
          <w:highlight w:val="none"/>
          <w:lang w:eastAsia="zh-CN"/>
        </w:rPr>
        <w:t>盐酸、</w:t>
      </w:r>
      <w:r>
        <w:rPr>
          <w:rFonts w:hint="eastAsia"/>
          <w:color w:val="auto"/>
          <w:sz w:val="24"/>
          <w:highlight w:val="none"/>
          <w:lang w:eastAsia="zh-CN"/>
        </w:rPr>
        <w:t>氯酸钠、</w:t>
      </w:r>
      <w:r>
        <w:rPr>
          <w:rFonts w:hint="eastAsia" w:ascii="宋体" w:hAnsi="宋体" w:cs="宋体"/>
          <w:color w:val="auto"/>
          <w:sz w:val="24"/>
          <w:szCs w:val="24"/>
          <w:highlight w:val="none"/>
          <w:lang w:eastAsia="zh-CN"/>
        </w:rPr>
        <w:t>二氧化氯</w:t>
      </w:r>
      <w:r>
        <w:rPr>
          <w:rFonts w:hint="default" w:ascii="Times New Roman" w:hAnsi="Times New Roman" w:eastAsia="宋体" w:cs="Times New Roman"/>
          <w:color w:val="auto"/>
          <w:kern w:val="2"/>
          <w:sz w:val="24"/>
          <w:szCs w:val="24"/>
          <w:highlight w:val="none"/>
          <w:lang w:val="en-US" w:eastAsia="zh-CN" w:bidi="ar-SA"/>
        </w:rPr>
        <w:t>外泄，如果防渗层破裂会导致</w:t>
      </w:r>
      <w:r>
        <w:rPr>
          <w:rFonts w:hint="eastAsia" w:cs="Times New Roman"/>
          <w:color w:val="auto"/>
          <w:sz w:val="24"/>
          <w:szCs w:val="24"/>
          <w:highlight w:val="none"/>
          <w:lang w:eastAsia="zh-CN"/>
        </w:rPr>
        <w:t>盐酸、</w:t>
      </w:r>
      <w:r>
        <w:rPr>
          <w:rFonts w:hint="eastAsia"/>
          <w:color w:val="auto"/>
          <w:sz w:val="24"/>
          <w:highlight w:val="none"/>
          <w:lang w:eastAsia="zh-CN"/>
        </w:rPr>
        <w:t>氯酸钠、</w:t>
      </w:r>
      <w:r>
        <w:rPr>
          <w:rFonts w:hint="eastAsia" w:ascii="宋体" w:hAnsi="宋体" w:cs="宋体"/>
          <w:color w:val="auto"/>
          <w:sz w:val="24"/>
          <w:szCs w:val="24"/>
          <w:highlight w:val="none"/>
          <w:lang w:eastAsia="zh-CN"/>
        </w:rPr>
        <w:t>二氧化氯</w:t>
      </w:r>
      <w:r>
        <w:rPr>
          <w:rFonts w:hint="default" w:ascii="Times New Roman" w:hAnsi="Times New Roman" w:eastAsia="宋体" w:cs="Times New Roman"/>
          <w:color w:val="auto"/>
          <w:kern w:val="2"/>
          <w:sz w:val="24"/>
          <w:szCs w:val="24"/>
          <w:highlight w:val="none"/>
          <w:lang w:val="en-US" w:eastAsia="zh-CN" w:bidi="ar-SA"/>
        </w:rPr>
        <w:t>下渗污染地下水环境</w:t>
      </w:r>
      <w:r>
        <w:rPr>
          <w:rFonts w:hint="eastAsia" w:cs="Times New Roman"/>
          <w:color w:val="auto"/>
          <w:kern w:val="2"/>
          <w:sz w:val="24"/>
          <w:szCs w:val="24"/>
          <w:highlight w:val="none"/>
          <w:lang w:val="en-US" w:eastAsia="zh-CN" w:bidi="ar-SA"/>
        </w:rPr>
        <w:t>。</w:t>
      </w:r>
    </w:p>
    <w:p w14:paraId="3A0679B7">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②污水处理设施泄漏：本项目医院污水含有病菌，一旦污水处理设施防渗层破损，污水会渗漏，对地下水环境造成污染。</w:t>
      </w:r>
    </w:p>
    <w:p w14:paraId="6D2097D9">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color w:val="auto"/>
          <w:sz w:val="24"/>
          <w:szCs w:val="24"/>
          <w:highlight w:val="none"/>
          <w:lang w:eastAsia="zh-CN"/>
        </w:rPr>
      </w:pPr>
      <w:r>
        <w:rPr>
          <w:rFonts w:hint="default" w:ascii="Times New Roman" w:hAnsi="Times New Roman" w:cs="Times New Roman"/>
          <w:color w:val="auto"/>
          <w:sz w:val="24"/>
          <w:szCs w:val="24"/>
          <w:highlight w:val="none"/>
          <w:lang w:val="en-US" w:eastAsia="zh-CN"/>
        </w:rPr>
        <w:t>③</w:t>
      </w:r>
      <w:r>
        <w:rPr>
          <w:rFonts w:hint="eastAsia" w:cs="Times New Roman"/>
          <w:color w:val="auto"/>
          <w:sz w:val="24"/>
          <w:szCs w:val="24"/>
          <w:highlight w:val="none"/>
          <w:lang w:val="en-US" w:eastAsia="zh-CN"/>
        </w:rPr>
        <w:t>医疗</w:t>
      </w:r>
      <w:r>
        <w:rPr>
          <w:rFonts w:hint="default" w:ascii="Times New Roman" w:hAnsi="Times New Roman" w:cs="Times New Roman"/>
          <w:color w:val="auto"/>
          <w:sz w:val="24"/>
          <w:szCs w:val="24"/>
          <w:highlight w:val="none"/>
          <w:lang w:val="en-US" w:eastAsia="zh-CN"/>
        </w:rPr>
        <w:t>废物遗撒</w:t>
      </w:r>
      <w:r>
        <w:rPr>
          <w:rFonts w:hint="eastAsia"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医疗</w:t>
      </w:r>
      <w:r>
        <w:rPr>
          <w:rFonts w:hint="eastAsia" w:ascii="Times New Roman" w:hAnsi="Times New Roman" w:cs="Times New Roman"/>
          <w:color w:val="auto"/>
          <w:sz w:val="24"/>
          <w:szCs w:val="24"/>
          <w:highlight w:val="none"/>
          <w:lang w:val="en-US" w:eastAsia="zh-CN"/>
        </w:rPr>
        <w:t>废物沾染危险物质，具有感染性和毒性，</w:t>
      </w:r>
      <w:r>
        <w:rPr>
          <w:rFonts w:hint="eastAsia" w:cs="Times New Roman"/>
          <w:color w:val="auto"/>
          <w:sz w:val="24"/>
          <w:szCs w:val="24"/>
          <w:highlight w:val="none"/>
          <w:lang w:val="en-US" w:eastAsia="zh-CN"/>
        </w:rPr>
        <w:t>医疗</w:t>
      </w:r>
      <w:r>
        <w:rPr>
          <w:rFonts w:hint="eastAsia"/>
          <w:color w:val="auto"/>
          <w:sz w:val="24"/>
          <w:szCs w:val="24"/>
          <w:highlight w:val="none"/>
          <w:lang w:eastAsia="zh-CN"/>
        </w:rPr>
        <w:t>废物在收集、贮存、运送过程中若存在遗撒、不分类收集、储存装置破裂等情况可能会导致危险物质渗漏，污染地下水环境。</w:t>
      </w:r>
    </w:p>
    <w:p w14:paraId="3BADC450">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default" w:ascii="Times New Roman" w:hAnsi="Times New Roman" w:cs="Times New Roman"/>
          <w:color w:val="auto"/>
          <w:kern w:val="2"/>
          <w:sz w:val="24"/>
          <w:szCs w:val="24"/>
          <w:highlight w:val="none"/>
          <w:lang w:val="en-US" w:eastAsia="zh-CN" w:bidi="ar-SA"/>
        </w:rPr>
      </w:pPr>
      <w:r>
        <w:rPr>
          <w:rFonts w:hint="eastAsia"/>
          <w:color w:val="auto"/>
          <w:sz w:val="24"/>
          <w:szCs w:val="24"/>
          <w:highlight w:val="none"/>
          <w:lang w:val="en-US" w:eastAsia="zh-CN"/>
        </w:rPr>
        <w:t>7.4.3地表水</w:t>
      </w:r>
      <w:r>
        <w:rPr>
          <w:rFonts w:hint="default" w:ascii="Times New Roman" w:hAnsi="Times New Roman" w:cs="Times New Roman"/>
          <w:color w:val="auto"/>
          <w:kern w:val="2"/>
          <w:sz w:val="24"/>
          <w:szCs w:val="24"/>
          <w:highlight w:val="none"/>
          <w:lang w:val="en-US" w:eastAsia="zh-CN" w:bidi="ar-SA"/>
        </w:rPr>
        <w:t>危害后果</w:t>
      </w:r>
    </w:p>
    <w:p w14:paraId="05214EEC">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default" w:ascii="Times New Roman" w:hAnsi="Times New Roman"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 xml:space="preserve">    污水处理设施操作不当或处理设施失灵，会导致废水不能达标而直接排放。医院污水可能沾染病人的血、尿、便，或受到粪便、传染性细菌和病毒等病原性微生物污染，具有传染性，会对水环境造成污染。</w:t>
      </w:r>
    </w:p>
    <w:p w14:paraId="7C331424">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9"/>
        <w:rPr>
          <w:rFonts w:hint="eastAsia"/>
          <w:color w:val="auto"/>
          <w:sz w:val="24"/>
          <w:szCs w:val="24"/>
          <w:highlight w:val="none"/>
          <w:lang w:val="en-US" w:eastAsia="zh-CN"/>
        </w:rPr>
      </w:pPr>
      <w:r>
        <w:rPr>
          <w:rFonts w:hint="eastAsia"/>
          <w:color w:val="auto"/>
          <w:sz w:val="24"/>
          <w:szCs w:val="24"/>
          <w:highlight w:val="none"/>
          <w:lang w:val="en-US" w:eastAsia="zh-CN"/>
        </w:rPr>
        <w:t>7.5环境风险防范措施及应急要求</w:t>
      </w:r>
    </w:p>
    <w:p w14:paraId="721213B6">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color w:val="auto"/>
          <w:sz w:val="24"/>
          <w:szCs w:val="24"/>
          <w:highlight w:val="none"/>
          <w:lang w:val="en-US" w:eastAsia="zh-CN"/>
        </w:rPr>
      </w:pPr>
      <w:r>
        <w:rPr>
          <w:rFonts w:hint="eastAsia"/>
          <w:color w:val="auto"/>
          <w:sz w:val="24"/>
          <w:szCs w:val="24"/>
          <w:highlight w:val="none"/>
          <w:lang w:val="en-US" w:eastAsia="zh-CN"/>
        </w:rPr>
        <w:t>泄漏事故的防止是生产和储运过程中最重要的环节，发生泄漏事故可能引起大气、地表水及地下水污染。经验表明设备失灵和人为的操作失误是引发泄漏的主要原因。因此选用较好的设备、精心设计、认真的管理和操作人员的责任心是减少泄漏事故的关键。</w:t>
      </w:r>
    </w:p>
    <w:p w14:paraId="694FF747">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w:t>
      </w:r>
      <w:r>
        <w:rPr>
          <w:rFonts w:hint="eastAsia" w:cs="Times New Roman"/>
          <w:color w:val="auto"/>
          <w:sz w:val="24"/>
          <w:szCs w:val="24"/>
          <w:highlight w:val="none"/>
          <w:lang w:val="en-US" w:eastAsia="zh-CN"/>
        </w:rPr>
        <w:t>二氧化氯发生器</w:t>
      </w:r>
      <w:r>
        <w:rPr>
          <w:rFonts w:hint="default" w:ascii="Times New Roman" w:hAnsi="Times New Roman" w:cs="Times New Roman"/>
          <w:color w:val="auto"/>
          <w:sz w:val="24"/>
          <w:szCs w:val="24"/>
          <w:highlight w:val="none"/>
          <w:lang w:val="en-US" w:eastAsia="zh-CN"/>
        </w:rPr>
        <w:t>泄漏风险防范及应急措施</w:t>
      </w:r>
    </w:p>
    <w:p w14:paraId="33E27CC3">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①严格执行二氧化氯发生器设备的维护保养，定期对设备、管道、阀门、仪表、安全装置等进行检查和校验。</w:t>
      </w:r>
    </w:p>
    <w:p w14:paraId="614550A0">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②选择全自动控制系统设备，实现二氧化氯和进水流量的在线闭环控制。</w:t>
      </w:r>
    </w:p>
    <w:p w14:paraId="595CAB0F">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③严格执行操作规程，密切注视设备工艺参数的变化，发现异常及时处理。</w:t>
      </w:r>
    </w:p>
    <w:p w14:paraId="4C59F21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auto"/>
          <w:sz w:val="24"/>
          <w:highlight w:val="none"/>
        </w:rPr>
      </w:pPr>
      <w:r>
        <w:rPr>
          <w:rFonts w:hint="default" w:ascii="Times New Roman" w:hAnsi="Times New Roman" w:eastAsia="宋体" w:cs="Times New Roman"/>
          <w:color w:val="auto"/>
          <w:sz w:val="24"/>
          <w:highlight w:val="none"/>
        </w:rPr>
        <w:t>④</w:t>
      </w:r>
      <w:r>
        <w:rPr>
          <w:rFonts w:hint="default" w:ascii="Times New Roman" w:hAnsi="Times New Roman" w:cs="Times New Roman"/>
          <w:color w:val="auto"/>
          <w:sz w:val="24"/>
          <w:highlight w:val="none"/>
        </w:rPr>
        <w:t>盐酸</w:t>
      </w:r>
      <w:r>
        <w:rPr>
          <w:rFonts w:hint="eastAsia"/>
          <w:color w:val="auto"/>
          <w:sz w:val="24"/>
          <w:highlight w:val="none"/>
        </w:rPr>
        <w:t>、二氧化氯</w:t>
      </w:r>
      <w:r>
        <w:rPr>
          <w:rFonts w:hint="eastAsia"/>
          <w:color w:val="auto"/>
          <w:sz w:val="24"/>
          <w:highlight w:val="none"/>
          <w:lang w:eastAsia="zh-CN"/>
        </w:rPr>
        <w:t>及氯酸钠</w:t>
      </w:r>
      <w:r>
        <w:rPr>
          <w:rFonts w:hint="eastAsia"/>
          <w:color w:val="auto"/>
          <w:sz w:val="24"/>
          <w:highlight w:val="none"/>
        </w:rPr>
        <w:t>一旦出现泄漏时，按下表采取相应应急处理措施。</w:t>
      </w:r>
    </w:p>
    <w:p w14:paraId="242EA2A9">
      <w:pPr>
        <w:pStyle w:val="20"/>
        <w:keepNext w:val="0"/>
        <w:keepLines w:val="0"/>
        <w:pageBreakBefore w:val="0"/>
        <w:widowControl/>
        <w:kinsoku/>
        <w:wordWrap/>
        <w:overflowPunct/>
        <w:topLinePunct w:val="0"/>
        <w:autoSpaceDE/>
        <w:autoSpaceDN/>
        <w:bidi w:val="0"/>
        <w:adjustRightInd w:val="0"/>
        <w:snapToGrid w:val="0"/>
        <w:spacing w:line="360" w:lineRule="auto"/>
        <w:jc w:val="both"/>
        <w:textAlignment w:val="auto"/>
        <w:outlineLvl w:val="9"/>
        <w:rPr>
          <w:b/>
          <w:color w:val="auto"/>
          <w:sz w:val="21"/>
          <w:szCs w:val="21"/>
          <w:highlight w:val="none"/>
        </w:rPr>
      </w:pPr>
      <w:r>
        <w:rPr>
          <w:rFonts w:hint="eastAsia"/>
          <w:b/>
          <w:color w:val="auto"/>
          <w:sz w:val="21"/>
          <w:szCs w:val="21"/>
          <w:highlight w:val="none"/>
        </w:rPr>
        <w:t>表</w:t>
      </w:r>
      <w:r>
        <w:rPr>
          <w:rFonts w:hint="eastAsia"/>
          <w:b/>
          <w:color w:val="auto"/>
          <w:sz w:val="21"/>
          <w:szCs w:val="21"/>
          <w:highlight w:val="none"/>
          <w:lang w:val="en-US" w:eastAsia="zh-CN"/>
        </w:rPr>
        <w:t xml:space="preserve">44                            </w:t>
      </w:r>
      <w:r>
        <w:rPr>
          <w:rFonts w:hint="eastAsia"/>
          <w:b/>
          <w:color w:val="auto"/>
          <w:sz w:val="21"/>
          <w:szCs w:val="21"/>
          <w:highlight w:val="none"/>
        </w:rPr>
        <w:t>事故泄漏应急处理措施</w:t>
      </w:r>
    </w:p>
    <w:tbl>
      <w:tblPr>
        <w:tblStyle w:val="24"/>
        <w:tblW w:w="9247"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2250"/>
        <w:gridCol w:w="2250"/>
        <w:gridCol w:w="3696"/>
      </w:tblGrid>
      <w:tr w14:paraId="08326D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5" w:hRule="atLeast"/>
        </w:trPr>
        <w:tc>
          <w:tcPr>
            <w:tcW w:w="1051" w:type="dxa"/>
            <w:vAlign w:val="center"/>
          </w:tcPr>
          <w:p w14:paraId="14ADAB35">
            <w:pPr>
              <w:jc w:val="center"/>
              <w:rPr>
                <w:b/>
                <w:color w:val="auto"/>
                <w:spacing w:val="4"/>
                <w:highlight w:val="none"/>
              </w:rPr>
            </w:pPr>
            <w:r>
              <w:rPr>
                <w:b/>
                <w:color w:val="auto"/>
                <w:spacing w:val="4"/>
                <w:highlight w:val="none"/>
              </w:rPr>
              <w:t>项目</w:t>
            </w:r>
          </w:p>
        </w:tc>
        <w:tc>
          <w:tcPr>
            <w:tcW w:w="2250" w:type="dxa"/>
            <w:vAlign w:val="center"/>
          </w:tcPr>
          <w:p w14:paraId="376FCA4C">
            <w:pPr>
              <w:jc w:val="center"/>
              <w:rPr>
                <w:rFonts w:hint="eastAsia" w:eastAsia="宋体"/>
                <w:b/>
                <w:color w:val="auto"/>
                <w:spacing w:val="4"/>
                <w:highlight w:val="none"/>
                <w:lang w:eastAsia="zh-CN"/>
              </w:rPr>
            </w:pPr>
            <w:r>
              <w:rPr>
                <w:rFonts w:hint="eastAsia"/>
                <w:b/>
                <w:color w:val="auto"/>
                <w:spacing w:val="4"/>
                <w:highlight w:val="none"/>
                <w:lang w:eastAsia="zh-CN"/>
              </w:rPr>
              <w:t>氯酸钠</w:t>
            </w:r>
          </w:p>
        </w:tc>
        <w:tc>
          <w:tcPr>
            <w:tcW w:w="2250" w:type="dxa"/>
            <w:vAlign w:val="center"/>
          </w:tcPr>
          <w:p w14:paraId="6BDC17C3">
            <w:pPr>
              <w:jc w:val="center"/>
              <w:rPr>
                <w:b/>
                <w:color w:val="auto"/>
                <w:spacing w:val="4"/>
                <w:highlight w:val="none"/>
              </w:rPr>
            </w:pPr>
            <w:r>
              <w:rPr>
                <w:b/>
                <w:color w:val="auto"/>
                <w:spacing w:val="4"/>
                <w:highlight w:val="none"/>
              </w:rPr>
              <w:t>盐酸</w:t>
            </w:r>
          </w:p>
        </w:tc>
        <w:tc>
          <w:tcPr>
            <w:tcW w:w="3696" w:type="dxa"/>
            <w:vAlign w:val="center"/>
          </w:tcPr>
          <w:p w14:paraId="22349986">
            <w:pPr>
              <w:jc w:val="center"/>
              <w:rPr>
                <w:b/>
                <w:color w:val="auto"/>
                <w:spacing w:val="4"/>
                <w:highlight w:val="none"/>
              </w:rPr>
            </w:pPr>
            <w:r>
              <w:rPr>
                <w:b/>
                <w:color w:val="auto"/>
                <w:spacing w:val="4"/>
                <w:highlight w:val="none"/>
              </w:rPr>
              <w:t>二氧化氯</w:t>
            </w:r>
          </w:p>
        </w:tc>
      </w:tr>
      <w:tr w14:paraId="7197FC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051" w:type="dxa"/>
            <w:vAlign w:val="center"/>
          </w:tcPr>
          <w:p w14:paraId="103E1EC7">
            <w:pPr>
              <w:jc w:val="center"/>
              <w:rPr>
                <w:color w:val="auto"/>
                <w:spacing w:val="4"/>
                <w:highlight w:val="none"/>
              </w:rPr>
            </w:pPr>
            <w:r>
              <w:rPr>
                <w:color w:val="auto"/>
                <w:spacing w:val="4"/>
                <w:highlight w:val="none"/>
              </w:rPr>
              <w:t>应急措施</w:t>
            </w:r>
          </w:p>
        </w:tc>
        <w:tc>
          <w:tcPr>
            <w:tcW w:w="2250" w:type="dxa"/>
            <w:vAlign w:val="center"/>
          </w:tcPr>
          <w:p w14:paraId="2D07A1A5">
            <w:pPr>
              <w:jc w:val="center"/>
              <w:rPr>
                <w:rFonts w:hint="eastAsia" w:eastAsia="宋体"/>
                <w:color w:val="auto"/>
                <w:spacing w:val="4"/>
                <w:highlight w:val="none"/>
                <w:lang w:eastAsia="zh-CN"/>
              </w:rPr>
            </w:pPr>
            <w:r>
              <w:rPr>
                <w:rFonts w:hint="eastAsia"/>
                <w:color w:val="auto"/>
                <w:spacing w:val="4"/>
                <w:highlight w:val="none"/>
                <w:lang w:eastAsia="zh-CN"/>
              </w:rPr>
              <w:t>隔离泄漏污染区，限制出入，避免扬尘，用洁净的铲子收集于干燥、洁净有盖的容器中。</w:t>
            </w:r>
          </w:p>
        </w:tc>
        <w:tc>
          <w:tcPr>
            <w:tcW w:w="2250" w:type="dxa"/>
            <w:vAlign w:val="center"/>
          </w:tcPr>
          <w:p w14:paraId="63BE085C">
            <w:pPr>
              <w:jc w:val="center"/>
              <w:rPr>
                <w:color w:val="auto"/>
                <w:spacing w:val="8"/>
                <w:highlight w:val="none"/>
              </w:rPr>
            </w:pPr>
            <w:r>
              <w:rPr>
                <w:color w:val="auto"/>
                <w:spacing w:val="8"/>
                <w:highlight w:val="none"/>
              </w:rPr>
              <w:t>用碱性物质中和。</w:t>
            </w:r>
          </w:p>
        </w:tc>
        <w:tc>
          <w:tcPr>
            <w:tcW w:w="3696" w:type="dxa"/>
            <w:vAlign w:val="center"/>
          </w:tcPr>
          <w:p w14:paraId="52FDD932">
            <w:pPr>
              <w:jc w:val="center"/>
              <w:rPr>
                <w:color w:val="auto"/>
                <w:spacing w:val="8"/>
                <w:highlight w:val="none"/>
              </w:rPr>
            </w:pPr>
            <w:r>
              <w:rPr>
                <w:color w:val="auto"/>
                <w:spacing w:val="8"/>
                <w:highlight w:val="none"/>
              </w:rPr>
              <w:t>疏散泄漏污染区人员至上风处，并隔离直至气体散尽。应急处理人员戴正压自给式呼吸器，穿化学防护服。切断火源，禁止泄漏物与可燃物质接触，切断气源，强力通风。</w:t>
            </w:r>
          </w:p>
        </w:tc>
      </w:tr>
    </w:tbl>
    <w:p w14:paraId="00DD4A2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2.污水处理设施泄漏</w:t>
      </w:r>
      <w:r>
        <w:rPr>
          <w:rFonts w:hint="default" w:ascii="Times New Roman" w:hAnsi="Times New Roman" w:cs="Times New Roman"/>
          <w:color w:val="auto"/>
          <w:sz w:val="24"/>
          <w:szCs w:val="24"/>
          <w:highlight w:val="none"/>
          <w:lang w:val="en-US" w:eastAsia="zh-CN"/>
        </w:rPr>
        <w:t>风险防范及应急措施</w:t>
      </w:r>
    </w:p>
    <w:p w14:paraId="30C8B90C">
      <w:pPr>
        <w:pStyle w:val="2"/>
        <w:keepNext w:val="0"/>
        <w:keepLines w:val="0"/>
        <w:pageBreakBefore w:val="0"/>
        <w:widowControl w:val="0"/>
        <w:kinsoku/>
        <w:wordWrap/>
        <w:overflowPunct/>
        <w:topLinePunct w:val="0"/>
        <w:autoSpaceDE/>
        <w:autoSpaceDN/>
        <w:bidi w:val="0"/>
        <w:adjustRightInd w:val="0"/>
        <w:snapToGrid w:val="0"/>
        <w:spacing w:after="0" w:afterLines="0" w:line="360" w:lineRule="auto"/>
        <w:ind w:left="0" w:leftChars="0" w:firstLine="480" w:firstLineChars="200"/>
        <w:textAlignment w:val="auto"/>
        <w:outlineLvl w:val="9"/>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①</w:t>
      </w:r>
      <w:r>
        <w:rPr>
          <w:rFonts w:hint="eastAsia" w:ascii="Times New Roman" w:hAnsi="Times New Roman" w:eastAsia="宋体" w:cs="Times New Roman"/>
          <w:color w:val="auto"/>
          <w:sz w:val="24"/>
          <w:szCs w:val="24"/>
          <w:highlight w:val="none"/>
          <w:lang w:val="en-US" w:eastAsia="zh-CN"/>
        </w:rPr>
        <w:t>对院区内排水系统、各污水处理设施池体、事故池及排放管道均做</w:t>
      </w:r>
      <w:r>
        <w:rPr>
          <w:rFonts w:hint="eastAsia" w:cs="Times New Roman"/>
          <w:color w:val="auto"/>
          <w:sz w:val="24"/>
          <w:szCs w:val="24"/>
          <w:highlight w:val="none"/>
          <w:lang w:val="en-US" w:eastAsia="zh-CN"/>
        </w:rPr>
        <w:t>防腐、</w:t>
      </w:r>
      <w:r>
        <w:rPr>
          <w:rFonts w:hint="eastAsia" w:ascii="Times New Roman" w:hAnsi="Times New Roman" w:eastAsia="宋体" w:cs="Times New Roman"/>
          <w:color w:val="auto"/>
          <w:sz w:val="24"/>
          <w:szCs w:val="24"/>
          <w:highlight w:val="none"/>
          <w:lang w:val="en-US" w:eastAsia="zh-CN"/>
        </w:rPr>
        <w:t>防渗处理，防止污染物的跑冒滴漏，将污染物的泄漏环境风险事故降到最低限度。</w:t>
      </w:r>
    </w:p>
    <w:p w14:paraId="273330DF">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②</w:t>
      </w:r>
      <w:r>
        <w:rPr>
          <w:rFonts w:hint="eastAsia" w:ascii="Times New Roman" w:hAnsi="Times New Roman" w:eastAsia="宋体" w:cs="Times New Roman"/>
          <w:color w:val="auto"/>
          <w:sz w:val="24"/>
          <w:szCs w:val="24"/>
          <w:highlight w:val="none"/>
          <w:lang w:val="en-US" w:eastAsia="zh-CN"/>
        </w:rPr>
        <w:t>强化管道、水池的转弯、承抽、对接等处的防渗工程，并做好隐蔽工程记录。</w:t>
      </w:r>
    </w:p>
    <w:p w14:paraId="3A30A223">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③</w:t>
      </w:r>
      <w:r>
        <w:rPr>
          <w:rFonts w:hint="eastAsia" w:ascii="Times New Roman" w:hAnsi="Times New Roman" w:eastAsia="宋体" w:cs="Times New Roman"/>
          <w:color w:val="auto"/>
          <w:sz w:val="24"/>
          <w:szCs w:val="24"/>
          <w:highlight w:val="none"/>
          <w:lang w:val="en-US" w:eastAsia="zh-CN"/>
        </w:rPr>
        <w:t>必须定期进行捡漏监测。</w:t>
      </w:r>
    </w:p>
    <w:p w14:paraId="301339FD">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医疗废水事故排放</w:t>
      </w:r>
      <w:r>
        <w:rPr>
          <w:rFonts w:hint="default" w:ascii="Times New Roman" w:hAnsi="Times New Roman" w:cs="Times New Roman"/>
          <w:color w:val="auto"/>
          <w:sz w:val="24"/>
          <w:szCs w:val="24"/>
          <w:highlight w:val="none"/>
          <w:lang w:val="en-US" w:eastAsia="zh-CN"/>
        </w:rPr>
        <w:t>风险防范及应急措施</w:t>
      </w:r>
    </w:p>
    <w:p w14:paraId="5E69C9BB">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①为保证废水的消毒效果，建设项目污水处理消毒设施设置</w:t>
      </w:r>
      <w:r>
        <w:rPr>
          <w:rFonts w:hint="eastAsia" w:cs="Times New Roman"/>
          <w:color w:val="auto"/>
          <w:sz w:val="24"/>
          <w:szCs w:val="24"/>
          <w:highlight w:val="none"/>
          <w:lang w:val="en-US" w:eastAsia="zh-CN"/>
        </w:rPr>
        <w:t>2套</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val="en-US" w:eastAsia="zh-CN"/>
        </w:rPr>
        <w:t>用1备），并设置自动控制系统。当污水处理站消毒设施失效时，可自动切换到另1台设备，确保消毒到位。</w:t>
      </w:r>
    </w:p>
    <w:p w14:paraId="7B0C4119">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②</w:t>
      </w:r>
      <w:r>
        <w:rPr>
          <w:rFonts w:hint="eastAsia" w:cs="Times New Roman"/>
          <w:color w:val="auto"/>
          <w:sz w:val="24"/>
          <w:szCs w:val="24"/>
          <w:highlight w:val="none"/>
          <w:lang w:val="en-US" w:eastAsia="zh-CN"/>
        </w:rPr>
        <w:t>在污水处理站东侧</w:t>
      </w:r>
      <w:r>
        <w:rPr>
          <w:rFonts w:hint="default" w:ascii="Times New Roman" w:hAnsi="Times New Roman" w:cs="Times New Roman"/>
          <w:color w:val="auto"/>
          <w:sz w:val="24"/>
          <w:szCs w:val="24"/>
          <w:highlight w:val="none"/>
          <w:lang w:val="en-US" w:eastAsia="zh-CN"/>
        </w:rPr>
        <w:t>设置1座</w:t>
      </w: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事故应急池，事故排放情况下可将事故排水导入事故应急池暂存</w:t>
      </w:r>
      <w:r>
        <w:rPr>
          <w:rFonts w:hint="eastAsia" w:cs="Times New Roman"/>
          <w:color w:val="auto"/>
          <w:sz w:val="24"/>
          <w:szCs w:val="24"/>
          <w:highlight w:val="none"/>
          <w:lang w:val="en-US" w:eastAsia="zh-CN"/>
        </w:rPr>
        <w:t>。本项目废水产生量为17.68t/d，全天运行24小时，根据《医院污水处理工程技术规范》应急措施要求，非传染病医院事故池容积不小于日排放量的30%，</w:t>
      </w:r>
      <w:r>
        <w:rPr>
          <w:rFonts w:hint="eastAsia" w:cs="Times New Roman"/>
          <w:color w:val="auto"/>
          <w:sz w:val="24"/>
          <w:szCs w:val="24"/>
          <w:highlight w:val="none"/>
          <w:vertAlign w:val="baseline"/>
          <w:lang w:val="en-US" w:eastAsia="zh-CN"/>
        </w:rPr>
        <w:t>故本项目设置6m</w:t>
      </w:r>
      <w:r>
        <w:rPr>
          <w:rFonts w:hint="eastAsia"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事故应急池</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可储存本项目</w:t>
      </w:r>
      <w:r>
        <w:rPr>
          <w:rFonts w:hint="eastAsia" w:cs="Times New Roman"/>
          <w:color w:val="auto"/>
          <w:sz w:val="24"/>
          <w:szCs w:val="24"/>
          <w:highlight w:val="none"/>
          <w:lang w:val="en-US" w:eastAsia="zh-CN"/>
        </w:rPr>
        <w:t>污水处理站修复期间的</w:t>
      </w:r>
      <w:r>
        <w:rPr>
          <w:rFonts w:hint="default" w:ascii="Times New Roman" w:hAnsi="Times New Roman" w:cs="Times New Roman"/>
          <w:color w:val="auto"/>
          <w:sz w:val="24"/>
          <w:szCs w:val="24"/>
          <w:highlight w:val="none"/>
          <w:lang w:val="en-US" w:eastAsia="zh-CN"/>
        </w:rPr>
        <w:t>事故污水</w:t>
      </w:r>
      <w:r>
        <w:rPr>
          <w:rFonts w:hint="eastAsia" w:ascii="Times New Roman" w:hAnsi="Times New Roman" w:cs="Times New Roman"/>
          <w:color w:val="auto"/>
          <w:sz w:val="24"/>
          <w:szCs w:val="24"/>
          <w:highlight w:val="none"/>
          <w:lang w:val="en-US" w:eastAsia="zh-CN"/>
        </w:rPr>
        <w:t>，并留有一定余量。</w:t>
      </w:r>
    </w:p>
    <w:p w14:paraId="54106618">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③</w:t>
      </w:r>
      <w:r>
        <w:rPr>
          <w:rFonts w:hint="eastAsia" w:ascii="Times New Roman" w:hAnsi="Times New Roman" w:cs="Times New Roman"/>
          <w:color w:val="auto"/>
          <w:sz w:val="24"/>
          <w:szCs w:val="24"/>
          <w:highlight w:val="none"/>
          <w:lang w:val="en-US" w:eastAsia="zh-CN"/>
        </w:rPr>
        <w:t>各类电气设备均设置电路短路和过载保护装置。</w:t>
      </w:r>
    </w:p>
    <w:p w14:paraId="37A2DCA0">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default" w:ascii="Times New Roman" w:hAnsi="Times New Roman" w:cs="Times New Roman"/>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w:t>
      </w:r>
      <w:r>
        <w:rPr>
          <w:rFonts w:hint="default" w:ascii="Times New Roman" w:hAnsi="Times New Roman" w:cs="Times New Roman"/>
          <w:color w:val="auto"/>
          <w:sz w:val="24"/>
          <w:szCs w:val="24"/>
          <w:highlight w:val="none"/>
          <w:lang w:val="en-US" w:eastAsia="zh-CN"/>
        </w:rPr>
        <w:t>污水处理站应配备专门人员管理，定期巡展，严格按照操作说明进行操作，定期对各机器进行维修和保养，防止出现污水事故排放。通过以上措施，可有效防止建设项目废水的事故性排放，确保废水经院内污水站处理达标后排放。</w:t>
      </w:r>
    </w:p>
    <w:p w14:paraId="53D00F10">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医疗废物在收集、贮存、运送过程中的风险防范</w:t>
      </w:r>
      <w:r>
        <w:rPr>
          <w:rFonts w:hint="default" w:ascii="Times New Roman" w:hAnsi="Times New Roman" w:cs="Times New Roman"/>
          <w:color w:val="auto"/>
          <w:sz w:val="24"/>
          <w:szCs w:val="24"/>
          <w:highlight w:val="none"/>
          <w:lang w:val="en-US" w:eastAsia="zh-CN"/>
        </w:rPr>
        <w:t>及应急措施</w:t>
      </w:r>
    </w:p>
    <w:p w14:paraId="0CAFA697">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FF0000"/>
          <w:kern w:val="2"/>
          <w:highlight w:val="none"/>
        </w:rPr>
      </w:pPr>
      <w:r>
        <w:rPr>
          <w:rFonts w:hint="default" w:ascii="Times New Roman" w:hAnsi="Times New Roman" w:cs="Times New Roman"/>
          <w:color w:val="FF0000"/>
          <w:kern w:val="2"/>
          <w:highlight w:val="none"/>
        </w:rPr>
        <w:t>①医疗废物暂时贮存处应设有明显的医疗废物警示标识和“禁止吸烟、饮食”的警示标识。</w:t>
      </w:r>
    </w:p>
    <w:p w14:paraId="46E4A975">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FF0000"/>
          <w:kern w:val="2"/>
          <w:highlight w:val="none"/>
        </w:rPr>
      </w:pPr>
      <w:r>
        <w:rPr>
          <w:rFonts w:hint="default" w:ascii="Times New Roman" w:hAnsi="Times New Roman" w:cs="Times New Roman"/>
          <w:color w:val="FF0000"/>
          <w:kern w:val="2"/>
          <w:highlight w:val="none"/>
        </w:rPr>
        <w:t>②要有严格的封闭措施，设专人管理，防止非工作人员接触医疗废物。</w:t>
      </w:r>
    </w:p>
    <w:p w14:paraId="213624DE">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FF0000"/>
          <w:kern w:val="2"/>
          <w:highlight w:val="none"/>
        </w:rPr>
      </w:pPr>
      <w:r>
        <w:rPr>
          <w:rFonts w:hint="default" w:ascii="Times New Roman" w:hAnsi="Times New Roman" w:cs="Times New Roman"/>
          <w:color w:val="FF0000"/>
          <w:kern w:val="2"/>
          <w:highlight w:val="none"/>
        </w:rPr>
        <w:t>③认真执行各项安全措施，做到</w:t>
      </w:r>
      <w:r>
        <w:rPr>
          <w:rFonts w:hint="default" w:ascii="Times New Roman" w:hAnsi="Times New Roman" w:cs="Times New Roman"/>
          <w:color w:val="FF0000"/>
          <w:kern w:val="2"/>
          <w:highlight w:val="none"/>
          <w:lang w:val="en-US" w:eastAsia="zh-CN"/>
        </w:rPr>
        <w:t>“防风、防雨、防晒、防渗漏”</w:t>
      </w:r>
      <w:r>
        <w:rPr>
          <w:rFonts w:hint="default" w:ascii="Times New Roman" w:hAnsi="Times New Roman" w:cs="Times New Roman"/>
          <w:color w:val="FF0000"/>
          <w:kern w:val="2"/>
          <w:highlight w:val="none"/>
        </w:rPr>
        <w:t>。</w:t>
      </w:r>
    </w:p>
    <w:p w14:paraId="79A6ED8A">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kern w:val="2"/>
          <w:highlight w:val="none"/>
        </w:rPr>
      </w:pPr>
      <w:r>
        <w:rPr>
          <w:rFonts w:hint="default" w:ascii="Times New Roman" w:hAnsi="Times New Roman" w:eastAsia="宋体" w:cs="Times New Roman"/>
          <w:color w:val="auto"/>
          <w:kern w:val="2"/>
          <w:highlight w:val="none"/>
        </w:rPr>
        <w:t>④</w:t>
      </w:r>
      <w:r>
        <w:rPr>
          <w:rFonts w:hint="default" w:ascii="Times New Roman" w:hAnsi="Times New Roman" w:cs="Times New Roman"/>
          <w:color w:val="auto"/>
          <w:kern w:val="2"/>
          <w:highlight w:val="none"/>
        </w:rPr>
        <w:t>禁止将医疗废物混入其他废物和生活垃圾。</w:t>
      </w:r>
    </w:p>
    <w:p w14:paraId="40A431F7">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kern w:val="2"/>
          <w:highlight w:val="none"/>
          <w:lang w:val="en-US" w:eastAsia="zh-CN"/>
        </w:rPr>
      </w:pPr>
      <w:r>
        <w:rPr>
          <w:rFonts w:hint="default" w:ascii="Times New Roman" w:hAnsi="Times New Roman" w:eastAsia="微软雅黑" w:cs="Times New Roman"/>
          <w:color w:val="auto"/>
          <w:kern w:val="2"/>
          <w:highlight w:val="none"/>
        </w:rPr>
        <w:t>⑤</w:t>
      </w:r>
      <w:r>
        <w:rPr>
          <w:rFonts w:hint="default" w:ascii="Times New Roman" w:hAnsi="Times New Roman" w:cs="Times New Roman"/>
          <w:color w:val="auto"/>
          <w:kern w:val="2"/>
          <w:highlight w:val="none"/>
        </w:rPr>
        <w:t>医疗废物分类管理、感染性废物、损伤性废物、化学性废物不能混合收集。</w:t>
      </w:r>
      <w:r>
        <w:rPr>
          <w:rFonts w:hint="default" w:ascii="Times New Roman" w:hAnsi="Times New Roman" w:cs="Times New Roman"/>
          <w:color w:val="auto"/>
          <w:kern w:val="2"/>
          <w:highlight w:val="none"/>
          <w:lang w:val="en-US" w:eastAsia="zh-CN"/>
        </w:rPr>
        <w:t xml:space="preserve">                                                                                  </w:t>
      </w:r>
    </w:p>
    <w:p w14:paraId="07AF1223">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textAlignment w:val="auto"/>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lang w:val="en-US" w:eastAsia="zh-CN"/>
        </w:rPr>
        <w:t xml:space="preserve">    </w:t>
      </w:r>
      <w:r>
        <w:rPr>
          <w:rFonts w:hint="default" w:ascii="Times New Roman" w:hAnsi="Times New Roman" w:eastAsia="微软雅黑" w:cs="Times New Roman"/>
          <w:color w:val="auto"/>
          <w:kern w:val="2"/>
          <w:highlight w:val="none"/>
          <w:lang w:val="en-US" w:eastAsia="zh-CN"/>
        </w:rPr>
        <w:t>⑥</w:t>
      </w:r>
      <w:r>
        <w:rPr>
          <w:rFonts w:hint="default" w:ascii="Times New Roman" w:hAnsi="Times New Roman" w:cs="Times New Roman"/>
          <w:color w:val="auto"/>
          <w:kern w:val="2"/>
          <w:highlight w:val="none"/>
        </w:rPr>
        <w:t>专职人员必须按制定时间、路线，并使用专用密闭运输工具，收集、运送医疗废物。</w:t>
      </w:r>
    </w:p>
    <w:p w14:paraId="05EE16F5">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outlineLvl w:val="9"/>
        <w:rPr>
          <w:rFonts w:hint="default" w:ascii="Times New Roman" w:hAnsi="Times New Roman" w:cs="Times New Roman"/>
          <w:color w:val="auto"/>
          <w:kern w:val="2"/>
          <w:highlight w:val="none"/>
          <w:lang w:val="en-US" w:eastAsia="zh-CN"/>
        </w:rPr>
      </w:pPr>
      <w:r>
        <w:rPr>
          <w:rFonts w:hint="default" w:ascii="Times New Roman" w:hAnsi="Times New Roman" w:eastAsia="微软雅黑" w:cs="Times New Roman"/>
          <w:color w:val="auto"/>
          <w:kern w:val="2"/>
          <w:highlight w:val="none"/>
        </w:rPr>
        <w:t>⑦</w:t>
      </w:r>
      <w:r>
        <w:rPr>
          <w:rFonts w:hint="default" w:ascii="Times New Roman" w:hAnsi="Times New Roman" w:cs="Times New Roman"/>
          <w:color w:val="auto"/>
          <w:kern w:val="2"/>
          <w:highlight w:val="none"/>
        </w:rPr>
        <w:t>从各医疗废物产生点收集回的医疗废物要分类放置于符合《医疗废物专用包装、容器标准和警示标识的规定》的包装物或容器内。</w:t>
      </w:r>
      <w:r>
        <w:rPr>
          <w:rFonts w:hint="default" w:ascii="Times New Roman" w:hAnsi="Times New Roman" w:cs="Times New Roman"/>
          <w:color w:val="auto"/>
          <w:kern w:val="2"/>
          <w:highlight w:val="none"/>
          <w:lang w:val="en-US" w:eastAsia="zh-CN"/>
        </w:rPr>
        <w:t xml:space="preserve">                                 </w:t>
      </w:r>
    </w:p>
    <w:p w14:paraId="01476633">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jc w:val="left"/>
        <w:textAlignment w:val="auto"/>
        <w:outlineLvl w:val="9"/>
        <w:rPr>
          <w:rFonts w:hint="default" w:ascii="Times New Roman" w:hAnsi="Times New Roman" w:cs="Times New Roman"/>
          <w:color w:val="auto"/>
          <w:kern w:val="2"/>
          <w:highlight w:val="none"/>
        </w:rPr>
      </w:pPr>
      <w:r>
        <w:rPr>
          <w:rFonts w:hint="default" w:ascii="Times New Roman" w:hAnsi="Times New Roman" w:eastAsia="微软雅黑" w:cs="Times New Roman"/>
          <w:color w:val="auto"/>
          <w:kern w:val="2"/>
          <w:highlight w:val="none"/>
          <w:lang w:eastAsia="zh-CN"/>
        </w:rPr>
        <w:t>⑧</w:t>
      </w:r>
      <w:r>
        <w:rPr>
          <w:rFonts w:hint="default" w:ascii="Times New Roman" w:hAnsi="Times New Roman" w:cs="Times New Roman"/>
          <w:color w:val="auto"/>
          <w:kern w:val="2"/>
          <w:highlight w:val="none"/>
        </w:rPr>
        <w:t>认真执行登记制度，收集医疗废物及时登记，登记内容包括：医疗废物的来源种类、重量或数量、交接时间、最终去向以及经办人签名等项目，并保存登记资料至少三年。</w:t>
      </w:r>
    </w:p>
    <w:p w14:paraId="48EAC588">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kern w:val="2"/>
          <w:highlight w:val="none"/>
        </w:rPr>
      </w:pPr>
      <w:r>
        <w:rPr>
          <w:rFonts w:hint="default" w:ascii="Times New Roman" w:hAnsi="Times New Roman" w:eastAsia="宋体" w:cs="Times New Roman"/>
          <w:color w:val="auto"/>
          <w:kern w:val="2"/>
          <w:highlight w:val="none"/>
        </w:rPr>
        <w:t>⑨</w:t>
      </w:r>
      <w:r>
        <w:rPr>
          <w:rFonts w:hint="default" w:ascii="Times New Roman" w:hAnsi="Times New Roman" w:cs="Times New Roman"/>
          <w:color w:val="auto"/>
          <w:kern w:val="2"/>
          <w:highlight w:val="none"/>
        </w:rPr>
        <w:t>收集的医疗废物不能外流、泄漏、扩散，只能交给指定的医疗废物集中处置单位进行处理。</w:t>
      </w:r>
    </w:p>
    <w:p w14:paraId="7AFF5460">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kern w:val="2"/>
          <w:highlight w:val="none"/>
        </w:rPr>
      </w:pPr>
      <w:r>
        <w:rPr>
          <w:rFonts w:hint="default" w:ascii="Times New Roman" w:hAnsi="Times New Roman" w:eastAsia="宋体" w:cs="Times New Roman"/>
          <w:color w:val="auto"/>
          <w:kern w:val="2"/>
          <w:highlight w:val="none"/>
        </w:rPr>
        <w:t>⑩</w:t>
      </w:r>
      <w:r>
        <w:rPr>
          <w:rFonts w:hint="default" w:ascii="Times New Roman" w:hAnsi="Times New Roman" w:cs="Times New Roman"/>
          <w:color w:val="auto"/>
          <w:kern w:val="2"/>
          <w:highlight w:val="none"/>
        </w:rPr>
        <w:t>将医疗废物交医疗废物集中处置单位处置时，依照</w:t>
      </w:r>
      <w:r>
        <w:rPr>
          <w:rFonts w:hint="default" w:ascii="Times New Roman" w:hAnsi="Times New Roman" w:cs="Times New Roman"/>
          <w:color w:val="auto"/>
          <w:kern w:val="2"/>
          <w:highlight w:val="none"/>
          <w:lang w:eastAsia="zh-CN"/>
        </w:rPr>
        <w:t>医疗</w:t>
      </w:r>
      <w:r>
        <w:rPr>
          <w:rFonts w:hint="default" w:ascii="Times New Roman" w:hAnsi="Times New Roman" w:cs="Times New Roman"/>
          <w:color w:val="auto"/>
          <w:kern w:val="2"/>
          <w:highlight w:val="none"/>
        </w:rPr>
        <w:t>废物转移联单制度填写和保存转移联单。</w:t>
      </w:r>
    </w:p>
    <w:p w14:paraId="0A4E918E">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kern w:val="2"/>
          <w:highlight w:val="none"/>
        </w:rPr>
      </w:pPr>
      <w:r>
        <w:rPr>
          <w:rFonts w:hint="default" w:ascii="Times New Roman" w:hAnsi="Times New Roman" w:cs="Times New Roman"/>
          <w:color w:val="auto"/>
          <w:highlight w:val="none"/>
        </w:rPr>
        <w:t>⑪</w:t>
      </w:r>
      <w:r>
        <w:rPr>
          <w:rFonts w:hint="default" w:ascii="Times New Roman" w:hAnsi="Times New Roman" w:cs="Times New Roman"/>
          <w:color w:val="auto"/>
          <w:spacing w:val="0"/>
          <w:kern w:val="2"/>
          <w:highlight w:val="none"/>
        </w:rPr>
        <w:t>每次收集完毕，在暂存点及时对运送工具进行清洁和消毒，</w:t>
      </w:r>
      <w:r>
        <w:rPr>
          <w:rFonts w:hint="default" w:ascii="Times New Roman" w:hAnsi="Times New Roman" w:cs="Times New Roman"/>
          <w:color w:val="auto"/>
          <w:spacing w:val="-20"/>
          <w:kern w:val="2"/>
          <w:highlight w:val="none"/>
        </w:rPr>
        <w:t>先</w:t>
      </w:r>
      <w:r>
        <w:rPr>
          <w:rFonts w:hint="default" w:ascii="Times New Roman" w:hAnsi="Times New Roman" w:cs="Times New Roman"/>
          <w:color w:val="auto"/>
          <w:spacing w:val="-20"/>
          <w:kern w:val="2"/>
          <w:highlight w:val="none"/>
          <w:lang w:eastAsia="zh-CN"/>
        </w:rPr>
        <w:t>用</w:t>
      </w:r>
      <w:r>
        <w:rPr>
          <w:rFonts w:hint="default" w:ascii="Times New Roman" w:hAnsi="Times New Roman" w:cs="Times New Roman"/>
          <w:color w:val="auto"/>
          <w:kern w:val="2"/>
          <w:highlight w:val="none"/>
        </w:rPr>
        <w:t>1000</w:t>
      </w:r>
      <w:r>
        <w:rPr>
          <w:rFonts w:hint="default" w:ascii="Times New Roman" w:hAnsi="Times New Roman" w:cs="Times New Roman"/>
          <w:color w:val="auto"/>
          <w:kern w:val="2"/>
          <w:highlight w:val="none"/>
          <w:lang w:val="en-US" w:eastAsia="zh-CN"/>
        </w:rPr>
        <w:t>-</w:t>
      </w:r>
      <w:r>
        <w:rPr>
          <w:rFonts w:hint="default" w:ascii="Times New Roman" w:hAnsi="Times New Roman" w:cs="Times New Roman"/>
          <w:color w:val="auto"/>
          <w:kern w:val="2"/>
          <w:highlight w:val="none"/>
        </w:rPr>
        <w:t>2000mg∕L含氯消毒液刷洗，再用清水冲洗干净。</w:t>
      </w:r>
    </w:p>
    <w:p w14:paraId="7919AE94">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kern w:val="2"/>
          <w:highlight w:val="none"/>
        </w:rPr>
      </w:pPr>
      <w:r>
        <w:rPr>
          <w:rFonts w:hint="default" w:ascii="Times New Roman" w:hAnsi="Times New Roman" w:cs="Times New Roman"/>
          <w:color w:val="auto"/>
          <w:highlight w:val="none"/>
        </w:rPr>
        <w:t>⑫</w:t>
      </w:r>
      <w:r>
        <w:rPr>
          <w:rFonts w:hint="default" w:ascii="Times New Roman" w:hAnsi="Times New Roman" w:cs="Times New Roman"/>
          <w:color w:val="auto"/>
          <w:kern w:val="2"/>
          <w:highlight w:val="none"/>
        </w:rPr>
        <w:t>当医疗废物转交出去后，及时对贮存点、设施进行消毒和清洁处理，先用高压水冲洗，再用1000—2000mg∕L含氯消毒液喷洒或擦拭。</w:t>
      </w:r>
    </w:p>
    <w:p w14:paraId="52B476DF">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kern w:val="2"/>
          <w:highlight w:val="none"/>
        </w:rPr>
      </w:pPr>
      <w:r>
        <w:rPr>
          <w:rFonts w:hint="default" w:ascii="Times New Roman" w:hAnsi="Times New Roman" w:cs="Times New Roman"/>
          <w:color w:val="auto"/>
          <w:highlight w:val="none"/>
        </w:rPr>
        <w:t>⑬</w:t>
      </w:r>
      <w:r>
        <w:rPr>
          <w:rFonts w:hint="default" w:ascii="Times New Roman" w:hAnsi="Times New Roman" w:cs="Times New Roman"/>
          <w:color w:val="auto"/>
          <w:kern w:val="2"/>
          <w:highlight w:val="none"/>
        </w:rPr>
        <w:t>专职人员在收集或运送医疗废物时，要穿防护服、戴口罩、帽子、一次性手套、穿胶鞋。接触医疗废物后，脱去手套要按照六步洗手法认真的洗净双手。</w:t>
      </w:r>
    </w:p>
    <w:p w14:paraId="77E41F58">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textAlignment w:val="auto"/>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 </w:t>
      </w:r>
      <w:r>
        <w:rPr>
          <w:rFonts w:hint="default" w:ascii="Times New Roman" w:hAnsi="Times New Roman" w:cs="Times New Roman"/>
          <w:color w:val="auto"/>
          <w:kern w:val="2"/>
          <w:highlight w:val="none"/>
          <w:lang w:val="en-US" w:eastAsia="zh-CN"/>
        </w:rPr>
        <w:t xml:space="preserve">   </w:t>
      </w:r>
      <w:r>
        <w:rPr>
          <w:rFonts w:hint="default" w:ascii="Times New Roman" w:hAnsi="Times New Roman" w:cs="Times New Roman"/>
          <w:color w:val="auto"/>
          <w:highlight w:val="none"/>
        </w:rPr>
        <w:t>⑭</w:t>
      </w:r>
      <w:r>
        <w:rPr>
          <w:rFonts w:hint="default" w:ascii="Times New Roman" w:hAnsi="Times New Roman" w:cs="Times New Roman"/>
          <w:color w:val="auto"/>
          <w:kern w:val="2"/>
          <w:highlight w:val="none"/>
        </w:rPr>
        <w:t>在工作中要防止被锐器刺伤，一旦发生刺伤要及时向医院感染管理科报告，并采取应急处理措施。 </w:t>
      </w:r>
    </w:p>
    <w:p w14:paraId="53210C3C">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kern w:val="2"/>
          <w:highlight w:val="none"/>
        </w:rPr>
      </w:pPr>
      <w:r>
        <w:rPr>
          <w:rFonts w:hint="default" w:ascii="Times New Roman" w:hAnsi="Times New Roman" w:cs="Times New Roman"/>
          <w:color w:val="auto"/>
          <w:highlight w:val="none"/>
        </w:rPr>
        <w:t>⑮</w:t>
      </w:r>
      <w:r>
        <w:rPr>
          <w:rFonts w:hint="default" w:ascii="Times New Roman" w:hAnsi="Times New Roman" w:cs="Times New Roman"/>
          <w:color w:val="auto"/>
          <w:kern w:val="2"/>
          <w:highlight w:val="none"/>
        </w:rPr>
        <w:t>一旦发生医疗废物流失、泄漏、扩散时，即刻向医院感染管理科报告。</w:t>
      </w:r>
    </w:p>
    <w:p w14:paraId="731CA16F">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kern w:val="2"/>
          <w:highlight w:val="none"/>
        </w:rPr>
      </w:pPr>
      <w:r>
        <w:rPr>
          <w:rFonts w:hint="default" w:ascii="Times New Roman" w:hAnsi="Times New Roman" w:cs="Times New Roman"/>
          <w:color w:val="auto"/>
          <w:highlight w:val="none"/>
        </w:rPr>
        <w:t>⑯</w:t>
      </w:r>
      <w:r>
        <w:rPr>
          <w:rFonts w:hint="default" w:ascii="Times New Roman" w:hAnsi="Times New Roman" w:cs="Times New Roman"/>
          <w:color w:val="auto"/>
          <w:kern w:val="2"/>
          <w:highlight w:val="none"/>
        </w:rPr>
        <w:t>因管理失误，发生医疗废物丢失、泄漏、扩散，要承担相应责任，并根据情况给予罚款处理。</w:t>
      </w:r>
    </w:p>
    <w:p w14:paraId="71D20550">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FF0000"/>
          <w:kern w:val="2"/>
          <w:highlight w:val="none"/>
        </w:rPr>
      </w:pPr>
      <w:r>
        <w:rPr>
          <w:rFonts w:hint="default" w:ascii="Times New Roman" w:hAnsi="Times New Roman" w:cs="Times New Roman"/>
          <w:color w:val="FF0000"/>
          <w:highlight w:val="none"/>
        </w:rPr>
        <w:t>⑰</w:t>
      </w:r>
      <w:r>
        <w:rPr>
          <w:rFonts w:hint="default" w:ascii="Times New Roman" w:hAnsi="Times New Roman" w:cs="Times New Roman"/>
          <w:color w:val="FF0000"/>
          <w:kern w:val="2"/>
          <w:highlight w:val="none"/>
          <w:lang w:eastAsia="zh-CN"/>
        </w:rPr>
        <w:t>医疗废物</w:t>
      </w:r>
      <w:r>
        <w:rPr>
          <w:rFonts w:hint="default" w:ascii="Times New Roman" w:hAnsi="Times New Roman" w:cs="Times New Roman"/>
          <w:color w:val="FF0000"/>
          <w:kern w:val="2"/>
          <w:highlight w:val="none"/>
        </w:rPr>
        <w:t>、生活垃圾、日产日清，分别运送。</w:t>
      </w:r>
      <w:r>
        <w:rPr>
          <w:rFonts w:hint="default" w:ascii="Times New Roman" w:hAnsi="Times New Roman" w:cs="Times New Roman"/>
          <w:color w:val="FF0000"/>
          <w:kern w:val="2"/>
          <w:highlight w:val="none"/>
          <w:lang w:eastAsia="zh-CN"/>
        </w:rPr>
        <w:t>医疗废物</w:t>
      </w:r>
      <w:r>
        <w:rPr>
          <w:rFonts w:hint="default" w:ascii="Times New Roman" w:hAnsi="Times New Roman" w:cs="Times New Roman"/>
          <w:color w:val="FF0000"/>
          <w:kern w:val="2"/>
          <w:highlight w:val="none"/>
        </w:rPr>
        <w:t>暂时贮存不能超过</w:t>
      </w:r>
      <w:r>
        <w:rPr>
          <w:rFonts w:hint="eastAsia" w:ascii="Times New Roman" w:hAnsi="Times New Roman" w:cs="Times New Roman"/>
          <w:color w:val="FF0000"/>
          <w:kern w:val="2"/>
          <w:highlight w:val="none"/>
          <w:lang w:val="en-US" w:eastAsia="zh-CN"/>
        </w:rPr>
        <w:t>24</w:t>
      </w:r>
      <w:r>
        <w:rPr>
          <w:rFonts w:hint="default" w:ascii="Times New Roman" w:hAnsi="Times New Roman" w:cs="Times New Roman"/>
          <w:color w:val="FF0000"/>
          <w:kern w:val="2"/>
          <w:highlight w:val="none"/>
        </w:rPr>
        <w:t>小时。</w:t>
      </w:r>
    </w:p>
    <w:p w14:paraId="38311D85">
      <w:pPr>
        <w:pStyle w:val="22"/>
        <w:keepNext w:val="0"/>
        <w:keepLines w:val="0"/>
        <w:pageBreakBefore w:val="0"/>
        <w:widowControl/>
        <w:numPr>
          <w:ilvl w:val="0"/>
          <w:numId w:val="4"/>
        </w:numPr>
        <w:kinsoku/>
        <w:wordWrap/>
        <w:overflowPunct/>
        <w:topLinePunct w:val="0"/>
        <w:autoSpaceDE/>
        <w:autoSpaceDN/>
        <w:bidi w:val="0"/>
        <w:adjustRightInd w:val="0"/>
        <w:snapToGrid w:val="0"/>
        <w:spacing w:before="0" w:beforeAutospacing="0" w:after="0" w:afterAutospacing="0" w:line="360" w:lineRule="auto"/>
        <w:ind w:left="0" w:leftChars="0" w:right="0" w:rightChars="0" w:firstLine="480" w:firstLineChars="200"/>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kern w:val="2"/>
          <w:highlight w:val="none"/>
          <w:lang w:val="en-US" w:eastAsia="zh-CN"/>
        </w:rPr>
        <w:t>氧气泄漏</w:t>
      </w:r>
      <w:r>
        <w:rPr>
          <w:rFonts w:hint="default" w:ascii="Times New Roman" w:hAnsi="Times New Roman" w:cs="Times New Roman"/>
          <w:color w:val="auto"/>
          <w:sz w:val="24"/>
          <w:szCs w:val="24"/>
          <w:highlight w:val="none"/>
          <w:lang w:val="en-US" w:eastAsia="zh-CN"/>
        </w:rPr>
        <w:t>风险防范及应急措施</w:t>
      </w:r>
    </w:p>
    <w:p w14:paraId="12943B56">
      <w:pPr>
        <w:keepNext w:val="0"/>
        <w:keepLines w:val="0"/>
        <w:pageBreakBefore w:val="0"/>
        <w:widowControl w:val="0"/>
        <w:tabs>
          <w:tab w:val="left" w:pos="724"/>
        </w:tabs>
        <w:kinsoku/>
        <w:wordWrap/>
        <w:overflowPunct/>
        <w:topLinePunct w:val="0"/>
        <w:autoSpaceDE/>
        <w:autoSpaceDN/>
        <w:bidi w:val="0"/>
        <w:adjustRightInd w:val="0"/>
        <w:snapToGrid w:val="0"/>
        <w:spacing w:line="360" w:lineRule="auto"/>
        <w:ind w:firstLine="480" w:firstLineChars="200"/>
        <w:jc w:val="left"/>
        <w:textAlignment w:val="auto"/>
        <w:outlineLvl w:val="9"/>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①氧气吸氧的操作人员必须经过专门训练，严格遵守操作规程，使用时应远离火种、热源，远离易燃、可燃物，避免与活性金属粉末接触。工作场所严禁吸烟，还</w:t>
      </w:r>
      <w:r>
        <w:rPr>
          <w:rFonts w:hint="eastAsia" w:ascii="Times New Roman" w:hAnsi="Times New Roman" w:cs="Times New Roman"/>
          <w:color w:val="auto"/>
          <w:sz w:val="24"/>
          <w:szCs w:val="24"/>
          <w:highlight w:val="none"/>
          <w:lang w:val="en-US" w:eastAsia="zh-CN"/>
        </w:rPr>
        <w:t>要</w:t>
      </w:r>
      <w:r>
        <w:rPr>
          <w:rFonts w:hint="default" w:ascii="Times New Roman" w:hAnsi="Times New Roman" w:cs="Times New Roman"/>
          <w:color w:val="auto"/>
          <w:sz w:val="24"/>
          <w:szCs w:val="24"/>
          <w:highlight w:val="none"/>
          <w:lang w:val="en-US" w:eastAsia="zh-CN"/>
        </w:rPr>
        <w:t>避免高浓度吸入。同一储存间严禁存放其他可燃气瓶和油脂类物品。</w:t>
      </w:r>
    </w:p>
    <w:p w14:paraId="30309A60">
      <w:pPr>
        <w:pStyle w:val="22"/>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right="0" w:rightChars="0" w:firstLine="480"/>
        <w:jc w:val="left"/>
        <w:textAlignment w:val="auto"/>
        <w:rPr>
          <w:rFonts w:hint="eastAsia"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②</w:t>
      </w:r>
      <w:r>
        <w:rPr>
          <w:rFonts w:hint="eastAsia" w:ascii="Times New Roman" w:hAnsi="Times New Roman" w:cs="Times New Roman"/>
          <w:color w:val="auto"/>
          <w:sz w:val="24"/>
          <w:szCs w:val="24"/>
          <w:highlight w:val="none"/>
          <w:lang w:val="en-US" w:eastAsia="zh-CN"/>
        </w:rPr>
        <w:t>氧气泄漏时，要迅速撤离泄漏污染区人员至上风处，并对污染区进行隔离，切断火源。应急人员戴自给正压式呼吸器，避免与可燃物或易燃物接触。</w:t>
      </w:r>
    </w:p>
    <w:p w14:paraId="2D6AE3B4">
      <w:pPr>
        <w:pStyle w:val="22"/>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right="0" w:rightChars="0"/>
        <w:jc w:val="left"/>
        <w:textAlignment w:val="auto"/>
        <w:rPr>
          <w:rFonts w:hint="default" w:ascii="Times New Roman" w:hAnsi="Times New Roman" w:cs="Times New Roman"/>
          <w:color w:val="FF0000"/>
          <w:sz w:val="24"/>
          <w:szCs w:val="24"/>
          <w:highlight w:val="none"/>
          <w:lang w:val="en-US" w:eastAsia="zh-CN"/>
        </w:rPr>
      </w:pPr>
      <w:r>
        <w:rPr>
          <w:rFonts w:hint="eastAsia" w:ascii="Times New Roman" w:hAnsi="Times New Roman" w:cs="Times New Roman"/>
          <w:color w:val="FF0000"/>
          <w:sz w:val="24"/>
          <w:szCs w:val="24"/>
          <w:highlight w:val="none"/>
          <w:lang w:val="en-US" w:eastAsia="zh-CN"/>
        </w:rPr>
        <w:t>7.6突发环境事件应急预案</w:t>
      </w:r>
    </w:p>
    <w:p w14:paraId="585F4E89">
      <w:pPr>
        <w:pStyle w:val="22"/>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default" w:ascii="Times New Roman" w:hAnsi="Times New Roman" w:cs="Times New Roman"/>
          <w:color w:val="FF0000"/>
          <w:sz w:val="24"/>
          <w:szCs w:val="24"/>
          <w:highlight w:val="none"/>
          <w:lang w:val="en-US" w:eastAsia="zh-CN"/>
        </w:rPr>
      </w:pPr>
      <w:r>
        <w:rPr>
          <w:rFonts w:hint="eastAsia" w:ascii="Times New Roman" w:hAnsi="Times New Roman" w:cs="Times New Roman"/>
          <w:color w:val="FF0000"/>
          <w:sz w:val="24"/>
          <w:szCs w:val="24"/>
          <w:highlight w:val="none"/>
          <w:lang w:val="en-US" w:eastAsia="zh-CN"/>
        </w:rPr>
        <w:t>根据《辽宁省突发环境事件应急预案备案行业名录（试行）》要求，本项目应编制突发环境事件应急预案，原则要求如下：</w:t>
      </w:r>
    </w:p>
    <w:p w14:paraId="4D6F0985">
      <w:pPr>
        <w:pStyle w:val="22"/>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default" w:ascii="Times New Roman" w:hAnsi="Times New Roman" w:cs="Times New Roman"/>
          <w:color w:val="FF0000"/>
          <w:sz w:val="24"/>
          <w:szCs w:val="24"/>
          <w:highlight w:val="none"/>
          <w:lang w:val="en-US" w:eastAsia="zh-CN"/>
        </w:rPr>
      </w:pPr>
      <w:r>
        <w:rPr>
          <w:rFonts w:hint="default" w:ascii="Times New Roman" w:hAnsi="Times New Roman" w:cs="Times New Roman"/>
          <w:color w:val="FF0000"/>
          <w:sz w:val="24"/>
          <w:szCs w:val="24"/>
          <w:highlight w:val="none"/>
          <w:lang w:val="en-US" w:eastAsia="zh-CN"/>
        </w:rPr>
        <w:t>（1）指导思想。</w:t>
      </w:r>
    </w:p>
    <w:p w14:paraId="35B4B23E">
      <w:pPr>
        <w:pStyle w:val="22"/>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default" w:ascii="Times New Roman" w:hAnsi="Times New Roman" w:cs="Times New Roman"/>
          <w:color w:val="FF0000"/>
          <w:sz w:val="24"/>
          <w:szCs w:val="24"/>
          <w:highlight w:val="none"/>
          <w:lang w:val="en-US" w:eastAsia="zh-CN"/>
        </w:rPr>
      </w:pPr>
      <w:r>
        <w:rPr>
          <w:rFonts w:hint="eastAsia" w:ascii="Times New Roman" w:hAnsi="Times New Roman" w:cs="Times New Roman"/>
          <w:color w:val="FF0000"/>
          <w:sz w:val="24"/>
          <w:szCs w:val="24"/>
          <w:highlight w:val="none"/>
          <w:lang w:val="en-US" w:eastAsia="zh-CN"/>
        </w:rPr>
        <w:t>为提高本溪谦和中医院的风险防控意识，预防环境污染事件发生，建立健全突发环境事件应急机制，最大限度地预防和减少突发环境事件及其造成的损害，制定本溪谦和中医院突发环境事件应急预案。</w:t>
      </w:r>
    </w:p>
    <w:p w14:paraId="4722D2E6">
      <w:pPr>
        <w:pStyle w:val="22"/>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Times New Roman" w:hAnsi="Times New Roman" w:cs="Times New Roman"/>
          <w:color w:val="FF0000"/>
          <w:sz w:val="24"/>
          <w:szCs w:val="24"/>
          <w:highlight w:val="none"/>
          <w:lang w:val="en-US" w:eastAsia="zh-CN"/>
        </w:rPr>
      </w:pPr>
      <w:r>
        <w:rPr>
          <w:rFonts w:hint="default" w:ascii="Times New Roman" w:hAnsi="Times New Roman" w:cs="Times New Roman"/>
          <w:color w:val="FF0000"/>
          <w:sz w:val="24"/>
          <w:szCs w:val="24"/>
          <w:highlight w:val="none"/>
          <w:lang w:val="en-US" w:eastAsia="zh-CN"/>
        </w:rPr>
        <w:t>（</w:t>
      </w:r>
      <w:r>
        <w:rPr>
          <w:rFonts w:hint="eastAsia" w:ascii="Times New Roman" w:hAnsi="Times New Roman" w:cs="Times New Roman"/>
          <w:color w:val="FF0000"/>
          <w:sz w:val="24"/>
          <w:szCs w:val="24"/>
          <w:highlight w:val="none"/>
          <w:lang w:val="en-US" w:eastAsia="zh-CN"/>
        </w:rPr>
        <w:t>2</w:t>
      </w:r>
      <w:r>
        <w:rPr>
          <w:rFonts w:hint="default" w:ascii="Times New Roman" w:hAnsi="Times New Roman" w:cs="Times New Roman"/>
          <w:color w:val="FF0000"/>
          <w:sz w:val="24"/>
          <w:szCs w:val="24"/>
          <w:highlight w:val="none"/>
          <w:lang w:val="en-US" w:eastAsia="zh-CN"/>
        </w:rPr>
        <w:t>）应急组织机构</w:t>
      </w:r>
      <w:r>
        <w:rPr>
          <w:rFonts w:hint="eastAsia" w:ascii="Times New Roman" w:hAnsi="Times New Roman" w:cs="Times New Roman"/>
          <w:color w:val="FF0000"/>
          <w:sz w:val="24"/>
          <w:szCs w:val="24"/>
          <w:highlight w:val="none"/>
          <w:lang w:val="en-US" w:eastAsia="zh-CN"/>
        </w:rPr>
        <w:t>与职责</w:t>
      </w:r>
    </w:p>
    <w:p w14:paraId="00634CD7">
      <w:pPr>
        <w:pStyle w:val="22"/>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default" w:ascii="Times New Roman" w:hAnsi="Times New Roman" w:cs="Times New Roman"/>
          <w:color w:val="FF0000"/>
          <w:sz w:val="24"/>
          <w:szCs w:val="24"/>
          <w:highlight w:val="none"/>
          <w:lang w:val="en-US" w:eastAsia="zh-CN"/>
        </w:rPr>
      </w:pPr>
      <w:r>
        <w:rPr>
          <w:rFonts w:hint="eastAsia" w:ascii="Times New Roman" w:hAnsi="Times New Roman" w:cs="Times New Roman"/>
          <w:color w:val="FF0000"/>
          <w:sz w:val="24"/>
          <w:szCs w:val="24"/>
          <w:highlight w:val="none"/>
          <w:lang w:val="en-US" w:eastAsia="zh-CN"/>
        </w:rPr>
        <w:t>为建立健全医院突发环境事件应急组织体系，成立突发环境事件应急处置指挥部，下设应急小组及应急办公室，主要职责为组建应急救援专业队伍，组织预案的实施与演练，检查督促做好突发环境事件的预防措施和应急救援的各项准备工作。</w:t>
      </w:r>
    </w:p>
    <w:p w14:paraId="7223924E">
      <w:pPr>
        <w:pStyle w:val="22"/>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Times New Roman" w:hAnsi="Times New Roman" w:cs="Times New Roman"/>
          <w:color w:val="FF0000"/>
          <w:sz w:val="24"/>
          <w:szCs w:val="24"/>
          <w:highlight w:val="none"/>
          <w:lang w:val="en-US" w:eastAsia="zh-CN"/>
        </w:rPr>
      </w:pPr>
      <w:r>
        <w:rPr>
          <w:rFonts w:hint="eastAsia" w:ascii="Times New Roman" w:hAnsi="Times New Roman" w:cs="Times New Roman"/>
          <w:color w:val="FF0000"/>
          <w:sz w:val="24"/>
          <w:szCs w:val="24"/>
          <w:highlight w:val="none"/>
          <w:lang w:val="en-US" w:eastAsia="zh-CN"/>
        </w:rPr>
        <w:t>（3）监控与预警</w:t>
      </w:r>
    </w:p>
    <w:p w14:paraId="4106D458">
      <w:pPr>
        <w:pStyle w:val="22"/>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Times New Roman" w:hAnsi="Times New Roman" w:cs="Times New Roman"/>
          <w:color w:val="FF0000"/>
          <w:sz w:val="24"/>
          <w:szCs w:val="24"/>
          <w:highlight w:val="none"/>
          <w:lang w:val="en-US" w:eastAsia="zh-CN"/>
        </w:rPr>
      </w:pPr>
      <w:r>
        <w:rPr>
          <w:rFonts w:hint="eastAsia" w:ascii="Times New Roman" w:hAnsi="Times New Roman" w:cs="Times New Roman"/>
          <w:color w:val="FF0000"/>
          <w:sz w:val="24"/>
          <w:szCs w:val="24"/>
          <w:highlight w:val="none"/>
          <w:lang w:val="en-US" w:eastAsia="zh-CN"/>
        </w:rPr>
        <w:t>加强对医院突发环境事件危险因素的监控，建立突发环境事件内部预警机制，做到“早发现、早报告、早处置”。</w:t>
      </w:r>
    </w:p>
    <w:p w14:paraId="01F89881">
      <w:pPr>
        <w:pStyle w:val="22"/>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Times New Roman" w:hAnsi="Times New Roman" w:cs="Times New Roman"/>
          <w:color w:val="FF0000"/>
          <w:sz w:val="24"/>
          <w:szCs w:val="24"/>
          <w:highlight w:val="none"/>
          <w:lang w:val="en-US" w:eastAsia="zh-CN"/>
        </w:rPr>
      </w:pPr>
      <w:r>
        <w:rPr>
          <w:rFonts w:hint="default" w:ascii="Times New Roman" w:hAnsi="Times New Roman" w:cs="Times New Roman"/>
          <w:color w:val="FF0000"/>
          <w:sz w:val="24"/>
          <w:szCs w:val="24"/>
          <w:highlight w:val="none"/>
          <w:lang w:val="en-US" w:eastAsia="zh-CN"/>
        </w:rPr>
        <w:t>（</w:t>
      </w:r>
      <w:r>
        <w:rPr>
          <w:rFonts w:hint="eastAsia" w:ascii="Times New Roman" w:hAnsi="Times New Roman" w:cs="Times New Roman"/>
          <w:color w:val="FF0000"/>
          <w:sz w:val="24"/>
          <w:szCs w:val="24"/>
          <w:highlight w:val="none"/>
          <w:lang w:val="en-US" w:eastAsia="zh-CN"/>
        </w:rPr>
        <w:t>4</w:t>
      </w:r>
      <w:r>
        <w:rPr>
          <w:rFonts w:hint="default" w:ascii="Times New Roman" w:hAnsi="Times New Roman" w:cs="Times New Roman"/>
          <w:color w:val="FF0000"/>
          <w:sz w:val="24"/>
          <w:szCs w:val="24"/>
          <w:highlight w:val="none"/>
          <w:lang w:val="en-US" w:eastAsia="zh-CN"/>
        </w:rPr>
        <w:t>）</w:t>
      </w:r>
      <w:r>
        <w:rPr>
          <w:rFonts w:hint="eastAsia" w:ascii="Times New Roman" w:hAnsi="Times New Roman" w:cs="Times New Roman"/>
          <w:color w:val="FF0000"/>
          <w:sz w:val="24"/>
          <w:szCs w:val="24"/>
          <w:highlight w:val="none"/>
          <w:lang w:val="en-US" w:eastAsia="zh-CN"/>
        </w:rPr>
        <w:t>应急响应</w:t>
      </w:r>
    </w:p>
    <w:p w14:paraId="24791B46">
      <w:pPr>
        <w:pStyle w:val="22"/>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Times New Roman" w:hAnsi="Times New Roman" w:cs="Times New Roman"/>
          <w:color w:val="FF0000"/>
          <w:sz w:val="24"/>
          <w:szCs w:val="24"/>
          <w:highlight w:val="none"/>
          <w:lang w:val="en-US" w:eastAsia="zh-CN"/>
        </w:rPr>
      </w:pPr>
      <w:r>
        <w:rPr>
          <w:rFonts w:hint="eastAsia" w:ascii="Times New Roman" w:hAnsi="Times New Roman" w:cs="Times New Roman"/>
          <w:color w:val="FF0000"/>
          <w:sz w:val="24"/>
          <w:szCs w:val="24"/>
          <w:highlight w:val="none"/>
          <w:lang w:val="en-US" w:eastAsia="zh-CN"/>
        </w:rPr>
        <w:t>突发环境事件应急响应实行分级响应原则。根据突发环境事件的可控性、严重程度和影响范围定义不同级别，分别制定相应的三级响应机制，启动相应级别的预案。应急领导小组根据突发环境事件现场的实际情况和发展事态，做出判断，由应急指挥部决定启动应急预案级别和预案升级或降级。</w:t>
      </w:r>
    </w:p>
    <w:p w14:paraId="014AE68B">
      <w:pPr>
        <w:pStyle w:val="22"/>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Times New Roman" w:hAnsi="Times New Roman" w:cs="Times New Roman"/>
          <w:color w:val="FF0000"/>
          <w:sz w:val="24"/>
          <w:szCs w:val="24"/>
          <w:highlight w:val="none"/>
          <w:lang w:val="en-US" w:eastAsia="zh-CN"/>
        </w:rPr>
      </w:pPr>
      <w:r>
        <w:rPr>
          <w:rFonts w:hint="eastAsia" w:ascii="Times New Roman" w:hAnsi="Times New Roman" w:cs="Times New Roman"/>
          <w:color w:val="FF0000"/>
          <w:sz w:val="24"/>
          <w:szCs w:val="24"/>
          <w:highlight w:val="none"/>
          <w:lang w:val="en-US" w:eastAsia="zh-CN"/>
        </w:rPr>
        <w:t>（5）应急保障</w:t>
      </w:r>
    </w:p>
    <w:p w14:paraId="1AEB4442">
      <w:pPr>
        <w:keepNext w:val="0"/>
        <w:keepLines w:val="0"/>
        <w:pageBreakBefore w:val="0"/>
        <w:tabs>
          <w:tab w:val="left" w:pos="886"/>
        </w:tabs>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Times New Roman" w:hAnsi="Times New Roman" w:cs="Times New Roman"/>
          <w:color w:val="FF0000"/>
          <w:sz w:val="24"/>
          <w:szCs w:val="24"/>
          <w:highlight w:val="none"/>
          <w:lang w:val="en-US" w:eastAsia="zh-CN"/>
        </w:rPr>
      </w:pPr>
      <w:r>
        <w:rPr>
          <w:rFonts w:hint="eastAsia" w:ascii="Times New Roman" w:hAnsi="Times New Roman" w:cs="Times New Roman"/>
          <w:color w:val="FF0000"/>
          <w:sz w:val="24"/>
          <w:szCs w:val="24"/>
          <w:highlight w:val="none"/>
          <w:lang w:val="en-US" w:eastAsia="zh-CN"/>
        </w:rPr>
        <w:t>为确保应急响应的顺利实施，本溪谦和中医院应从应急管理制度、应急队伍建设、应急物资储备、经费和保险等多个方面，作出详细计划，使应急救援行动快速有效、人员伤亡和财产损失最小，达到客观情况容许的最佳结果。</w:t>
      </w:r>
    </w:p>
    <w:p w14:paraId="24CDAA0B">
      <w:pPr>
        <w:pStyle w:val="22"/>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outlineLvl w:val="9"/>
        <w:rPr>
          <w:rFonts w:hint="eastAsia" w:ascii="Times New Roman" w:hAnsi="Times New Roman" w:cs="Times New Roman"/>
          <w:color w:val="FF0000"/>
          <w:sz w:val="24"/>
          <w:szCs w:val="24"/>
          <w:highlight w:val="none"/>
          <w:lang w:val="en-US" w:eastAsia="zh-CN"/>
        </w:rPr>
      </w:pPr>
      <w:r>
        <w:rPr>
          <w:rFonts w:hint="eastAsia" w:ascii="Times New Roman" w:hAnsi="Times New Roman" w:cs="Times New Roman"/>
          <w:color w:val="FF0000"/>
          <w:sz w:val="24"/>
          <w:szCs w:val="24"/>
          <w:highlight w:val="none"/>
          <w:lang w:val="en-US" w:eastAsia="zh-CN"/>
        </w:rPr>
        <w:t>（6）善后处置</w:t>
      </w:r>
    </w:p>
    <w:p w14:paraId="70F9643C">
      <w:pPr>
        <w:pStyle w:val="22"/>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Times New Roman" w:hAnsi="Times New Roman" w:cs="Times New Roman"/>
          <w:color w:val="FF0000"/>
          <w:sz w:val="24"/>
          <w:szCs w:val="24"/>
          <w:highlight w:val="none"/>
          <w:lang w:val="en-US" w:eastAsia="zh-CN"/>
        </w:rPr>
      </w:pPr>
      <w:r>
        <w:rPr>
          <w:rFonts w:hint="eastAsia" w:ascii="Times New Roman" w:hAnsi="Times New Roman" w:cs="Times New Roman"/>
          <w:color w:val="FF0000"/>
          <w:sz w:val="24"/>
          <w:szCs w:val="24"/>
          <w:highlight w:val="none"/>
          <w:lang w:val="en-US" w:eastAsia="zh-CN"/>
        </w:rPr>
        <w:t>负责对遭受污染的周围环境进行恢复，对现场的污染进行及时清理和回收，避免造成周围环境的次生污染。超出本溪谦和中医院能力的，请求相关政府部门的援助处理。</w:t>
      </w:r>
    </w:p>
    <w:p w14:paraId="0A1917AC">
      <w:pPr>
        <w:pStyle w:val="22"/>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Times New Roman" w:hAnsi="Times New Roman" w:cs="Times New Roman"/>
          <w:color w:val="FF0000"/>
          <w:sz w:val="24"/>
          <w:szCs w:val="24"/>
          <w:highlight w:val="none"/>
          <w:lang w:val="en-US" w:eastAsia="zh-CN"/>
        </w:rPr>
      </w:pPr>
      <w:r>
        <w:rPr>
          <w:rFonts w:hint="eastAsia" w:ascii="Times New Roman" w:hAnsi="Times New Roman" w:cs="Times New Roman"/>
          <w:color w:val="FF0000"/>
          <w:sz w:val="24"/>
          <w:szCs w:val="24"/>
          <w:highlight w:val="none"/>
          <w:lang w:val="en-US" w:eastAsia="zh-CN"/>
        </w:rPr>
        <w:t>（7）预案管理与演练</w:t>
      </w:r>
    </w:p>
    <w:p w14:paraId="031E8F48">
      <w:pPr>
        <w:pStyle w:val="22"/>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Times New Roman" w:hAnsi="Times New Roman" w:cs="Times New Roman"/>
          <w:color w:val="FF0000"/>
          <w:sz w:val="24"/>
          <w:szCs w:val="24"/>
          <w:highlight w:val="none"/>
          <w:lang w:val="en-US" w:eastAsia="zh-CN"/>
        </w:rPr>
      </w:pPr>
      <w:r>
        <w:rPr>
          <w:rFonts w:hint="eastAsia" w:ascii="Times New Roman" w:hAnsi="Times New Roman" w:cs="Times New Roman"/>
          <w:color w:val="FF0000"/>
          <w:sz w:val="24"/>
          <w:szCs w:val="24"/>
          <w:highlight w:val="none"/>
          <w:lang w:val="en-US" w:eastAsia="zh-CN"/>
        </w:rPr>
        <w:t>本溪谦和中医院每三年组织对预案进行评审，并及时根据评审结论组织修订。按突发环境事件应急预案的要求，定期组织进行突发环境事件的防范与救援演习训练，提高员工的防范技能，做到来之能战，战之能胜，一旦发生事件能有条不紊的进行抢救、抢险，尽量缩小事件危害。</w:t>
      </w:r>
    </w:p>
    <w:p w14:paraId="21FB6D53">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color w:val="auto"/>
          <w:sz w:val="24"/>
          <w:szCs w:val="24"/>
          <w:highlight w:val="none"/>
          <w:lang w:val="en-US" w:eastAsia="zh-CN"/>
        </w:rPr>
      </w:pPr>
      <w:r>
        <w:rPr>
          <w:rFonts w:hint="eastAsia"/>
          <w:color w:val="auto"/>
          <w:sz w:val="24"/>
          <w:szCs w:val="24"/>
          <w:highlight w:val="none"/>
          <w:lang w:val="en-US" w:eastAsia="zh-CN"/>
        </w:rPr>
        <w:t>7.7分析结论</w:t>
      </w:r>
    </w:p>
    <w:p w14:paraId="759043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sz w:val="24"/>
          <w:szCs w:val="24"/>
          <w:highlight w:val="none"/>
          <w:lang w:val="en-US" w:eastAsia="zh-CN"/>
        </w:rPr>
      </w:pPr>
      <w:r>
        <w:rPr>
          <w:rFonts w:hint="eastAsia"/>
          <w:color w:val="auto"/>
          <w:sz w:val="24"/>
          <w:szCs w:val="24"/>
          <w:highlight w:val="none"/>
          <w:lang w:val="en-US" w:eastAsia="zh-CN"/>
        </w:rPr>
        <w:t>项目要按照安全评价和环境影响报告提出的相关要求，切实落实各项防范措施和应急预案提出的要求，确保发生泄漏导致环境污染时环境风险降至最低。建设单位必须按要求做好风险防范和事故应急工作，通过落实设计说明、消防和劳动安全主管部门的要求、本报告中提出的各项环保措施和对策建议，本项目可最大限度地降低环境风险，一旦意外事件发生，也能最大限度地减少环境污染危害和人们生命财产的损失。通过实施严格的管理制度和风险防范措施，本项目的环境风险是可以接受的。</w:t>
      </w:r>
    </w:p>
    <w:p w14:paraId="5AC59913">
      <w:pPr>
        <w:adjustRightInd w:val="0"/>
        <w:snapToGrid w:val="0"/>
        <w:spacing w:beforeLines="0" w:afterLines="0"/>
        <w:ind w:firstLine="0" w:firstLineChars="0"/>
        <w:rPr>
          <w:rFonts w:hint="eastAsia"/>
          <w:b/>
          <w:color w:val="auto"/>
          <w:sz w:val="21"/>
          <w:highlight w:val="none"/>
        </w:rPr>
      </w:pPr>
      <w:r>
        <w:rPr>
          <w:rFonts w:hint="eastAsia" w:eastAsia="宋体"/>
          <w:b/>
          <w:color w:val="auto"/>
          <w:sz w:val="21"/>
          <w:highlight w:val="none"/>
        </w:rPr>
        <w:t>表</w:t>
      </w:r>
      <w:r>
        <w:rPr>
          <w:rFonts w:hint="eastAsia"/>
          <w:b/>
          <w:color w:val="auto"/>
          <w:sz w:val="21"/>
          <w:highlight w:val="none"/>
          <w:lang w:val="en-US" w:eastAsia="zh-CN"/>
        </w:rPr>
        <w:t>45</w:t>
      </w:r>
      <w:r>
        <w:rPr>
          <w:rFonts w:hint="eastAsia"/>
          <w:b/>
          <w:color w:val="auto"/>
          <w:sz w:val="21"/>
          <w:highlight w:val="none"/>
        </w:rPr>
        <w:t xml:space="preserve">                    </w:t>
      </w:r>
      <w:r>
        <w:rPr>
          <w:rFonts w:hint="eastAsia" w:eastAsia="宋体"/>
          <w:b/>
          <w:color w:val="auto"/>
          <w:sz w:val="21"/>
          <w:highlight w:val="none"/>
        </w:rPr>
        <w:t xml:space="preserve">   建设项目环境风险简单分析内容表</w:t>
      </w:r>
    </w:p>
    <w:tbl>
      <w:tblPr>
        <w:tblStyle w:val="24"/>
        <w:tblW w:w="92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90"/>
        <w:gridCol w:w="1408"/>
        <w:gridCol w:w="1324"/>
        <w:gridCol w:w="1536"/>
        <w:gridCol w:w="1190"/>
        <w:gridCol w:w="1338"/>
      </w:tblGrid>
      <w:tr w14:paraId="799890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90" w:type="dxa"/>
            <w:tcBorders>
              <w:tl2br w:val="nil"/>
              <w:tr2bl w:val="nil"/>
            </w:tcBorders>
            <w:noWrap w:val="0"/>
            <w:vAlign w:val="top"/>
          </w:tcPr>
          <w:p w14:paraId="13F9F2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color w:val="auto"/>
                <w:sz w:val="21"/>
                <w:szCs w:val="21"/>
                <w:highlight w:val="none"/>
              </w:rPr>
            </w:pPr>
            <w:r>
              <w:rPr>
                <w:rFonts w:hint="eastAsia" w:eastAsia="宋体"/>
                <w:color w:val="auto"/>
                <w:sz w:val="21"/>
                <w:szCs w:val="21"/>
                <w:highlight w:val="none"/>
              </w:rPr>
              <w:t>建设项目名称</w:t>
            </w:r>
          </w:p>
        </w:tc>
        <w:tc>
          <w:tcPr>
            <w:tcW w:w="6796" w:type="dxa"/>
            <w:gridSpan w:val="5"/>
            <w:tcBorders>
              <w:tl2br w:val="nil"/>
              <w:tr2bl w:val="nil"/>
            </w:tcBorders>
            <w:noWrap w:val="0"/>
            <w:vAlign w:val="top"/>
          </w:tcPr>
          <w:p w14:paraId="11889D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color w:val="auto"/>
                <w:sz w:val="21"/>
                <w:szCs w:val="21"/>
                <w:highlight w:val="none"/>
              </w:rPr>
            </w:pPr>
            <w:r>
              <w:rPr>
                <w:rFonts w:hint="eastAsia" w:ascii="宋体" w:hAnsi="宋体" w:cs="宋体"/>
                <w:color w:val="auto"/>
                <w:sz w:val="21"/>
                <w:szCs w:val="21"/>
                <w:highlight w:val="none"/>
                <w:lang w:eastAsia="zh-CN"/>
              </w:rPr>
              <w:t>本溪谦和中医院建设项目</w:t>
            </w:r>
          </w:p>
        </w:tc>
      </w:tr>
      <w:tr w14:paraId="0B46B2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90" w:type="dxa"/>
            <w:tcBorders>
              <w:tl2br w:val="nil"/>
              <w:tr2bl w:val="nil"/>
            </w:tcBorders>
            <w:noWrap w:val="0"/>
            <w:vAlign w:val="top"/>
          </w:tcPr>
          <w:p w14:paraId="66FE27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color w:val="auto"/>
                <w:sz w:val="21"/>
                <w:szCs w:val="21"/>
                <w:highlight w:val="none"/>
              </w:rPr>
            </w:pPr>
            <w:r>
              <w:rPr>
                <w:rFonts w:hint="eastAsia" w:eastAsia="宋体"/>
                <w:color w:val="auto"/>
                <w:sz w:val="21"/>
                <w:szCs w:val="21"/>
                <w:highlight w:val="none"/>
              </w:rPr>
              <w:t>建设地点</w:t>
            </w:r>
          </w:p>
        </w:tc>
        <w:tc>
          <w:tcPr>
            <w:tcW w:w="1408" w:type="dxa"/>
            <w:tcBorders>
              <w:tl2br w:val="nil"/>
              <w:tr2bl w:val="nil"/>
            </w:tcBorders>
            <w:noWrap w:val="0"/>
            <w:vAlign w:val="top"/>
          </w:tcPr>
          <w:p w14:paraId="43729F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color w:val="auto"/>
                <w:sz w:val="21"/>
                <w:szCs w:val="21"/>
                <w:highlight w:val="none"/>
              </w:rPr>
            </w:pPr>
            <w:r>
              <w:rPr>
                <w:rFonts w:hint="eastAsia" w:eastAsia="宋体"/>
                <w:color w:val="auto"/>
                <w:sz w:val="21"/>
                <w:szCs w:val="21"/>
                <w:highlight w:val="none"/>
              </w:rPr>
              <w:t>（辽宁）省</w:t>
            </w:r>
          </w:p>
        </w:tc>
        <w:tc>
          <w:tcPr>
            <w:tcW w:w="1324" w:type="dxa"/>
            <w:tcBorders>
              <w:tl2br w:val="nil"/>
              <w:tr2bl w:val="nil"/>
            </w:tcBorders>
            <w:noWrap w:val="0"/>
            <w:vAlign w:val="top"/>
          </w:tcPr>
          <w:p w14:paraId="2F6257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color w:val="auto"/>
                <w:sz w:val="21"/>
                <w:szCs w:val="21"/>
                <w:highlight w:val="none"/>
              </w:rPr>
            </w:pPr>
            <w:r>
              <w:rPr>
                <w:rFonts w:hint="eastAsia" w:eastAsia="宋体"/>
                <w:color w:val="auto"/>
                <w:sz w:val="21"/>
                <w:szCs w:val="21"/>
                <w:highlight w:val="none"/>
              </w:rPr>
              <w:t>（</w:t>
            </w:r>
            <w:r>
              <w:rPr>
                <w:rFonts w:hint="eastAsia" w:eastAsia="宋体"/>
                <w:color w:val="auto"/>
                <w:sz w:val="21"/>
                <w:szCs w:val="21"/>
                <w:highlight w:val="none"/>
                <w:lang w:eastAsia="zh-CN"/>
              </w:rPr>
              <w:t>本溪</w:t>
            </w:r>
            <w:r>
              <w:rPr>
                <w:rFonts w:hint="eastAsia" w:eastAsia="宋体"/>
                <w:color w:val="auto"/>
                <w:sz w:val="21"/>
                <w:szCs w:val="21"/>
                <w:highlight w:val="none"/>
              </w:rPr>
              <w:t>）市</w:t>
            </w:r>
          </w:p>
        </w:tc>
        <w:tc>
          <w:tcPr>
            <w:tcW w:w="1536" w:type="dxa"/>
            <w:tcBorders>
              <w:tl2br w:val="nil"/>
              <w:tr2bl w:val="nil"/>
            </w:tcBorders>
            <w:noWrap w:val="0"/>
            <w:vAlign w:val="top"/>
          </w:tcPr>
          <w:p w14:paraId="5608D9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color w:val="auto"/>
                <w:sz w:val="21"/>
                <w:szCs w:val="21"/>
                <w:highlight w:val="none"/>
              </w:rPr>
            </w:pPr>
            <w:r>
              <w:rPr>
                <w:rFonts w:hint="eastAsia" w:eastAsia="宋体"/>
                <w:color w:val="auto"/>
                <w:spacing w:val="0"/>
                <w:sz w:val="21"/>
                <w:szCs w:val="21"/>
                <w:highlight w:val="none"/>
              </w:rPr>
              <w:t>（</w:t>
            </w:r>
            <w:r>
              <w:rPr>
                <w:rFonts w:hint="eastAsia"/>
                <w:color w:val="auto"/>
                <w:spacing w:val="0"/>
                <w:sz w:val="21"/>
                <w:szCs w:val="21"/>
                <w:highlight w:val="none"/>
                <w:lang w:eastAsia="zh-CN"/>
              </w:rPr>
              <w:t>溪湖</w:t>
            </w:r>
            <w:r>
              <w:rPr>
                <w:rFonts w:hint="eastAsia" w:eastAsia="宋体"/>
                <w:color w:val="auto"/>
                <w:spacing w:val="0"/>
                <w:sz w:val="21"/>
                <w:szCs w:val="21"/>
                <w:highlight w:val="none"/>
              </w:rPr>
              <w:t>）</w:t>
            </w:r>
            <w:r>
              <w:rPr>
                <w:rFonts w:hint="eastAsia" w:eastAsia="宋体"/>
                <w:color w:val="auto"/>
                <w:spacing w:val="-11"/>
                <w:sz w:val="21"/>
                <w:szCs w:val="21"/>
                <w:highlight w:val="none"/>
              </w:rPr>
              <w:t>区</w:t>
            </w:r>
          </w:p>
        </w:tc>
        <w:tc>
          <w:tcPr>
            <w:tcW w:w="1190" w:type="dxa"/>
            <w:tcBorders>
              <w:tl2br w:val="nil"/>
              <w:tr2bl w:val="nil"/>
            </w:tcBorders>
            <w:noWrap w:val="0"/>
            <w:vAlign w:val="top"/>
          </w:tcPr>
          <w:p w14:paraId="228ABD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color w:val="auto"/>
                <w:sz w:val="21"/>
                <w:szCs w:val="21"/>
                <w:highlight w:val="none"/>
              </w:rPr>
            </w:pPr>
            <w:r>
              <w:rPr>
                <w:rFonts w:hint="eastAsia" w:eastAsia="宋体"/>
                <w:color w:val="auto"/>
                <w:sz w:val="21"/>
                <w:szCs w:val="21"/>
                <w:highlight w:val="none"/>
              </w:rPr>
              <w:t>（）县</w:t>
            </w:r>
          </w:p>
        </w:tc>
        <w:tc>
          <w:tcPr>
            <w:tcW w:w="1338" w:type="dxa"/>
            <w:tcBorders>
              <w:tl2br w:val="nil"/>
              <w:tr2bl w:val="nil"/>
            </w:tcBorders>
            <w:noWrap w:val="0"/>
            <w:vAlign w:val="top"/>
          </w:tcPr>
          <w:p w14:paraId="51D538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color w:val="auto"/>
                <w:sz w:val="21"/>
                <w:szCs w:val="21"/>
                <w:highlight w:val="none"/>
              </w:rPr>
            </w:pPr>
            <w:r>
              <w:rPr>
                <w:rFonts w:hint="eastAsia" w:eastAsia="宋体"/>
                <w:color w:val="auto"/>
                <w:sz w:val="21"/>
                <w:szCs w:val="21"/>
                <w:highlight w:val="none"/>
              </w:rPr>
              <w:t>（）园区</w:t>
            </w:r>
          </w:p>
        </w:tc>
      </w:tr>
      <w:tr w14:paraId="1B3126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90" w:type="dxa"/>
            <w:tcBorders>
              <w:tl2br w:val="nil"/>
              <w:tr2bl w:val="nil"/>
            </w:tcBorders>
            <w:noWrap w:val="0"/>
            <w:vAlign w:val="top"/>
          </w:tcPr>
          <w:p w14:paraId="48AFCA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color w:val="auto"/>
                <w:sz w:val="21"/>
                <w:szCs w:val="21"/>
                <w:highlight w:val="none"/>
              </w:rPr>
            </w:pPr>
            <w:r>
              <w:rPr>
                <w:rFonts w:hint="eastAsia" w:eastAsia="宋体"/>
                <w:color w:val="auto"/>
                <w:sz w:val="21"/>
                <w:szCs w:val="21"/>
                <w:highlight w:val="none"/>
              </w:rPr>
              <w:t>地理坐标</w:t>
            </w:r>
          </w:p>
        </w:tc>
        <w:tc>
          <w:tcPr>
            <w:tcW w:w="1408" w:type="dxa"/>
            <w:tcBorders>
              <w:tl2br w:val="nil"/>
              <w:tr2bl w:val="nil"/>
            </w:tcBorders>
            <w:noWrap w:val="0"/>
            <w:vAlign w:val="top"/>
          </w:tcPr>
          <w:p w14:paraId="4106F6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color w:val="auto"/>
                <w:sz w:val="21"/>
                <w:szCs w:val="21"/>
                <w:highlight w:val="none"/>
              </w:rPr>
            </w:pPr>
            <w:r>
              <w:rPr>
                <w:rFonts w:hint="eastAsia" w:eastAsia="宋体"/>
                <w:color w:val="auto"/>
                <w:sz w:val="21"/>
                <w:szCs w:val="21"/>
                <w:highlight w:val="none"/>
              </w:rPr>
              <w:t>经度</w:t>
            </w:r>
          </w:p>
        </w:tc>
        <w:tc>
          <w:tcPr>
            <w:tcW w:w="1324" w:type="dxa"/>
            <w:tcBorders>
              <w:tl2br w:val="nil"/>
              <w:tr2bl w:val="nil"/>
            </w:tcBorders>
            <w:noWrap w:val="0"/>
            <w:vAlign w:val="top"/>
          </w:tcPr>
          <w:p w14:paraId="79FF34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eastAsia="宋体"/>
                <w:color w:val="auto"/>
                <w:sz w:val="21"/>
                <w:szCs w:val="21"/>
                <w:highlight w:val="none"/>
                <w:lang w:val="en-US" w:eastAsia="zh-CN"/>
              </w:rPr>
            </w:pPr>
            <w:r>
              <w:rPr>
                <w:rFonts w:hint="eastAsia" w:cs="Times New Roman"/>
                <w:color w:val="auto"/>
                <w:sz w:val="21"/>
                <w:szCs w:val="21"/>
                <w:highlight w:val="none"/>
                <w:lang w:val="en-US" w:eastAsia="zh-CN"/>
              </w:rPr>
              <w:t>123.7618</w:t>
            </w:r>
          </w:p>
        </w:tc>
        <w:tc>
          <w:tcPr>
            <w:tcW w:w="1536" w:type="dxa"/>
            <w:tcBorders>
              <w:tl2br w:val="nil"/>
              <w:tr2bl w:val="nil"/>
            </w:tcBorders>
            <w:noWrap w:val="0"/>
            <w:vAlign w:val="top"/>
          </w:tcPr>
          <w:p w14:paraId="632E2C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color w:val="auto"/>
                <w:sz w:val="21"/>
                <w:szCs w:val="21"/>
                <w:highlight w:val="none"/>
              </w:rPr>
            </w:pPr>
            <w:r>
              <w:rPr>
                <w:rFonts w:hint="eastAsia" w:eastAsia="宋体"/>
                <w:color w:val="auto"/>
                <w:sz w:val="21"/>
                <w:szCs w:val="21"/>
                <w:highlight w:val="none"/>
              </w:rPr>
              <w:t>纬度</w:t>
            </w:r>
          </w:p>
        </w:tc>
        <w:tc>
          <w:tcPr>
            <w:tcW w:w="2528" w:type="dxa"/>
            <w:gridSpan w:val="2"/>
            <w:tcBorders>
              <w:tl2br w:val="nil"/>
              <w:tr2bl w:val="nil"/>
            </w:tcBorders>
            <w:noWrap w:val="0"/>
            <w:vAlign w:val="top"/>
          </w:tcPr>
          <w:p w14:paraId="475856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eastAsia="宋体"/>
                <w:color w:val="auto"/>
                <w:sz w:val="21"/>
                <w:szCs w:val="21"/>
                <w:highlight w:val="none"/>
                <w:lang w:val="en-US" w:eastAsia="zh-CN"/>
              </w:rPr>
            </w:pPr>
            <w:r>
              <w:rPr>
                <w:rFonts w:hint="eastAsia" w:cs="Times New Roman"/>
                <w:color w:val="auto"/>
                <w:sz w:val="21"/>
                <w:szCs w:val="21"/>
                <w:highlight w:val="none"/>
                <w:lang w:val="en-US" w:eastAsia="zh-CN"/>
              </w:rPr>
              <w:t>41.3261</w:t>
            </w:r>
          </w:p>
        </w:tc>
      </w:tr>
      <w:tr w14:paraId="735F1C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90" w:type="dxa"/>
            <w:tcBorders>
              <w:tl2br w:val="nil"/>
              <w:tr2bl w:val="nil"/>
            </w:tcBorders>
            <w:noWrap w:val="0"/>
            <w:vAlign w:val="top"/>
          </w:tcPr>
          <w:p w14:paraId="008D0CB6">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textAlignment w:val="auto"/>
              <w:outlineLvl w:val="9"/>
              <w:rPr>
                <w:rFonts w:hint="eastAsia"/>
                <w:color w:val="auto"/>
                <w:sz w:val="21"/>
                <w:szCs w:val="21"/>
                <w:highlight w:val="none"/>
              </w:rPr>
            </w:pPr>
            <w:r>
              <w:rPr>
                <w:rFonts w:hint="eastAsia" w:eastAsia="宋体"/>
                <w:color w:val="auto"/>
                <w:sz w:val="21"/>
                <w:szCs w:val="21"/>
                <w:highlight w:val="none"/>
              </w:rPr>
              <w:t>主要危险物质及分布</w:t>
            </w:r>
          </w:p>
        </w:tc>
        <w:tc>
          <w:tcPr>
            <w:tcW w:w="6796" w:type="dxa"/>
            <w:gridSpan w:val="5"/>
            <w:tcBorders>
              <w:tl2br w:val="nil"/>
              <w:tr2bl w:val="nil"/>
            </w:tcBorders>
            <w:noWrap w:val="0"/>
            <w:vAlign w:val="top"/>
          </w:tcPr>
          <w:p w14:paraId="3D903E7E">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textAlignment w:val="auto"/>
              <w:outlineLvl w:val="9"/>
              <w:rPr>
                <w:rFonts w:hint="eastAsia"/>
                <w:color w:val="auto"/>
                <w:sz w:val="21"/>
                <w:szCs w:val="21"/>
                <w:highlight w:val="none"/>
              </w:rPr>
            </w:pPr>
            <w:r>
              <w:rPr>
                <w:rFonts w:hint="eastAsia" w:eastAsia="宋体"/>
                <w:color w:val="auto"/>
                <w:sz w:val="21"/>
                <w:szCs w:val="21"/>
                <w:highlight w:val="none"/>
                <w:lang w:eastAsia="zh-CN"/>
              </w:rPr>
              <w:t>本项目主要风险物质</w:t>
            </w:r>
            <w:r>
              <w:rPr>
                <w:rFonts w:hint="eastAsia" w:ascii="Times New Roman" w:hAnsi="Times New Roman" w:eastAsia="宋体" w:cs="Times New Roman"/>
                <w:color w:val="auto"/>
                <w:sz w:val="21"/>
                <w:szCs w:val="21"/>
                <w:highlight w:val="none"/>
                <w:lang w:eastAsia="zh-CN"/>
              </w:rPr>
              <w:t>为氯酸钠、二氧化氯，</w:t>
            </w:r>
            <w:r>
              <w:rPr>
                <w:rFonts w:hint="eastAsia" w:ascii="Times New Roman" w:hAnsi="Times New Roman" w:eastAsia="宋体" w:cs="Times New Roman"/>
                <w:color w:val="auto"/>
                <w:sz w:val="21"/>
                <w:szCs w:val="21"/>
                <w:highlight w:val="none"/>
                <w:lang w:val="en-US" w:eastAsia="zh-CN"/>
              </w:rPr>
              <w:t>位于</w:t>
            </w:r>
            <w:r>
              <w:rPr>
                <w:rFonts w:hint="eastAsia" w:ascii="Times New Roman" w:hAnsi="Times New Roman" w:eastAsia="宋体" w:cs="Times New Roman"/>
                <w:color w:val="auto"/>
                <w:sz w:val="21"/>
                <w:szCs w:val="21"/>
                <w:highlight w:val="none"/>
                <w:lang w:eastAsia="zh-CN"/>
              </w:rPr>
              <w:t>医院</w:t>
            </w:r>
            <w:r>
              <w:rPr>
                <w:rFonts w:hint="eastAsia" w:cs="Times New Roman"/>
                <w:color w:val="auto"/>
                <w:sz w:val="21"/>
                <w:szCs w:val="21"/>
                <w:highlight w:val="none"/>
                <w:lang w:eastAsia="zh-CN"/>
              </w:rPr>
              <w:t>大楼</w:t>
            </w:r>
            <w:r>
              <w:rPr>
                <w:rFonts w:hint="eastAsia"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层东侧</w:t>
            </w:r>
          </w:p>
        </w:tc>
      </w:tr>
      <w:tr w14:paraId="5F255D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2490" w:type="dxa"/>
            <w:tcBorders>
              <w:tl2br w:val="nil"/>
              <w:tr2bl w:val="nil"/>
            </w:tcBorders>
            <w:noWrap w:val="0"/>
            <w:vAlign w:val="top"/>
          </w:tcPr>
          <w:p w14:paraId="17DDAC95">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textAlignment w:val="auto"/>
              <w:outlineLvl w:val="9"/>
              <w:rPr>
                <w:rFonts w:hint="eastAsia"/>
                <w:color w:val="auto"/>
                <w:sz w:val="21"/>
                <w:szCs w:val="21"/>
                <w:highlight w:val="none"/>
              </w:rPr>
            </w:pPr>
            <w:r>
              <w:rPr>
                <w:rFonts w:hint="eastAsia" w:eastAsia="宋体"/>
                <w:color w:val="auto"/>
                <w:sz w:val="21"/>
                <w:szCs w:val="21"/>
                <w:highlight w:val="none"/>
              </w:rPr>
              <w:t>环境影响途径及危害后果（大气、地表水、地下水等）</w:t>
            </w:r>
          </w:p>
        </w:tc>
        <w:tc>
          <w:tcPr>
            <w:tcW w:w="6796" w:type="dxa"/>
            <w:gridSpan w:val="5"/>
            <w:tcBorders>
              <w:tl2br w:val="nil"/>
              <w:tr2bl w:val="nil"/>
            </w:tcBorders>
            <w:noWrap w:val="0"/>
            <w:vAlign w:val="top"/>
          </w:tcPr>
          <w:p w14:paraId="63FD1D90">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textAlignment w:val="auto"/>
              <w:outlineLvl w:val="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①</w:t>
            </w:r>
            <w:r>
              <w:rPr>
                <w:rFonts w:hint="default" w:ascii="Times New Roman" w:hAnsi="Times New Roman" w:eastAsia="宋体" w:cs="Times New Roman"/>
                <w:color w:val="auto"/>
                <w:sz w:val="21"/>
                <w:szCs w:val="21"/>
                <w:highlight w:val="none"/>
              </w:rPr>
              <w:t>大气环境：</w:t>
            </w:r>
            <w:r>
              <w:rPr>
                <w:rFonts w:hint="eastAsia" w:ascii="Times New Roman" w:hAnsi="Times New Roman" w:eastAsia="宋体" w:cs="Times New Roman"/>
                <w:color w:val="auto"/>
                <w:kern w:val="2"/>
                <w:sz w:val="21"/>
                <w:szCs w:val="21"/>
                <w:highlight w:val="none"/>
                <w:lang w:val="en-US" w:eastAsia="zh-CN" w:bidi="ar-SA"/>
              </w:rPr>
              <w:t>盐酸、二氧化氯挥发导致环境空气污染</w:t>
            </w:r>
            <w:r>
              <w:rPr>
                <w:rFonts w:hint="eastAsia" w:cs="Times New Roman"/>
                <w:color w:val="auto"/>
                <w:kern w:val="2"/>
                <w:sz w:val="21"/>
                <w:szCs w:val="21"/>
                <w:highlight w:val="none"/>
                <w:lang w:val="en-US" w:eastAsia="zh-CN" w:bidi="ar-SA"/>
              </w:rPr>
              <w:t>，</w:t>
            </w:r>
            <w:r>
              <w:rPr>
                <w:rFonts w:hint="eastAsia"/>
                <w:color w:val="auto"/>
                <w:sz w:val="21"/>
                <w:szCs w:val="21"/>
                <w:highlight w:val="none"/>
                <w:lang w:eastAsia="zh-CN"/>
              </w:rPr>
              <w:t>氧气泄漏可导致人员氧中毒，与易燃物形成有爆炸性的混合物，发生爆炸</w:t>
            </w:r>
            <w:r>
              <w:rPr>
                <w:rFonts w:hint="default" w:ascii="Times New Roman" w:hAnsi="Times New Roman" w:eastAsia="宋体" w:cs="Times New Roman"/>
                <w:color w:val="auto"/>
                <w:kern w:val="2"/>
                <w:sz w:val="21"/>
                <w:szCs w:val="21"/>
                <w:highlight w:val="none"/>
                <w:lang w:val="en-US" w:eastAsia="zh-CN" w:bidi="ar-SA"/>
              </w:rPr>
              <w:t>。</w:t>
            </w:r>
          </w:p>
          <w:p w14:paraId="116E3403">
            <w:pPr>
              <w:pStyle w:val="23"/>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both"/>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rPr>
              <w:t>②</w:t>
            </w:r>
            <w:r>
              <w:rPr>
                <w:rFonts w:hint="default" w:ascii="Times New Roman" w:hAnsi="Times New Roman" w:eastAsia="宋体" w:cs="Times New Roman"/>
                <w:color w:val="auto"/>
                <w:sz w:val="21"/>
                <w:szCs w:val="21"/>
                <w:highlight w:val="none"/>
              </w:rPr>
              <w:t>水环境：</w:t>
            </w:r>
            <w:r>
              <w:rPr>
                <w:rFonts w:hint="default" w:ascii="Times New Roman" w:hAnsi="Times New Roman" w:eastAsia="宋体" w:cs="Times New Roman"/>
                <w:color w:val="auto"/>
                <w:sz w:val="21"/>
                <w:szCs w:val="21"/>
                <w:highlight w:val="none"/>
                <w:lang w:eastAsia="zh-CN"/>
              </w:rPr>
              <w:t>污水事故排放影响地表水环境</w:t>
            </w:r>
            <w:r>
              <w:rPr>
                <w:rFonts w:hint="default" w:ascii="Times New Roman" w:hAnsi="Times New Roman" w:eastAsia="宋体" w:cs="Times New Roman"/>
                <w:color w:val="auto"/>
                <w:sz w:val="21"/>
                <w:szCs w:val="21"/>
                <w:highlight w:val="none"/>
              </w:rPr>
              <w:t>。</w:t>
            </w:r>
          </w:p>
          <w:p w14:paraId="2F6ACE97">
            <w:pPr>
              <w:pStyle w:val="23"/>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outlineLvl w:val="9"/>
              <w:rPr>
                <w:rFonts w:hint="eastAsia" w:eastAsia="宋体"/>
                <w:color w:val="auto"/>
                <w:sz w:val="21"/>
                <w:szCs w:val="21"/>
                <w:highlight w:val="none"/>
                <w:lang w:eastAsia="zh-CN"/>
              </w:rPr>
            </w:pPr>
            <w:r>
              <w:rPr>
                <w:rFonts w:hint="default" w:ascii="Times New Roman" w:hAnsi="Times New Roman" w:eastAsia="宋体" w:cs="Times New Roman"/>
                <w:color w:val="auto"/>
                <w:sz w:val="21"/>
                <w:szCs w:val="21"/>
                <w:highlight w:val="none"/>
              </w:rPr>
              <w:t>③</w:t>
            </w:r>
            <w:r>
              <w:rPr>
                <w:rFonts w:hint="default" w:ascii="Times New Roman" w:hAnsi="Times New Roman" w:eastAsia="宋体" w:cs="Times New Roman"/>
                <w:color w:val="auto"/>
                <w:sz w:val="21"/>
                <w:szCs w:val="21"/>
                <w:highlight w:val="none"/>
                <w:lang w:eastAsia="zh-CN"/>
              </w:rPr>
              <w:t>地下水环境</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kern w:val="2"/>
                <w:sz w:val="21"/>
                <w:szCs w:val="21"/>
                <w:highlight w:val="none"/>
                <w:lang w:val="en-US" w:eastAsia="zh-CN" w:bidi="ar-SA"/>
              </w:rPr>
              <w:t>盐酸、二氧化氯</w:t>
            </w:r>
            <w:r>
              <w:rPr>
                <w:rFonts w:hint="eastAsia" w:ascii="Times New Roman" w:hAnsi="Times New Roman" w:eastAsia="宋体" w:cs="Times New Roman"/>
                <w:color w:val="auto"/>
                <w:sz w:val="21"/>
                <w:szCs w:val="21"/>
                <w:highlight w:val="none"/>
                <w:lang w:eastAsia="zh-CN"/>
              </w:rPr>
              <w:t>、</w:t>
            </w:r>
            <w:r>
              <w:rPr>
                <w:rFonts w:hint="eastAsia" w:cs="Times New Roman"/>
                <w:color w:val="auto"/>
                <w:sz w:val="21"/>
                <w:szCs w:val="21"/>
                <w:highlight w:val="none"/>
                <w:lang w:eastAsia="zh-CN"/>
              </w:rPr>
              <w:t>氯酸钠、</w:t>
            </w:r>
            <w:r>
              <w:rPr>
                <w:rFonts w:hint="eastAsia" w:ascii="Times New Roman" w:hAnsi="Times New Roman" w:eastAsia="宋体" w:cs="Times New Roman"/>
                <w:color w:val="auto"/>
                <w:sz w:val="21"/>
                <w:szCs w:val="21"/>
                <w:highlight w:val="none"/>
                <w:lang w:eastAsia="zh-CN"/>
              </w:rPr>
              <w:t>污水泄漏，</w:t>
            </w:r>
            <w:r>
              <w:rPr>
                <w:rFonts w:hint="eastAsia" w:cs="Times New Roman"/>
                <w:color w:val="auto"/>
                <w:sz w:val="21"/>
                <w:szCs w:val="21"/>
                <w:highlight w:val="none"/>
                <w:lang w:eastAsia="zh-CN"/>
              </w:rPr>
              <w:t>医疗</w:t>
            </w:r>
            <w:r>
              <w:rPr>
                <w:rFonts w:hint="eastAsia" w:ascii="Times New Roman" w:hAnsi="Times New Roman" w:eastAsia="宋体" w:cs="Times New Roman"/>
                <w:color w:val="auto"/>
                <w:sz w:val="21"/>
                <w:szCs w:val="21"/>
                <w:highlight w:val="none"/>
                <w:lang w:eastAsia="zh-CN"/>
              </w:rPr>
              <w:t>废物遗撒影响地下水环境。</w:t>
            </w:r>
          </w:p>
        </w:tc>
      </w:tr>
      <w:tr w14:paraId="62AF34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90" w:type="dxa"/>
            <w:tcBorders>
              <w:tl2br w:val="nil"/>
              <w:tr2bl w:val="nil"/>
            </w:tcBorders>
            <w:noWrap w:val="0"/>
            <w:vAlign w:val="top"/>
          </w:tcPr>
          <w:p w14:paraId="028DDF26">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textAlignment w:val="auto"/>
              <w:outlineLvl w:val="9"/>
              <w:rPr>
                <w:rFonts w:hint="eastAsia"/>
                <w:color w:val="auto"/>
                <w:sz w:val="21"/>
                <w:szCs w:val="21"/>
                <w:highlight w:val="none"/>
              </w:rPr>
            </w:pPr>
            <w:r>
              <w:rPr>
                <w:rFonts w:hint="eastAsia" w:eastAsia="宋体"/>
                <w:color w:val="auto"/>
                <w:sz w:val="21"/>
                <w:szCs w:val="21"/>
                <w:highlight w:val="none"/>
              </w:rPr>
              <w:t>风险防范措施要求</w:t>
            </w:r>
          </w:p>
        </w:tc>
        <w:tc>
          <w:tcPr>
            <w:tcW w:w="6796" w:type="dxa"/>
            <w:gridSpan w:val="5"/>
            <w:tcBorders>
              <w:tl2br w:val="nil"/>
              <w:tr2bl w:val="nil"/>
            </w:tcBorders>
            <w:noWrap w:val="0"/>
            <w:vAlign w:val="top"/>
          </w:tcPr>
          <w:p w14:paraId="2A5F6F73">
            <w:pPr>
              <w:pStyle w:val="23"/>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420" w:firstLineChars="200"/>
              <w:textAlignment w:val="auto"/>
              <w:outlineLvl w:val="9"/>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r>
              <w:rPr>
                <w:rFonts w:hint="eastAsia" w:ascii="Times New Roman" w:hAnsi="Times New Roman" w:cs="Times New Roman"/>
                <w:color w:val="auto"/>
                <w:sz w:val="21"/>
                <w:szCs w:val="21"/>
                <w:highlight w:val="none"/>
                <w:lang w:val="en-US" w:eastAsia="zh-CN"/>
              </w:rPr>
              <w:t>二氧化氯发生器</w:t>
            </w:r>
            <w:r>
              <w:rPr>
                <w:rFonts w:hint="default" w:ascii="Times New Roman" w:hAnsi="Times New Roman" w:cs="Times New Roman"/>
                <w:color w:val="auto"/>
                <w:sz w:val="21"/>
                <w:szCs w:val="21"/>
                <w:highlight w:val="none"/>
                <w:lang w:val="en-US" w:eastAsia="zh-CN"/>
              </w:rPr>
              <w:t>泄漏风险防范及应急措施</w:t>
            </w:r>
          </w:p>
          <w:p w14:paraId="2F24B19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①严格执行二氧化氯发生器设备的维护保养，定期对设备、管道、阀门、仪表、安全装置等进行检查和校验。</w:t>
            </w:r>
          </w:p>
          <w:p w14:paraId="11E53B9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②选择全自动控制系统设备，实现二氧化氯和进水流量的在线闭环控制。</w:t>
            </w:r>
          </w:p>
          <w:p w14:paraId="153854E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③严格执行操作规程，密切注视设备工艺参数的变化，发现异常及时处理。</w:t>
            </w:r>
          </w:p>
          <w:p w14:paraId="7B2BDBA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outlineLvl w:val="9"/>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④盐酸</w:t>
            </w:r>
            <w:r>
              <w:rPr>
                <w:rFonts w:hint="eastAsia" w:ascii="Times New Roman" w:hAnsi="Times New Roman" w:eastAsia="宋体" w:cs="Times New Roman"/>
                <w:color w:val="auto"/>
                <w:kern w:val="2"/>
                <w:sz w:val="21"/>
                <w:szCs w:val="21"/>
                <w:highlight w:val="none"/>
                <w:lang w:val="en-US" w:eastAsia="zh-CN" w:bidi="ar-SA"/>
              </w:rPr>
              <w:t>、二氧化氯及氯酸钠一旦出现泄漏时，采取相应应急处理措施。</w:t>
            </w:r>
          </w:p>
          <w:p w14:paraId="0EF9970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2.污水处理设施泄漏风险防范及应急措施</w:t>
            </w:r>
          </w:p>
          <w:p w14:paraId="0D9B61BA">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420" w:firstLineChars="200"/>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①对院区内排水系统、各污水处理设施池体、事故池及排放管道均做</w:t>
            </w:r>
            <w:r>
              <w:rPr>
                <w:rFonts w:hint="default" w:ascii="Times New Roman" w:hAnsi="Times New Roman" w:cs="Times New Roman"/>
                <w:color w:val="auto"/>
                <w:sz w:val="21"/>
                <w:szCs w:val="21"/>
                <w:highlight w:val="none"/>
                <w:lang w:val="en-US" w:eastAsia="zh-CN"/>
              </w:rPr>
              <w:t>防腐、</w:t>
            </w:r>
            <w:r>
              <w:rPr>
                <w:rFonts w:hint="default" w:ascii="Times New Roman" w:hAnsi="Times New Roman" w:eastAsia="宋体" w:cs="Times New Roman"/>
                <w:color w:val="auto"/>
                <w:sz w:val="21"/>
                <w:szCs w:val="21"/>
                <w:highlight w:val="none"/>
                <w:lang w:val="en-US" w:eastAsia="zh-CN"/>
              </w:rPr>
              <w:t>防渗处理，防止污染物的跑冒滴漏，将污染物的泄漏环境风险事故降到最低限度。</w:t>
            </w:r>
          </w:p>
          <w:p w14:paraId="0A1BCE21">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420" w:firstLineChars="200"/>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②强化管道、水池的转弯、承抽、对接等处的防渗工程，并做好隐蔽工程记录。</w:t>
            </w:r>
          </w:p>
          <w:p w14:paraId="3C2AE68C">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420" w:firstLineChars="200"/>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③必须定期进行捡漏监测。</w:t>
            </w:r>
          </w:p>
          <w:p w14:paraId="2DEAD6F4">
            <w:pPr>
              <w:pStyle w:val="23"/>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420" w:firstLineChars="200"/>
              <w:textAlignment w:val="auto"/>
              <w:outlineLvl w:val="9"/>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医疗废水事故排放</w:t>
            </w:r>
            <w:r>
              <w:rPr>
                <w:rFonts w:hint="default" w:ascii="Times New Roman" w:hAnsi="Times New Roman" w:cs="Times New Roman"/>
                <w:color w:val="auto"/>
                <w:sz w:val="21"/>
                <w:szCs w:val="21"/>
                <w:highlight w:val="none"/>
                <w:lang w:val="en-US" w:eastAsia="zh-CN"/>
              </w:rPr>
              <w:t>风险防范及应急措施</w:t>
            </w:r>
          </w:p>
          <w:p w14:paraId="0D525E93">
            <w:pPr>
              <w:pStyle w:val="23"/>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420" w:firstLineChars="200"/>
              <w:textAlignment w:val="auto"/>
              <w:outlineLvl w:val="9"/>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①为保证废水的消毒效果，建设项目污水处理消毒设施设置</w:t>
            </w:r>
            <w:r>
              <w:rPr>
                <w:rFonts w:hint="eastAsia" w:cs="Times New Roman"/>
                <w:color w:val="auto"/>
                <w:sz w:val="21"/>
                <w:szCs w:val="21"/>
                <w:highlight w:val="none"/>
                <w:lang w:val="en-US" w:eastAsia="zh-CN"/>
              </w:rPr>
              <w:t>2套</w:t>
            </w:r>
            <w:r>
              <w:rPr>
                <w:rFonts w:hint="default"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用1备），并设置自动控制系统。当污水处理站消毒设施失效时，可自动切换到另1台设备，确保消毒到位。</w:t>
            </w:r>
          </w:p>
          <w:p w14:paraId="577F0C07">
            <w:pPr>
              <w:pStyle w:val="23"/>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420" w:firstLineChars="200"/>
              <w:textAlignment w:val="auto"/>
              <w:outlineLvl w:val="9"/>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②设置1座</w:t>
            </w:r>
            <w:r>
              <w:rPr>
                <w:rFonts w:hint="eastAsia" w:cs="Times New Roman"/>
                <w:color w:val="auto"/>
                <w:sz w:val="21"/>
                <w:szCs w:val="21"/>
                <w:highlight w:val="none"/>
                <w:lang w:val="en-US" w:eastAsia="zh-CN"/>
              </w:rPr>
              <w:t>6</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事故应急池，事故排放情况下可将事故排水导入事故应急池暂存。</w:t>
            </w:r>
          </w:p>
          <w:p w14:paraId="4062C876">
            <w:pPr>
              <w:pStyle w:val="23"/>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420" w:firstLineChars="200"/>
              <w:textAlignment w:val="auto"/>
              <w:outlineLvl w:val="9"/>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③各类电气设备均设置电路短路和过载保护装置。</w:t>
            </w:r>
          </w:p>
          <w:p w14:paraId="2EF25653">
            <w:pPr>
              <w:pStyle w:val="23"/>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420" w:firstLineChars="200"/>
              <w:textAlignment w:val="auto"/>
              <w:outlineLvl w:val="9"/>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④</w:t>
            </w:r>
            <w:r>
              <w:rPr>
                <w:rFonts w:hint="default" w:ascii="Times New Roman" w:hAnsi="Times New Roman" w:cs="Times New Roman"/>
                <w:color w:val="auto"/>
                <w:sz w:val="21"/>
                <w:szCs w:val="21"/>
                <w:highlight w:val="none"/>
                <w:lang w:val="en-US" w:eastAsia="zh-CN"/>
              </w:rPr>
              <w:t>污水处理站应配备专门人员管理，定期巡展，严格按照操作说明进行操作，定期对各机器进行维修和保养，防止出现污水事故排放。通过以上措施，可有效防止建设项目废水的事故性排放，确保废水经院内污水站处理达标后排放。</w:t>
            </w:r>
          </w:p>
          <w:p w14:paraId="0070C576">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医疗废物在收集、贮存、运送过程中的风险防范</w:t>
            </w:r>
            <w:r>
              <w:rPr>
                <w:rFonts w:hint="default" w:ascii="Times New Roman" w:hAnsi="Times New Roman" w:cs="Times New Roman"/>
                <w:color w:val="auto"/>
                <w:sz w:val="21"/>
                <w:szCs w:val="21"/>
                <w:highlight w:val="none"/>
                <w:lang w:val="en-US" w:eastAsia="zh-CN"/>
              </w:rPr>
              <w:t>及应急措施</w:t>
            </w:r>
          </w:p>
          <w:p w14:paraId="2E8EFB77">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rPr>
              <w:t>①医疗废物暂时贮存处应设有明显的医疗废物警示标识和“禁止吸烟、饮食”的警示标识。</w:t>
            </w:r>
          </w:p>
          <w:p w14:paraId="45C74932">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rPr>
              <w:t>②要有严格的封闭措施，设专人管理，防止非工作人员接触医疗废物。</w:t>
            </w:r>
          </w:p>
          <w:p w14:paraId="5561A95C">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rPr>
              <w:t>③认真执行各项安全措施，做到</w:t>
            </w:r>
            <w:r>
              <w:rPr>
                <w:rFonts w:hint="default" w:ascii="Times New Roman" w:hAnsi="Times New Roman" w:cs="Times New Roman"/>
                <w:color w:val="auto"/>
                <w:kern w:val="2"/>
                <w:sz w:val="21"/>
                <w:szCs w:val="21"/>
                <w:highlight w:val="none"/>
                <w:lang w:val="en-US" w:eastAsia="zh-CN"/>
              </w:rPr>
              <w:t>“防风、防雨、防晒、防渗漏”</w:t>
            </w:r>
            <w:r>
              <w:rPr>
                <w:rFonts w:hint="default" w:ascii="Times New Roman" w:hAnsi="Times New Roman" w:cs="Times New Roman"/>
                <w:color w:val="auto"/>
                <w:kern w:val="2"/>
                <w:sz w:val="21"/>
                <w:szCs w:val="21"/>
                <w:highlight w:val="none"/>
              </w:rPr>
              <w:t>。</w:t>
            </w:r>
          </w:p>
          <w:p w14:paraId="0919D9B8">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ascii="Times New Roman" w:hAnsi="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④</w:t>
            </w:r>
            <w:r>
              <w:rPr>
                <w:rFonts w:hint="default" w:ascii="Times New Roman" w:hAnsi="Times New Roman" w:cs="Times New Roman"/>
                <w:color w:val="auto"/>
                <w:kern w:val="2"/>
                <w:sz w:val="21"/>
                <w:szCs w:val="21"/>
                <w:highlight w:val="none"/>
              </w:rPr>
              <w:t>禁止将医疗废物混入其他废物和生活垃圾。</w:t>
            </w:r>
          </w:p>
          <w:p w14:paraId="2652A9F7">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ascii="Times New Roman" w:hAnsi="Times New Roman" w:cs="Times New Roman"/>
                <w:color w:val="auto"/>
                <w:kern w:val="2"/>
                <w:sz w:val="21"/>
                <w:szCs w:val="21"/>
                <w:highlight w:val="none"/>
                <w:lang w:val="en-US" w:eastAsia="zh-CN"/>
              </w:rPr>
            </w:pPr>
            <w:r>
              <w:rPr>
                <w:rFonts w:hint="default" w:ascii="Times New Roman" w:hAnsi="Times New Roman" w:eastAsia="微软雅黑" w:cs="Times New Roman"/>
                <w:color w:val="auto"/>
                <w:kern w:val="2"/>
                <w:sz w:val="21"/>
                <w:szCs w:val="21"/>
                <w:highlight w:val="none"/>
              </w:rPr>
              <w:t>⑤</w:t>
            </w:r>
            <w:r>
              <w:rPr>
                <w:rFonts w:hint="default" w:ascii="Times New Roman" w:hAnsi="Times New Roman" w:cs="Times New Roman"/>
                <w:color w:val="auto"/>
                <w:kern w:val="2"/>
                <w:sz w:val="21"/>
                <w:szCs w:val="21"/>
                <w:highlight w:val="none"/>
              </w:rPr>
              <w:t>医疗废物分类管理、感染性废物、病理性废物、损伤性废物、药物性废、物化学性废物不能混合收集。</w:t>
            </w:r>
            <w:r>
              <w:rPr>
                <w:rFonts w:hint="default" w:ascii="Times New Roman" w:hAnsi="Times New Roman" w:cs="Times New Roman"/>
                <w:color w:val="auto"/>
                <w:kern w:val="2"/>
                <w:sz w:val="21"/>
                <w:szCs w:val="21"/>
                <w:highlight w:val="none"/>
                <w:lang w:val="en-US" w:eastAsia="zh-CN"/>
              </w:rPr>
              <w:t xml:space="preserve">                                                                                  </w:t>
            </w:r>
          </w:p>
          <w:p w14:paraId="7D2F710C">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textAlignment w:val="auto"/>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lang w:val="en-US" w:eastAsia="zh-CN"/>
              </w:rPr>
              <w:t xml:space="preserve">    </w:t>
            </w:r>
            <w:r>
              <w:rPr>
                <w:rFonts w:hint="default" w:ascii="Times New Roman" w:hAnsi="Times New Roman" w:eastAsia="微软雅黑" w:cs="Times New Roman"/>
                <w:color w:val="auto"/>
                <w:kern w:val="2"/>
                <w:sz w:val="21"/>
                <w:szCs w:val="21"/>
                <w:highlight w:val="none"/>
                <w:lang w:val="en-US" w:eastAsia="zh-CN"/>
              </w:rPr>
              <w:t>⑥</w:t>
            </w:r>
            <w:r>
              <w:rPr>
                <w:rFonts w:hint="default" w:ascii="Times New Roman" w:hAnsi="Times New Roman" w:cs="Times New Roman"/>
                <w:color w:val="auto"/>
                <w:kern w:val="2"/>
                <w:sz w:val="21"/>
                <w:szCs w:val="21"/>
                <w:highlight w:val="none"/>
              </w:rPr>
              <w:t>专职人员必须按制定时间、路线，并使用专用密闭运输工具，收集、运送医疗废物。</w:t>
            </w:r>
          </w:p>
          <w:p w14:paraId="0F5DF157">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outlineLvl w:val="9"/>
              <w:rPr>
                <w:rFonts w:hint="default" w:ascii="Times New Roman" w:hAnsi="Times New Roman" w:cs="Times New Roman"/>
                <w:color w:val="auto"/>
                <w:kern w:val="2"/>
                <w:sz w:val="21"/>
                <w:szCs w:val="21"/>
                <w:highlight w:val="none"/>
                <w:lang w:val="en-US" w:eastAsia="zh-CN"/>
              </w:rPr>
            </w:pPr>
            <w:r>
              <w:rPr>
                <w:rFonts w:hint="default" w:ascii="Times New Roman" w:hAnsi="Times New Roman" w:eastAsia="微软雅黑" w:cs="Times New Roman"/>
                <w:color w:val="auto"/>
                <w:kern w:val="2"/>
                <w:sz w:val="21"/>
                <w:szCs w:val="21"/>
                <w:highlight w:val="none"/>
              </w:rPr>
              <w:t>⑦</w:t>
            </w:r>
            <w:r>
              <w:rPr>
                <w:rFonts w:hint="default" w:ascii="Times New Roman" w:hAnsi="Times New Roman" w:cs="Times New Roman"/>
                <w:color w:val="auto"/>
                <w:kern w:val="2"/>
                <w:sz w:val="21"/>
                <w:szCs w:val="21"/>
                <w:highlight w:val="none"/>
              </w:rPr>
              <w:t>从各医疗废物产生点收集回的医疗废物要分类放置于符合《医疗废物专用包装、容器标准和警示标识的规定》的包装物或容器内。</w:t>
            </w:r>
            <w:r>
              <w:rPr>
                <w:rFonts w:hint="default" w:ascii="Times New Roman" w:hAnsi="Times New Roman" w:cs="Times New Roman"/>
                <w:color w:val="auto"/>
                <w:kern w:val="2"/>
                <w:sz w:val="21"/>
                <w:szCs w:val="21"/>
                <w:highlight w:val="none"/>
                <w:lang w:val="en-US" w:eastAsia="zh-CN"/>
              </w:rPr>
              <w:t xml:space="preserve">                                 </w:t>
            </w:r>
          </w:p>
          <w:p w14:paraId="1497BAE0">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outlineLvl w:val="9"/>
              <w:rPr>
                <w:rFonts w:hint="default" w:ascii="Times New Roman" w:hAnsi="Times New Roman" w:cs="Times New Roman"/>
                <w:color w:val="auto"/>
                <w:kern w:val="2"/>
                <w:sz w:val="21"/>
                <w:szCs w:val="21"/>
                <w:highlight w:val="none"/>
              </w:rPr>
            </w:pPr>
            <w:r>
              <w:rPr>
                <w:rFonts w:hint="default" w:ascii="Times New Roman" w:hAnsi="Times New Roman" w:eastAsia="微软雅黑" w:cs="Times New Roman"/>
                <w:color w:val="auto"/>
                <w:kern w:val="2"/>
                <w:sz w:val="21"/>
                <w:szCs w:val="21"/>
                <w:highlight w:val="none"/>
                <w:lang w:eastAsia="zh-CN"/>
              </w:rPr>
              <w:t>⑧</w:t>
            </w:r>
            <w:r>
              <w:rPr>
                <w:rFonts w:hint="default" w:ascii="Times New Roman" w:hAnsi="Times New Roman" w:cs="Times New Roman"/>
                <w:color w:val="auto"/>
                <w:kern w:val="2"/>
                <w:sz w:val="21"/>
                <w:szCs w:val="21"/>
                <w:highlight w:val="none"/>
              </w:rPr>
              <w:t>认真执行登记制度，收集医疗废物及时登记，登记内容包括：医疗废物的来源种类、重量或数量、交接时间、最终去向以及经办人签名等项目，并保存登记资料至少三年。</w:t>
            </w:r>
          </w:p>
          <w:p w14:paraId="3E6AA36E">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ascii="Times New Roman" w:hAnsi="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⑨</w:t>
            </w:r>
            <w:r>
              <w:rPr>
                <w:rFonts w:hint="default" w:ascii="Times New Roman" w:hAnsi="Times New Roman" w:cs="Times New Roman"/>
                <w:color w:val="auto"/>
                <w:kern w:val="2"/>
                <w:sz w:val="21"/>
                <w:szCs w:val="21"/>
                <w:highlight w:val="none"/>
              </w:rPr>
              <w:t>收集的医疗废物不能外流、泄漏、扩散，只能交给指定的医疗废物集中处置单位进行处理。</w:t>
            </w:r>
          </w:p>
          <w:p w14:paraId="2490FADF">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ascii="Times New Roman" w:hAnsi="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⑩</w:t>
            </w:r>
            <w:r>
              <w:rPr>
                <w:rFonts w:hint="default" w:ascii="Times New Roman" w:hAnsi="Times New Roman" w:cs="Times New Roman"/>
                <w:color w:val="auto"/>
                <w:kern w:val="2"/>
                <w:sz w:val="21"/>
                <w:szCs w:val="21"/>
                <w:highlight w:val="none"/>
              </w:rPr>
              <w:t>将医疗废物交医疗废物集中处置单位处置时，依照危险废物转移联单制度填写和保存转移联单。</w:t>
            </w:r>
          </w:p>
          <w:p w14:paraId="557E3E8E">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sz w:val="21"/>
                <w:szCs w:val="21"/>
                <w:highlight w:val="none"/>
              </w:rPr>
              <w:t>⑪</w:t>
            </w:r>
            <w:r>
              <w:rPr>
                <w:rFonts w:hint="default" w:ascii="Times New Roman" w:hAnsi="Times New Roman" w:cs="Times New Roman"/>
                <w:color w:val="auto"/>
                <w:spacing w:val="0"/>
                <w:kern w:val="2"/>
                <w:sz w:val="21"/>
                <w:szCs w:val="21"/>
                <w:highlight w:val="none"/>
              </w:rPr>
              <w:t>每次收集完毕，在暂存点及时对运送工具进行清洁和消毒，</w:t>
            </w:r>
            <w:r>
              <w:rPr>
                <w:rFonts w:hint="default" w:ascii="Times New Roman" w:hAnsi="Times New Roman" w:cs="Times New Roman"/>
                <w:color w:val="auto"/>
                <w:spacing w:val="-20"/>
                <w:kern w:val="2"/>
                <w:sz w:val="21"/>
                <w:szCs w:val="21"/>
                <w:highlight w:val="none"/>
              </w:rPr>
              <w:t>先</w:t>
            </w:r>
            <w:r>
              <w:rPr>
                <w:rFonts w:hint="default" w:ascii="Times New Roman" w:hAnsi="Times New Roman" w:cs="Times New Roman"/>
                <w:color w:val="auto"/>
                <w:spacing w:val="-20"/>
                <w:kern w:val="2"/>
                <w:sz w:val="21"/>
                <w:szCs w:val="21"/>
                <w:highlight w:val="none"/>
                <w:lang w:eastAsia="zh-CN"/>
              </w:rPr>
              <w:t>用</w:t>
            </w:r>
            <w:r>
              <w:rPr>
                <w:rFonts w:hint="default" w:ascii="Times New Roman" w:hAnsi="Times New Roman" w:cs="Times New Roman"/>
                <w:color w:val="auto"/>
                <w:kern w:val="2"/>
                <w:sz w:val="21"/>
                <w:szCs w:val="21"/>
                <w:highlight w:val="none"/>
              </w:rPr>
              <w:t>1000</w:t>
            </w:r>
            <w:r>
              <w:rPr>
                <w:rFonts w:hint="default" w:ascii="Times New Roman" w:hAnsi="Times New Roman" w:cs="Times New Roman"/>
                <w:color w:val="auto"/>
                <w:kern w:val="2"/>
                <w:sz w:val="21"/>
                <w:szCs w:val="21"/>
                <w:highlight w:val="none"/>
                <w:lang w:val="en-US" w:eastAsia="zh-CN"/>
              </w:rPr>
              <w:t>-</w:t>
            </w:r>
            <w:r>
              <w:rPr>
                <w:rFonts w:hint="default" w:ascii="Times New Roman" w:hAnsi="Times New Roman" w:cs="Times New Roman"/>
                <w:color w:val="auto"/>
                <w:kern w:val="2"/>
                <w:sz w:val="21"/>
                <w:szCs w:val="21"/>
                <w:highlight w:val="none"/>
              </w:rPr>
              <w:t>2000mg∕L含氯消毒液刷洗，再用清水冲洗干净。</w:t>
            </w:r>
          </w:p>
          <w:p w14:paraId="5159564B">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sz w:val="21"/>
                <w:szCs w:val="21"/>
                <w:highlight w:val="none"/>
              </w:rPr>
              <w:t>⑫</w:t>
            </w:r>
            <w:r>
              <w:rPr>
                <w:rFonts w:hint="default" w:ascii="Times New Roman" w:hAnsi="Times New Roman" w:cs="Times New Roman"/>
                <w:color w:val="auto"/>
                <w:kern w:val="2"/>
                <w:sz w:val="21"/>
                <w:szCs w:val="21"/>
                <w:highlight w:val="none"/>
              </w:rPr>
              <w:t>当医疗废物转交出去后，及时对贮存点、设施进行消毒和清洁处理，先用高压水冲洗，再用1000—2000mg∕L含氯消毒液喷洒或擦拭。</w:t>
            </w:r>
          </w:p>
          <w:p w14:paraId="7F4B117C">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sz w:val="21"/>
                <w:szCs w:val="21"/>
                <w:highlight w:val="none"/>
              </w:rPr>
              <w:t>⑬</w:t>
            </w:r>
            <w:r>
              <w:rPr>
                <w:rFonts w:hint="default" w:ascii="Times New Roman" w:hAnsi="Times New Roman" w:cs="Times New Roman"/>
                <w:color w:val="auto"/>
                <w:kern w:val="2"/>
                <w:sz w:val="21"/>
                <w:szCs w:val="21"/>
                <w:highlight w:val="none"/>
              </w:rPr>
              <w:t>专职人员在收集或运送医疗废物时，要穿防护服、戴口罩、帽子、一次性手套、穿胶鞋。接触医疗废物后，脱去手套要按照六步洗手法认真的洗净双手。</w:t>
            </w:r>
          </w:p>
          <w:p w14:paraId="7F32C8E0">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textAlignment w:val="auto"/>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kern w:val="2"/>
                <w:sz w:val="21"/>
                <w:szCs w:val="21"/>
                <w:highlight w:val="none"/>
              </w:rPr>
              <w:t> </w:t>
            </w:r>
            <w:r>
              <w:rPr>
                <w:rFonts w:hint="default" w:ascii="Times New Roman" w:hAnsi="Times New Roman" w:cs="Times New Roman"/>
                <w:color w:val="auto"/>
                <w:kern w:val="2"/>
                <w:sz w:val="21"/>
                <w:szCs w:val="21"/>
                <w:highlight w:val="none"/>
                <w:lang w:val="en-US" w:eastAsia="zh-CN"/>
              </w:rPr>
              <w:t xml:space="preserve">   </w:t>
            </w:r>
            <w:r>
              <w:rPr>
                <w:rFonts w:hint="default" w:ascii="Times New Roman" w:hAnsi="Times New Roman" w:cs="Times New Roman"/>
                <w:color w:val="auto"/>
                <w:sz w:val="21"/>
                <w:szCs w:val="21"/>
                <w:highlight w:val="none"/>
              </w:rPr>
              <w:t>⑭</w:t>
            </w:r>
            <w:r>
              <w:rPr>
                <w:rFonts w:hint="default" w:ascii="Times New Roman" w:hAnsi="Times New Roman" w:cs="Times New Roman"/>
                <w:color w:val="auto"/>
                <w:kern w:val="2"/>
                <w:sz w:val="21"/>
                <w:szCs w:val="21"/>
                <w:highlight w:val="none"/>
              </w:rPr>
              <w:t>在工作中要防止被锐器刺伤，一旦发生刺伤要及时向医院感染管理科报告，并采取应急处理措施。 </w:t>
            </w:r>
          </w:p>
          <w:p w14:paraId="4F93D3B8">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sz w:val="21"/>
                <w:szCs w:val="21"/>
                <w:highlight w:val="none"/>
              </w:rPr>
              <w:t>⑮</w:t>
            </w:r>
            <w:r>
              <w:rPr>
                <w:rFonts w:hint="default" w:ascii="Times New Roman" w:hAnsi="Times New Roman" w:cs="Times New Roman"/>
                <w:color w:val="auto"/>
                <w:kern w:val="2"/>
                <w:sz w:val="21"/>
                <w:szCs w:val="21"/>
                <w:highlight w:val="none"/>
              </w:rPr>
              <w:t>一旦发生医疗废物流失、泄漏、扩散时，即刻向医院感染管理科报告。</w:t>
            </w:r>
          </w:p>
          <w:p w14:paraId="1BCF4FA8">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sz w:val="21"/>
                <w:szCs w:val="21"/>
                <w:highlight w:val="none"/>
              </w:rPr>
              <w:t>⑯</w:t>
            </w:r>
            <w:r>
              <w:rPr>
                <w:rFonts w:hint="default" w:ascii="Times New Roman" w:hAnsi="Times New Roman" w:cs="Times New Roman"/>
                <w:color w:val="auto"/>
                <w:kern w:val="2"/>
                <w:sz w:val="21"/>
                <w:szCs w:val="21"/>
                <w:highlight w:val="none"/>
              </w:rPr>
              <w:t>因管理失误，发生医疗废物丢失、泄漏、扩散，要承担相应责任，并根据情况给予罚款处理。</w:t>
            </w:r>
          </w:p>
          <w:p w14:paraId="6B07CCB8">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ascii="Times New Roman" w:hAnsi="Times New Roman" w:cs="Times New Roman"/>
                <w:color w:val="auto"/>
                <w:kern w:val="2"/>
                <w:sz w:val="21"/>
                <w:szCs w:val="21"/>
                <w:highlight w:val="none"/>
              </w:rPr>
            </w:pPr>
            <w:r>
              <w:rPr>
                <w:rFonts w:hint="default" w:ascii="Times New Roman" w:hAnsi="Times New Roman" w:cs="Times New Roman"/>
                <w:color w:val="auto"/>
                <w:sz w:val="21"/>
                <w:szCs w:val="21"/>
                <w:highlight w:val="none"/>
              </w:rPr>
              <w:t>⑰</w:t>
            </w:r>
            <w:r>
              <w:rPr>
                <w:rFonts w:hint="eastAsia" w:ascii="Times New Roman" w:hAnsi="Times New Roman" w:cs="Times New Roman"/>
                <w:color w:val="auto"/>
                <w:kern w:val="2"/>
                <w:sz w:val="21"/>
                <w:szCs w:val="21"/>
                <w:highlight w:val="none"/>
                <w:lang w:eastAsia="zh-CN"/>
              </w:rPr>
              <w:t>医疗废物</w:t>
            </w:r>
            <w:r>
              <w:rPr>
                <w:rFonts w:hint="default" w:ascii="Times New Roman" w:hAnsi="Times New Roman" w:cs="Times New Roman"/>
                <w:color w:val="auto"/>
                <w:kern w:val="2"/>
                <w:sz w:val="21"/>
                <w:szCs w:val="21"/>
                <w:highlight w:val="none"/>
              </w:rPr>
              <w:t>、生活垃圾、日产日清，分别运送。</w:t>
            </w:r>
            <w:r>
              <w:rPr>
                <w:rFonts w:hint="eastAsia" w:ascii="Times New Roman" w:hAnsi="Times New Roman" w:cs="Times New Roman"/>
                <w:color w:val="auto"/>
                <w:kern w:val="2"/>
                <w:sz w:val="21"/>
                <w:szCs w:val="21"/>
                <w:highlight w:val="none"/>
                <w:lang w:eastAsia="zh-CN"/>
              </w:rPr>
              <w:t>医疗废物</w:t>
            </w:r>
            <w:r>
              <w:rPr>
                <w:rFonts w:hint="default" w:ascii="Times New Roman" w:hAnsi="Times New Roman" w:cs="Times New Roman"/>
                <w:color w:val="auto"/>
                <w:kern w:val="2"/>
                <w:sz w:val="21"/>
                <w:szCs w:val="21"/>
                <w:highlight w:val="none"/>
              </w:rPr>
              <w:t>暂时贮存不能超过</w:t>
            </w:r>
            <w:r>
              <w:rPr>
                <w:rFonts w:hint="eastAsia" w:ascii="Times New Roman" w:hAnsi="Times New Roman" w:cs="Times New Roman"/>
                <w:color w:val="auto"/>
                <w:kern w:val="2"/>
                <w:sz w:val="21"/>
                <w:szCs w:val="21"/>
                <w:highlight w:val="none"/>
                <w:lang w:val="en-US" w:eastAsia="zh-CN"/>
              </w:rPr>
              <w:t>24</w:t>
            </w:r>
            <w:r>
              <w:rPr>
                <w:rFonts w:hint="default" w:ascii="Times New Roman" w:hAnsi="Times New Roman" w:cs="Times New Roman"/>
                <w:color w:val="auto"/>
                <w:kern w:val="2"/>
                <w:sz w:val="21"/>
                <w:szCs w:val="21"/>
                <w:highlight w:val="none"/>
              </w:rPr>
              <w:t>小时。</w:t>
            </w:r>
          </w:p>
          <w:p w14:paraId="768E5513">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ascii="Times New Roman" w:hAnsi="Times New Roman"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5.氧气泄漏</w:t>
            </w:r>
            <w:r>
              <w:rPr>
                <w:rFonts w:hint="default" w:ascii="Times New Roman" w:hAnsi="Times New Roman" w:cs="Times New Roman"/>
                <w:color w:val="auto"/>
                <w:kern w:val="2"/>
                <w:sz w:val="21"/>
                <w:szCs w:val="21"/>
                <w:highlight w:val="none"/>
                <w:lang w:val="en-US" w:eastAsia="zh-CN"/>
              </w:rPr>
              <w:t>风险防范及应急措施</w:t>
            </w:r>
          </w:p>
          <w:p w14:paraId="5D645182">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ascii="Times New Roman" w:hAnsi="Times New Roman"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lang w:val="en-US" w:eastAsia="zh-CN"/>
              </w:rPr>
              <w:t>①氧气吸氧的操作人员严格遵守操作规程，使用时应远离火种、热源，远离易燃、可燃物，还</w:t>
            </w:r>
            <w:r>
              <w:rPr>
                <w:rFonts w:hint="eastAsia" w:ascii="Times New Roman" w:hAnsi="Times New Roman" w:cs="Times New Roman"/>
                <w:color w:val="auto"/>
                <w:kern w:val="2"/>
                <w:sz w:val="21"/>
                <w:szCs w:val="21"/>
                <w:highlight w:val="none"/>
                <w:lang w:val="en-US" w:eastAsia="zh-CN"/>
              </w:rPr>
              <w:t>要</w:t>
            </w:r>
            <w:r>
              <w:rPr>
                <w:rFonts w:hint="default" w:ascii="Times New Roman" w:hAnsi="Times New Roman" w:cs="Times New Roman"/>
                <w:color w:val="auto"/>
                <w:kern w:val="2"/>
                <w:sz w:val="21"/>
                <w:szCs w:val="21"/>
                <w:highlight w:val="none"/>
                <w:lang w:val="en-US" w:eastAsia="zh-CN"/>
              </w:rPr>
              <w:t>避免高浓度吸入。</w:t>
            </w:r>
          </w:p>
          <w:p w14:paraId="6334B024">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eastAsia" w:ascii="Times New Roman" w:hAnsi="Times New Roman" w:cs="Times New Roman"/>
                <w:color w:val="auto"/>
                <w:kern w:val="2"/>
                <w:sz w:val="21"/>
                <w:szCs w:val="21"/>
                <w:highlight w:val="none"/>
                <w:lang w:val="en-US"/>
              </w:rPr>
            </w:pPr>
            <w:r>
              <w:rPr>
                <w:rFonts w:hint="default" w:ascii="Times New Roman" w:hAnsi="Times New Roman" w:cs="Times New Roman"/>
                <w:color w:val="auto"/>
                <w:kern w:val="2"/>
                <w:sz w:val="21"/>
                <w:szCs w:val="21"/>
                <w:highlight w:val="none"/>
                <w:lang w:val="en-US" w:eastAsia="zh-CN"/>
              </w:rPr>
              <w:t>②</w:t>
            </w:r>
            <w:r>
              <w:rPr>
                <w:rFonts w:hint="eastAsia" w:ascii="Times New Roman" w:hAnsi="Times New Roman" w:cs="Times New Roman"/>
                <w:color w:val="auto"/>
                <w:kern w:val="2"/>
                <w:sz w:val="21"/>
                <w:szCs w:val="21"/>
                <w:highlight w:val="none"/>
                <w:lang w:val="en-US" w:eastAsia="zh-CN"/>
              </w:rPr>
              <w:t>氧气泄漏时，要迅速撤离泄漏污染区人员至上风处，并对污染区进行隔离，切断火源。应急人员戴自给正压式呼吸器，避免与可燃物或易燃物接触。</w:t>
            </w:r>
          </w:p>
        </w:tc>
      </w:tr>
      <w:tr w14:paraId="0A7B8C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9286" w:type="dxa"/>
            <w:gridSpan w:val="6"/>
            <w:tcBorders>
              <w:tl2br w:val="nil"/>
              <w:tr2bl w:val="nil"/>
            </w:tcBorders>
            <w:noWrap w:val="0"/>
            <w:vAlign w:val="top"/>
          </w:tcPr>
          <w:p w14:paraId="2311A6C8">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textAlignment w:val="auto"/>
              <w:outlineLvl w:val="9"/>
              <w:rPr>
                <w:rFonts w:hint="eastAsia"/>
                <w:color w:val="auto"/>
                <w:sz w:val="21"/>
                <w:szCs w:val="21"/>
                <w:highlight w:val="none"/>
              </w:rPr>
            </w:pPr>
            <w:r>
              <w:rPr>
                <w:rFonts w:hint="eastAsia" w:eastAsia="宋体"/>
                <w:color w:val="auto"/>
                <w:sz w:val="21"/>
                <w:szCs w:val="21"/>
                <w:highlight w:val="none"/>
              </w:rPr>
              <w:t>填表说明（列出项目相关信息及评价说明）</w:t>
            </w:r>
          </w:p>
          <w:p w14:paraId="0809BA56">
            <w:pPr>
              <w:pStyle w:val="2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color w:val="auto"/>
                <w:sz w:val="21"/>
                <w:szCs w:val="21"/>
                <w:highlight w:val="none"/>
              </w:rPr>
            </w:pPr>
            <w:r>
              <w:rPr>
                <w:rFonts w:hint="eastAsia" w:eastAsia="宋体"/>
                <w:color w:val="auto"/>
                <w:sz w:val="21"/>
                <w:szCs w:val="21"/>
                <w:highlight w:val="none"/>
                <w:lang w:eastAsia="zh-CN"/>
              </w:rPr>
              <w:t>本项目为</w:t>
            </w:r>
            <w:r>
              <w:rPr>
                <w:rFonts w:hint="eastAsia"/>
                <w:color w:val="auto"/>
                <w:sz w:val="21"/>
                <w:szCs w:val="21"/>
                <w:highlight w:val="none"/>
                <w:lang w:eastAsia="zh-CN"/>
              </w:rPr>
              <w:t>本溪谦和中医院建设项目</w:t>
            </w:r>
            <w:r>
              <w:rPr>
                <w:rFonts w:hint="eastAsia" w:eastAsia="宋体"/>
                <w:color w:val="auto"/>
                <w:sz w:val="21"/>
                <w:szCs w:val="21"/>
                <w:highlight w:val="none"/>
                <w:lang w:eastAsia="zh-CN"/>
              </w:rPr>
              <w:t>，危险物质数量与临界量比值</w:t>
            </w:r>
            <w:r>
              <w:rPr>
                <w:rFonts w:hint="eastAsia" w:eastAsia="宋体"/>
                <w:color w:val="auto"/>
                <w:sz w:val="21"/>
                <w:szCs w:val="21"/>
                <w:highlight w:val="none"/>
                <w:lang w:val="en-US" w:eastAsia="zh-CN"/>
              </w:rPr>
              <w:t>Q=</w:t>
            </w:r>
            <w:r>
              <w:rPr>
                <w:rFonts w:hint="eastAsia" w:cs="Times New Roman"/>
                <w:color w:val="auto"/>
                <w:sz w:val="21"/>
                <w:szCs w:val="21"/>
                <w:highlight w:val="none"/>
                <w:lang w:val="en-US" w:eastAsia="zh-CN"/>
              </w:rPr>
              <w:t>0.005</w:t>
            </w:r>
            <w:r>
              <w:rPr>
                <w:rFonts w:hint="eastAsia" w:eastAsia="宋体"/>
                <w:color w:val="auto"/>
                <w:sz w:val="21"/>
                <w:szCs w:val="21"/>
                <w:highlight w:val="none"/>
                <w:lang w:val="en-US" w:eastAsia="zh-CN"/>
              </w:rPr>
              <w:t>&lt;1，</w:t>
            </w:r>
            <w:r>
              <w:rPr>
                <w:rFonts w:hint="eastAsia" w:eastAsia="宋体"/>
                <w:color w:val="auto"/>
                <w:sz w:val="21"/>
                <w:szCs w:val="21"/>
                <w:highlight w:val="none"/>
              </w:rPr>
              <w:t>环境风险潜势为Ⅰ，环境风险评价级别为简单分析。</w:t>
            </w:r>
          </w:p>
        </w:tc>
      </w:tr>
    </w:tbl>
    <w:p w14:paraId="51464E73">
      <w:pPr>
        <w:adjustRightInd w:val="0"/>
        <w:snapToGrid w:val="0"/>
        <w:spacing w:line="360" w:lineRule="auto"/>
        <w:rPr>
          <w:rFonts w:hint="default" w:ascii="Times New Roman" w:hAnsi="Times New Roman" w:cs="Times New Roman"/>
          <w:b/>
          <w:bCs/>
          <w:color w:val="auto"/>
          <w:sz w:val="28"/>
          <w:szCs w:val="28"/>
          <w:highlight w:val="none"/>
        </w:rPr>
      </w:pPr>
      <w:r>
        <w:rPr>
          <w:rFonts w:hint="eastAsia"/>
          <w:b/>
          <w:bCs/>
          <w:color w:val="auto"/>
          <w:sz w:val="28"/>
          <w:szCs w:val="28"/>
          <w:highlight w:val="none"/>
          <w:lang w:val="en-US" w:eastAsia="zh-CN"/>
        </w:rPr>
        <w:t>8</w:t>
      </w:r>
      <w:r>
        <w:rPr>
          <w:rFonts w:hint="default" w:ascii="Times New Roman" w:hAnsi="Times New Roman" w:cs="Times New Roman"/>
          <w:b/>
          <w:bCs/>
          <w:color w:val="auto"/>
          <w:sz w:val="28"/>
          <w:szCs w:val="28"/>
          <w:highlight w:val="none"/>
        </w:rPr>
        <w:t>环保投资估算</w:t>
      </w:r>
    </w:p>
    <w:p w14:paraId="524D058E">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该项目总投资</w:t>
      </w:r>
      <w:r>
        <w:rPr>
          <w:rFonts w:hint="eastAsia" w:cs="Times New Roman"/>
          <w:color w:val="auto"/>
          <w:sz w:val="24"/>
          <w:szCs w:val="24"/>
          <w:highlight w:val="none"/>
          <w:lang w:val="en-US" w:eastAsia="zh-CN"/>
        </w:rPr>
        <w:t>2000</w:t>
      </w:r>
      <w:r>
        <w:rPr>
          <w:rFonts w:hint="default" w:ascii="Times New Roman" w:hAnsi="Times New Roman" w:cs="Times New Roman"/>
          <w:color w:val="auto"/>
          <w:sz w:val="24"/>
          <w:szCs w:val="24"/>
          <w:highlight w:val="none"/>
        </w:rPr>
        <w:t>万元，其中环保投资</w:t>
      </w:r>
      <w:r>
        <w:rPr>
          <w:rFonts w:hint="eastAsia" w:cs="Times New Roman"/>
          <w:color w:val="auto"/>
          <w:sz w:val="24"/>
          <w:szCs w:val="24"/>
          <w:highlight w:val="none"/>
          <w:lang w:val="en-US" w:eastAsia="zh-CN"/>
        </w:rPr>
        <w:t>11.1</w:t>
      </w:r>
      <w:r>
        <w:rPr>
          <w:rFonts w:hint="default" w:ascii="Times New Roman" w:hAnsi="Times New Roman" w:cs="Times New Roman"/>
          <w:color w:val="auto"/>
          <w:sz w:val="24"/>
          <w:szCs w:val="24"/>
          <w:highlight w:val="none"/>
        </w:rPr>
        <w:t>万元，占总投资的</w:t>
      </w:r>
      <w:r>
        <w:rPr>
          <w:rFonts w:hint="eastAsia" w:cs="Times New Roman"/>
          <w:color w:val="auto"/>
          <w:sz w:val="24"/>
          <w:szCs w:val="24"/>
          <w:highlight w:val="none"/>
          <w:lang w:val="en-US" w:eastAsia="zh-CN"/>
        </w:rPr>
        <w:t>0.56</w:t>
      </w:r>
      <w:r>
        <w:rPr>
          <w:rFonts w:hint="default" w:ascii="Times New Roman" w:hAnsi="Times New Roman" w:cs="Times New Roman"/>
          <w:color w:val="auto"/>
          <w:sz w:val="24"/>
          <w:szCs w:val="24"/>
          <w:highlight w:val="none"/>
        </w:rPr>
        <w:t>%。项目各项环保投资及处理费用估算见下表：</w:t>
      </w:r>
    </w:p>
    <w:p w14:paraId="69B5DFE0">
      <w:pPr>
        <w:adjustRightInd w:val="0"/>
        <w:snapToGrid w:val="0"/>
        <w:spacing w:line="360" w:lineRule="auto"/>
        <w:jc w:val="both"/>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w:t>
      </w:r>
      <w:r>
        <w:rPr>
          <w:rFonts w:hint="eastAsia" w:cs="Times New Roman"/>
          <w:b/>
          <w:bCs/>
          <w:color w:val="auto"/>
          <w:highlight w:val="none"/>
          <w:lang w:val="en-US" w:eastAsia="zh-CN"/>
        </w:rPr>
        <w:t xml:space="preserve">46                          </w:t>
      </w:r>
      <w:r>
        <w:rPr>
          <w:rFonts w:hint="default" w:ascii="Times New Roman" w:hAnsi="Times New Roman" w:cs="Times New Roman"/>
          <w:b/>
          <w:bCs/>
          <w:color w:val="auto"/>
          <w:highlight w:val="none"/>
        </w:rPr>
        <w:t>项目环保设施及环保投资</w:t>
      </w:r>
    </w:p>
    <w:tbl>
      <w:tblPr>
        <w:tblStyle w:val="24"/>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650"/>
        <w:gridCol w:w="1884"/>
        <w:gridCol w:w="4304"/>
        <w:gridCol w:w="1713"/>
      </w:tblGrid>
      <w:tr w14:paraId="00BB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735" w:type="dxa"/>
            <w:tcBorders>
              <w:top w:val="single" w:color="auto" w:sz="12" w:space="0"/>
              <w:left w:val="nil"/>
            </w:tcBorders>
            <w:vAlign w:val="center"/>
          </w:tcPr>
          <w:p w14:paraId="2EA3CF0F">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2534" w:type="dxa"/>
            <w:gridSpan w:val="2"/>
            <w:tcBorders>
              <w:top w:val="single" w:color="auto" w:sz="12" w:space="0"/>
            </w:tcBorders>
            <w:vAlign w:val="center"/>
          </w:tcPr>
          <w:p w14:paraId="3D817A1C">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项目</w:t>
            </w:r>
          </w:p>
        </w:tc>
        <w:tc>
          <w:tcPr>
            <w:tcW w:w="4304" w:type="dxa"/>
            <w:tcBorders>
              <w:top w:val="single" w:color="auto" w:sz="12" w:space="0"/>
            </w:tcBorders>
            <w:vAlign w:val="center"/>
          </w:tcPr>
          <w:p w14:paraId="4F318F59">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b/>
                <w:bCs/>
                <w:color w:val="auto"/>
                <w:sz w:val="21"/>
                <w:szCs w:val="21"/>
                <w:highlight w:val="none"/>
                <w:lang w:eastAsia="zh-CN"/>
              </w:rPr>
            </w:pPr>
            <w:r>
              <w:rPr>
                <w:rFonts w:hint="eastAsia" w:cs="Times New Roman"/>
                <w:b/>
                <w:bCs/>
                <w:color w:val="auto"/>
                <w:sz w:val="21"/>
                <w:szCs w:val="21"/>
                <w:highlight w:val="none"/>
                <w:lang w:eastAsia="zh-CN"/>
              </w:rPr>
              <w:t>治理措施</w:t>
            </w:r>
          </w:p>
        </w:tc>
        <w:tc>
          <w:tcPr>
            <w:tcW w:w="1713" w:type="dxa"/>
            <w:tcBorders>
              <w:top w:val="single" w:color="auto" w:sz="12" w:space="0"/>
              <w:right w:val="nil"/>
            </w:tcBorders>
            <w:vAlign w:val="center"/>
          </w:tcPr>
          <w:p w14:paraId="597359C7">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投资估算(万元)</w:t>
            </w:r>
          </w:p>
        </w:tc>
      </w:tr>
      <w:tr w14:paraId="0B2A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35" w:type="dxa"/>
            <w:tcBorders>
              <w:left w:val="nil"/>
            </w:tcBorders>
            <w:vAlign w:val="center"/>
          </w:tcPr>
          <w:p w14:paraId="0E1814CA">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650" w:type="dxa"/>
            <w:vMerge w:val="restart"/>
            <w:vAlign w:val="center"/>
          </w:tcPr>
          <w:p w14:paraId="7361CB00">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施工期</w:t>
            </w:r>
          </w:p>
        </w:tc>
        <w:tc>
          <w:tcPr>
            <w:tcW w:w="1884" w:type="dxa"/>
            <w:vAlign w:val="center"/>
          </w:tcPr>
          <w:p w14:paraId="7AC2E4E7">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eastAsia="zh-CN"/>
              </w:rPr>
            </w:pPr>
            <w:r>
              <w:rPr>
                <w:rFonts w:hint="eastAsia" w:cs="Times New Roman"/>
                <w:color w:val="auto"/>
                <w:sz w:val="21"/>
                <w:szCs w:val="21"/>
                <w:highlight w:val="none"/>
                <w:lang w:eastAsia="zh-CN"/>
              </w:rPr>
              <w:t>施工粉尘</w:t>
            </w:r>
          </w:p>
        </w:tc>
        <w:tc>
          <w:tcPr>
            <w:tcW w:w="4304" w:type="dxa"/>
            <w:vAlign w:val="center"/>
          </w:tcPr>
          <w:p w14:paraId="17BD2064">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水雾抑尘</w:t>
            </w:r>
          </w:p>
        </w:tc>
        <w:tc>
          <w:tcPr>
            <w:tcW w:w="1713" w:type="dxa"/>
            <w:tcBorders>
              <w:right w:val="nil"/>
            </w:tcBorders>
            <w:vAlign w:val="center"/>
          </w:tcPr>
          <w:p w14:paraId="70F4C8DA">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w:t>
            </w:r>
          </w:p>
        </w:tc>
      </w:tr>
      <w:tr w14:paraId="6E7B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735" w:type="dxa"/>
            <w:tcBorders>
              <w:left w:val="nil"/>
            </w:tcBorders>
            <w:vAlign w:val="center"/>
          </w:tcPr>
          <w:p w14:paraId="13904221">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650" w:type="dxa"/>
            <w:vMerge w:val="continue"/>
            <w:vAlign w:val="center"/>
          </w:tcPr>
          <w:p w14:paraId="218FE139">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eastAsia="zh-CN"/>
              </w:rPr>
            </w:pPr>
          </w:p>
        </w:tc>
        <w:tc>
          <w:tcPr>
            <w:tcW w:w="1884" w:type="dxa"/>
            <w:vAlign w:val="center"/>
          </w:tcPr>
          <w:p w14:paraId="508C494A">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eastAsia="zh-CN"/>
              </w:rPr>
            </w:pPr>
            <w:r>
              <w:rPr>
                <w:rFonts w:hint="eastAsia" w:cs="Times New Roman"/>
                <w:color w:val="auto"/>
                <w:sz w:val="21"/>
                <w:szCs w:val="21"/>
                <w:highlight w:val="none"/>
                <w:lang w:eastAsia="zh-CN"/>
              </w:rPr>
              <w:t>施工噪声</w:t>
            </w:r>
          </w:p>
        </w:tc>
        <w:tc>
          <w:tcPr>
            <w:tcW w:w="4304" w:type="dxa"/>
            <w:vAlign w:val="center"/>
          </w:tcPr>
          <w:p w14:paraId="1DACBB01">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eastAsia="zh-CN"/>
              </w:rPr>
            </w:pPr>
            <w:r>
              <w:rPr>
                <w:rFonts w:hint="eastAsia" w:cs="Times New Roman"/>
                <w:color w:val="auto"/>
                <w:sz w:val="21"/>
                <w:szCs w:val="21"/>
                <w:highlight w:val="none"/>
                <w:lang w:eastAsia="zh-CN"/>
              </w:rPr>
              <w:t>加强维护</w:t>
            </w:r>
          </w:p>
        </w:tc>
        <w:tc>
          <w:tcPr>
            <w:tcW w:w="1713" w:type="dxa"/>
            <w:tcBorders>
              <w:right w:val="nil"/>
            </w:tcBorders>
            <w:vAlign w:val="center"/>
          </w:tcPr>
          <w:p w14:paraId="7D2F0881">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0.5</w:t>
            </w:r>
          </w:p>
        </w:tc>
      </w:tr>
      <w:tr w14:paraId="1A35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735" w:type="dxa"/>
            <w:tcBorders>
              <w:left w:val="nil"/>
            </w:tcBorders>
            <w:vAlign w:val="center"/>
          </w:tcPr>
          <w:p w14:paraId="4857A208">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c>
          <w:tcPr>
            <w:tcW w:w="650" w:type="dxa"/>
            <w:vMerge w:val="continue"/>
            <w:vAlign w:val="center"/>
          </w:tcPr>
          <w:p w14:paraId="10B27C3E">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eastAsia="zh-CN"/>
              </w:rPr>
            </w:pPr>
          </w:p>
        </w:tc>
        <w:tc>
          <w:tcPr>
            <w:tcW w:w="1884" w:type="dxa"/>
            <w:vAlign w:val="center"/>
          </w:tcPr>
          <w:p w14:paraId="0C18E2FD">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eastAsia="zh-CN"/>
              </w:rPr>
            </w:pPr>
            <w:r>
              <w:rPr>
                <w:rFonts w:hint="eastAsia" w:cs="Times New Roman"/>
                <w:color w:val="auto"/>
                <w:sz w:val="21"/>
                <w:szCs w:val="21"/>
                <w:highlight w:val="none"/>
                <w:lang w:eastAsia="zh-CN"/>
              </w:rPr>
              <w:t>建筑垃圾</w:t>
            </w:r>
          </w:p>
        </w:tc>
        <w:tc>
          <w:tcPr>
            <w:tcW w:w="4304" w:type="dxa"/>
            <w:vAlign w:val="center"/>
          </w:tcPr>
          <w:p w14:paraId="18FE3835">
            <w:pPr>
              <w:jc w:val="center"/>
              <w:rPr>
                <w:rFonts w:hint="eastAsia" w:cs="Times New Roman"/>
                <w:color w:val="auto"/>
                <w:sz w:val="21"/>
                <w:szCs w:val="21"/>
                <w:highlight w:val="none"/>
                <w:lang w:eastAsia="zh-CN"/>
              </w:rPr>
            </w:pPr>
            <w:r>
              <w:rPr>
                <w:rFonts w:hint="eastAsia"/>
                <w:b w:val="0"/>
                <w:bCs/>
                <w:color w:val="auto"/>
                <w:kern w:val="0"/>
                <w:sz w:val="21"/>
                <w:szCs w:val="21"/>
                <w:highlight w:val="none"/>
                <w:lang w:eastAsia="zh-CN"/>
              </w:rPr>
              <w:t>建筑垃圾清运处置</w:t>
            </w:r>
          </w:p>
        </w:tc>
        <w:tc>
          <w:tcPr>
            <w:tcW w:w="1713" w:type="dxa"/>
            <w:tcBorders>
              <w:right w:val="nil"/>
            </w:tcBorders>
            <w:vAlign w:val="center"/>
          </w:tcPr>
          <w:p w14:paraId="64607354">
            <w:pPr>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67C0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735" w:type="dxa"/>
            <w:tcBorders>
              <w:left w:val="nil"/>
            </w:tcBorders>
            <w:vAlign w:val="center"/>
          </w:tcPr>
          <w:p w14:paraId="435CDEFA">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w:t>
            </w:r>
          </w:p>
        </w:tc>
        <w:tc>
          <w:tcPr>
            <w:tcW w:w="650" w:type="dxa"/>
            <w:vMerge w:val="continue"/>
            <w:vAlign w:val="center"/>
          </w:tcPr>
          <w:p w14:paraId="79536250">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eastAsia="zh-CN"/>
              </w:rPr>
            </w:pPr>
          </w:p>
        </w:tc>
        <w:tc>
          <w:tcPr>
            <w:tcW w:w="1884" w:type="dxa"/>
            <w:vAlign w:val="center"/>
          </w:tcPr>
          <w:p w14:paraId="258459AB">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eastAsia="zh-CN"/>
              </w:rPr>
            </w:pPr>
            <w:r>
              <w:rPr>
                <w:rFonts w:hint="eastAsia" w:cs="Times New Roman"/>
                <w:color w:val="auto"/>
                <w:sz w:val="21"/>
                <w:szCs w:val="21"/>
                <w:highlight w:val="none"/>
                <w:lang w:eastAsia="zh-CN"/>
              </w:rPr>
              <w:t>生活垃圾</w:t>
            </w:r>
          </w:p>
        </w:tc>
        <w:tc>
          <w:tcPr>
            <w:tcW w:w="4304" w:type="dxa"/>
            <w:vAlign w:val="center"/>
          </w:tcPr>
          <w:p w14:paraId="4FD7AEF3">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eastAsia="zh-CN"/>
              </w:rPr>
            </w:pPr>
            <w:r>
              <w:rPr>
                <w:rFonts w:hint="eastAsia" w:cs="Times New Roman"/>
                <w:color w:val="auto"/>
                <w:sz w:val="21"/>
                <w:szCs w:val="21"/>
                <w:highlight w:val="none"/>
                <w:lang w:eastAsia="zh-CN"/>
              </w:rPr>
              <w:t>垃圾箱</w:t>
            </w:r>
          </w:p>
        </w:tc>
        <w:tc>
          <w:tcPr>
            <w:tcW w:w="1713" w:type="dxa"/>
            <w:tcBorders>
              <w:right w:val="nil"/>
            </w:tcBorders>
            <w:vAlign w:val="center"/>
          </w:tcPr>
          <w:p w14:paraId="2B3BD38F">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0.1</w:t>
            </w:r>
          </w:p>
        </w:tc>
      </w:tr>
      <w:tr w14:paraId="2C75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35" w:type="dxa"/>
            <w:tcBorders>
              <w:left w:val="nil"/>
            </w:tcBorders>
            <w:vAlign w:val="center"/>
          </w:tcPr>
          <w:p w14:paraId="61B59F0B">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w:t>
            </w:r>
          </w:p>
        </w:tc>
        <w:tc>
          <w:tcPr>
            <w:tcW w:w="650" w:type="dxa"/>
            <w:vMerge w:val="restart"/>
            <w:vAlign w:val="center"/>
          </w:tcPr>
          <w:p w14:paraId="371253DB">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营运期</w:t>
            </w:r>
          </w:p>
        </w:tc>
        <w:tc>
          <w:tcPr>
            <w:tcW w:w="1884" w:type="dxa"/>
            <w:vAlign w:val="center"/>
          </w:tcPr>
          <w:p w14:paraId="1B43F28B">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eastAsia="zh-CN"/>
              </w:rPr>
              <w:t>污水站恶臭气体</w:t>
            </w:r>
          </w:p>
        </w:tc>
        <w:tc>
          <w:tcPr>
            <w:tcW w:w="4304" w:type="dxa"/>
            <w:vAlign w:val="center"/>
          </w:tcPr>
          <w:p w14:paraId="0AD13D0E">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污水处理设施加盖封闭，</w:t>
            </w:r>
            <w:r>
              <w:rPr>
                <w:rFonts w:hint="eastAsia" w:cs="Times New Roman"/>
                <w:color w:val="FF0000"/>
                <w:sz w:val="21"/>
                <w:szCs w:val="21"/>
                <w:highlight w:val="none"/>
                <w:lang w:val="en-US" w:eastAsia="zh-CN"/>
              </w:rPr>
              <w:t>投放除臭剂</w:t>
            </w:r>
            <w:r>
              <w:rPr>
                <w:rFonts w:hint="eastAsia" w:cs="Times New Roman"/>
                <w:color w:val="auto"/>
                <w:sz w:val="21"/>
                <w:szCs w:val="21"/>
                <w:highlight w:val="none"/>
                <w:lang w:val="en-US" w:eastAsia="zh-CN"/>
              </w:rPr>
              <w:t>，</w:t>
            </w:r>
            <w:r>
              <w:rPr>
                <w:rFonts w:hint="eastAsia" w:cs="Times New Roman"/>
                <w:color w:val="auto"/>
                <w:sz w:val="21"/>
                <w:szCs w:val="21"/>
                <w:highlight w:val="none"/>
                <w:lang w:eastAsia="zh-CN"/>
              </w:rPr>
              <w:t>盆栽植物绿化吸收</w:t>
            </w:r>
          </w:p>
        </w:tc>
        <w:tc>
          <w:tcPr>
            <w:tcW w:w="1713" w:type="dxa"/>
            <w:tcBorders>
              <w:right w:val="nil"/>
            </w:tcBorders>
            <w:vAlign w:val="center"/>
          </w:tcPr>
          <w:p w14:paraId="1303DA61">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0.5</w:t>
            </w:r>
          </w:p>
        </w:tc>
      </w:tr>
      <w:tr w14:paraId="419A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735" w:type="dxa"/>
            <w:tcBorders>
              <w:left w:val="nil"/>
            </w:tcBorders>
            <w:vAlign w:val="center"/>
          </w:tcPr>
          <w:p w14:paraId="3A151386">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6</w:t>
            </w:r>
          </w:p>
        </w:tc>
        <w:tc>
          <w:tcPr>
            <w:tcW w:w="650" w:type="dxa"/>
            <w:vMerge w:val="continue"/>
            <w:vAlign w:val="center"/>
          </w:tcPr>
          <w:p w14:paraId="03422A4C">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eastAsia="zh-CN"/>
              </w:rPr>
            </w:pPr>
          </w:p>
        </w:tc>
        <w:tc>
          <w:tcPr>
            <w:tcW w:w="1884" w:type="dxa"/>
            <w:vAlign w:val="center"/>
          </w:tcPr>
          <w:p w14:paraId="17598ECD">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olor w:val="auto"/>
                <w:sz w:val="21"/>
                <w:szCs w:val="21"/>
                <w:highlight w:val="none"/>
                <w:lang w:eastAsia="zh-CN"/>
              </w:rPr>
            </w:pPr>
            <w:r>
              <w:rPr>
                <w:rFonts w:hint="eastAsia"/>
                <w:color w:val="auto"/>
                <w:sz w:val="21"/>
                <w:szCs w:val="21"/>
                <w:highlight w:val="none"/>
                <w:lang w:eastAsia="zh-CN"/>
              </w:rPr>
              <w:t>医疗废水</w:t>
            </w:r>
          </w:p>
        </w:tc>
        <w:tc>
          <w:tcPr>
            <w:tcW w:w="4304" w:type="dxa"/>
            <w:vAlign w:val="center"/>
          </w:tcPr>
          <w:p w14:paraId="0D2FF4B6">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auto"/>
                <w:highlight w:val="none"/>
                <w:lang w:eastAsia="zh-CN"/>
              </w:rPr>
              <w:t>一体化</w:t>
            </w:r>
            <w:r>
              <w:rPr>
                <w:rFonts w:hint="default" w:ascii="Times New Roman" w:hAnsi="Times New Roman" w:cs="Times New Roman"/>
                <w:color w:val="auto"/>
                <w:highlight w:val="none"/>
              </w:rPr>
              <w:t>污水处理设施</w:t>
            </w:r>
          </w:p>
        </w:tc>
        <w:tc>
          <w:tcPr>
            <w:tcW w:w="1713" w:type="dxa"/>
            <w:tcBorders>
              <w:right w:val="nil"/>
            </w:tcBorders>
            <w:vAlign w:val="center"/>
          </w:tcPr>
          <w:p w14:paraId="147DD2FE">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4.8</w:t>
            </w:r>
          </w:p>
        </w:tc>
      </w:tr>
      <w:tr w14:paraId="433E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735" w:type="dxa"/>
            <w:tcBorders>
              <w:left w:val="nil"/>
            </w:tcBorders>
            <w:vAlign w:val="center"/>
          </w:tcPr>
          <w:p w14:paraId="0EA28C8D">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w:t>
            </w:r>
          </w:p>
        </w:tc>
        <w:tc>
          <w:tcPr>
            <w:tcW w:w="650" w:type="dxa"/>
            <w:vMerge w:val="continue"/>
            <w:vAlign w:val="center"/>
          </w:tcPr>
          <w:p w14:paraId="29C971BD">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rPr>
            </w:pPr>
          </w:p>
        </w:tc>
        <w:tc>
          <w:tcPr>
            <w:tcW w:w="1884" w:type="dxa"/>
            <w:vAlign w:val="center"/>
          </w:tcPr>
          <w:p w14:paraId="7256D1E4">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噪声</w:t>
            </w:r>
          </w:p>
        </w:tc>
        <w:tc>
          <w:tcPr>
            <w:tcW w:w="4304" w:type="dxa"/>
            <w:vAlign w:val="center"/>
          </w:tcPr>
          <w:p w14:paraId="5861BD66">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减振、柔性连接、隔声</w:t>
            </w:r>
            <w:r>
              <w:rPr>
                <w:rFonts w:hint="default" w:ascii="Times New Roman" w:hAnsi="Times New Roman" w:cs="Times New Roman"/>
                <w:color w:val="auto"/>
                <w:sz w:val="21"/>
                <w:szCs w:val="21"/>
                <w:highlight w:val="none"/>
              </w:rPr>
              <w:t>。</w:t>
            </w:r>
          </w:p>
        </w:tc>
        <w:tc>
          <w:tcPr>
            <w:tcW w:w="1713" w:type="dxa"/>
            <w:tcBorders>
              <w:right w:val="nil"/>
            </w:tcBorders>
            <w:vAlign w:val="center"/>
          </w:tcPr>
          <w:p w14:paraId="6110C976">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04CB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735" w:type="dxa"/>
            <w:tcBorders>
              <w:left w:val="nil"/>
            </w:tcBorders>
            <w:vAlign w:val="center"/>
          </w:tcPr>
          <w:p w14:paraId="34CE3ACC">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w:t>
            </w:r>
          </w:p>
        </w:tc>
        <w:tc>
          <w:tcPr>
            <w:tcW w:w="650" w:type="dxa"/>
            <w:vMerge w:val="continue"/>
            <w:vAlign w:val="center"/>
          </w:tcPr>
          <w:p w14:paraId="0B05FDB4">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rPr>
            </w:pPr>
          </w:p>
        </w:tc>
        <w:tc>
          <w:tcPr>
            <w:tcW w:w="1884" w:type="dxa"/>
            <w:vAlign w:val="center"/>
          </w:tcPr>
          <w:p w14:paraId="3D66A1DE">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医疗废物</w:t>
            </w:r>
          </w:p>
        </w:tc>
        <w:tc>
          <w:tcPr>
            <w:tcW w:w="4304" w:type="dxa"/>
            <w:vAlign w:val="center"/>
          </w:tcPr>
          <w:p w14:paraId="05482948">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w:t>
            </w:r>
            <w:r>
              <w:rPr>
                <w:rFonts w:hint="eastAsia" w:cs="Times New Roman"/>
                <w:color w:val="auto"/>
                <w:sz w:val="21"/>
                <w:szCs w:val="21"/>
                <w:highlight w:val="none"/>
                <w:lang w:eastAsia="zh-CN"/>
              </w:rPr>
              <w:t>医疗</w:t>
            </w:r>
            <w:r>
              <w:rPr>
                <w:rFonts w:hint="default" w:ascii="Times New Roman" w:hAnsi="Times New Roman" w:cs="Times New Roman"/>
                <w:color w:val="auto"/>
                <w:sz w:val="21"/>
                <w:szCs w:val="21"/>
                <w:highlight w:val="none"/>
                <w:lang w:eastAsia="zh-CN"/>
              </w:rPr>
              <w:t>废物暂存设施</w:t>
            </w:r>
            <w:r>
              <w:rPr>
                <w:rFonts w:hint="default" w:ascii="Times New Roman" w:hAnsi="Times New Roman" w:cs="Times New Roman"/>
                <w:color w:val="auto"/>
                <w:sz w:val="21"/>
                <w:szCs w:val="21"/>
                <w:highlight w:val="none"/>
              </w:rPr>
              <w:t>1处，面积</w:t>
            </w:r>
            <w:r>
              <w:rPr>
                <w:rFonts w:hint="eastAsia" w:cs="Times New Roman"/>
                <w:color w:val="auto"/>
                <w:sz w:val="21"/>
                <w:szCs w:val="21"/>
                <w:highlight w:val="none"/>
                <w:lang w:val="en-US" w:eastAsia="zh-CN"/>
              </w:rPr>
              <w:t>6</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2</w:t>
            </w:r>
            <w:r>
              <w:rPr>
                <w:rFonts w:hint="default" w:ascii="Times New Roman" w:hAnsi="Times New Roman" w:cs="Times New Roman"/>
                <w:color w:val="auto"/>
                <w:sz w:val="21"/>
                <w:szCs w:val="21"/>
                <w:highlight w:val="none"/>
              </w:rPr>
              <w:t>。</w:t>
            </w:r>
          </w:p>
        </w:tc>
        <w:tc>
          <w:tcPr>
            <w:tcW w:w="1713" w:type="dxa"/>
            <w:tcBorders>
              <w:right w:val="nil"/>
            </w:tcBorders>
            <w:vAlign w:val="center"/>
          </w:tcPr>
          <w:p w14:paraId="017B14F7">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r>
      <w:tr w14:paraId="2342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735" w:type="dxa"/>
            <w:tcBorders>
              <w:left w:val="nil"/>
            </w:tcBorders>
            <w:vAlign w:val="center"/>
          </w:tcPr>
          <w:p w14:paraId="1F6E685C">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w:t>
            </w:r>
          </w:p>
        </w:tc>
        <w:tc>
          <w:tcPr>
            <w:tcW w:w="650" w:type="dxa"/>
            <w:vMerge w:val="continue"/>
            <w:vAlign w:val="center"/>
          </w:tcPr>
          <w:p w14:paraId="47F831AD">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rPr>
            </w:pPr>
          </w:p>
        </w:tc>
        <w:tc>
          <w:tcPr>
            <w:tcW w:w="1884" w:type="dxa"/>
            <w:vAlign w:val="center"/>
          </w:tcPr>
          <w:p w14:paraId="74E038A9">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生活垃圾</w:t>
            </w:r>
          </w:p>
        </w:tc>
        <w:tc>
          <w:tcPr>
            <w:tcW w:w="4304" w:type="dxa"/>
            <w:vAlign w:val="center"/>
          </w:tcPr>
          <w:p w14:paraId="53548588">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2个封闭式垃圾箱</w:t>
            </w:r>
          </w:p>
        </w:tc>
        <w:tc>
          <w:tcPr>
            <w:tcW w:w="1713" w:type="dxa"/>
            <w:tcBorders>
              <w:right w:val="nil"/>
            </w:tcBorders>
            <w:vAlign w:val="center"/>
          </w:tcPr>
          <w:p w14:paraId="0F598988">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0.1</w:t>
            </w:r>
          </w:p>
        </w:tc>
      </w:tr>
      <w:tr w14:paraId="19D7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735" w:type="dxa"/>
            <w:tcBorders>
              <w:left w:val="nil"/>
            </w:tcBorders>
            <w:vAlign w:val="center"/>
          </w:tcPr>
          <w:p w14:paraId="18143D83">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c>
          <w:tcPr>
            <w:tcW w:w="650" w:type="dxa"/>
            <w:vMerge w:val="continue"/>
            <w:vAlign w:val="center"/>
          </w:tcPr>
          <w:p w14:paraId="3033BE4B">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rPr>
            </w:pPr>
          </w:p>
        </w:tc>
        <w:tc>
          <w:tcPr>
            <w:tcW w:w="1884" w:type="dxa"/>
            <w:vAlign w:val="center"/>
          </w:tcPr>
          <w:p w14:paraId="1685342F">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cs="Times New Roman"/>
                <w:color w:val="auto"/>
                <w:sz w:val="21"/>
                <w:szCs w:val="21"/>
                <w:highlight w:val="none"/>
                <w:lang w:eastAsia="zh-CN"/>
              </w:rPr>
            </w:pPr>
            <w:r>
              <w:rPr>
                <w:rFonts w:hint="eastAsia"/>
                <w:color w:val="auto"/>
                <w:sz w:val="21"/>
                <w:szCs w:val="21"/>
                <w:highlight w:val="none"/>
                <w:vertAlign w:val="baseline"/>
                <w:lang w:eastAsia="zh-CN"/>
              </w:rPr>
              <w:t>环境风险</w:t>
            </w:r>
          </w:p>
        </w:tc>
        <w:tc>
          <w:tcPr>
            <w:tcW w:w="4304" w:type="dxa"/>
            <w:vAlign w:val="center"/>
          </w:tcPr>
          <w:p w14:paraId="56CB1E81">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lang w:val="en-US" w:eastAsia="zh-CN"/>
              </w:rPr>
              <w:t>1座6m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vertAlign w:val="baseline"/>
                <w:lang w:val="en-US" w:eastAsia="zh-CN"/>
              </w:rPr>
              <w:t>事故池</w:t>
            </w:r>
          </w:p>
        </w:tc>
        <w:tc>
          <w:tcPr>
            <w:tcW w:w="1713" w:type="dxa"/>
            <w:tcBorders>
              <w:right w:val="nil"/>
            </w:tcBorders>
            <w:vAlign w:val="center"/>
          </w:tcPr>
          <w:p w14:paraId="79968848">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r>
      <w:tr w14:paraId="6E63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735" w:type="dxa"/>
            <w:tcBorders>
              <w:left w:val="nil"/>
              <w:bottom w:val="single" w:color="auto" w:sz="12" w:space="0"/>
            </w:tcBorders>
            <w:vAlign w:val="center"/>
          </w:tcPr>
          <w:p w14:paraId="43C57460">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合计</w:t>
            </w:r>
          </w:p>
        </w:tc>
        <w:tc>
          <w:tcPr>
            <w:tcW w:w="6838" w:type="dxa"/>
            <w:gridSpan w:val="3"/>
            <w:tcBorders>
              <w:bottom w:val="single" w:color="auto" w:sz="12" w:space="0"/>
            </w:tcBorders>
            <w:vAlign w:val="center"/>
          </w:tcPr>
          <w:p w14:paraId="4FCAAB06">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1713" w:type="dxa"/>
            <w:tcBorders>
              <w:bottom w:val="single" w:color="auto" w:sz="12" w:space="0"/>
              <w:right w:val="nil"/>
            </w:tcBorders>
            <w:vAlign w:val="center"/>
          </w:tcPr>
          <w:p w14:paraId="611FF04B">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11.1</w:t>
            </w:r>
          </w:p>
        </w:tc>
      </w:tr>
    </w:tbl>
    <w:p w14:paraId="15B7782D">
      <w:pPr>
        <w:adjustRightInd w:val="0"/>
        <w:snapToGrid w:val="0"/>
        <w:spacing w:line="360" w:lineRule="auto"/>
        <w:rPr>
          <w:rFonts w:hint="default" w:ascii="Times New Roman" w:hAnsi="Times New Roman" w:cs="Times New Roman"/>
          <w:b/>
          <w:bCs/>
          <w:color w:val="auto"/>
          <w:sz w:val="28"/>
          <w:szCs w:val="28"/>
          <w:highlight w:val="none"/>
        </w:rPr>
      </w:pPr>
      <w:r>
        <w:rPr>
          <w:rFonts w:hint="eastAsia" w:cs="Times New Roman"/>
          <w:b/>
          <w:bCs/>
          <w:color w:val="auto"/>
          <w:sz w:val="28"/>
          <w:szCs w:val="28"/>
          <w:highlight w:val="none"/>
          <w:lang w:val="en-US" w:eastAsia="zh-CN"/>
        </w:rPr>
        <w:t>9</w:t>
      </w:r>
      <w:r>
        <w:rPr>
          <w:rFonts w:hint="default" w:ascii="Times New Roman" w:hAnsi="Times New Roman" w:cs="Times New Roman"/>
          <w:b/>
          <w:bCs/>
          <w:color w:val="auto"/>
          <w:sz w:val="28"/>
          <w:szCs w:val="28"/>
          <w:highlight w:val="none"/>
        </w:rPr>
        <w:t>“三同时”验收</w:t>
      </w:r>
    </w:p>
    <w:p w14:paraId="554F959C">
      <w:pPr>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境保护“三同时”是指建设项目的防治污染设施与主体工程同时设计、同时施工、同时投产使用。建设项目环保验收是环境保护“三同时”全过程管理中最后一道程序，也是环境保护投资转化为环境效益的标志，建设项目环保验收不仅是对项目前期环境评价、配套环境设施建设等各阶段环境管理效果的最终检查和测试，也是保证建设项目在今后运行中实现污染物稳定达标的主要手段。本项目的环境保护“三同时”验收一览表详见表</w:t>
      </w:r>
      <w:r>
        <w:rPr>
          <w:rFonts w:hint="eastAsia" w:cs="Times New Roman"/>
          <w:color w:val="auto"/>
          <w:sz w:val="24"/>
          <w:szCs w:val="24"/>
          <w:highlight w:val="none"/>
          <w:lang w:val="en-US" w:eastAsia="zh-CN"/>
        </w:rPr>
        <w:t>47</w:t>
      </w:r>
      <w:r>
        <w:rPr>
          <w:rFonts w:hint="default" w:ascii="Times New Roman" w:hAnsi="Times New Roman" w:cs="Times New Roman"/>
          <w:color w:val="auto"/>
          <w:sz w:val="24"/>
          <w:szCs w:val="24"/>
          <w:highlight w:val="none"/>
        </w:rPr>
        <w:t>。</w:t>
      </w:r>
    </w:p>
    <w:p w14:paraId="6A52B12F">
      <w:pPr>
        <w:adjustRightInd w:val="0"/>
        <w:snapToGrid w:val="0"/>
        <w:spacing w:line="360" w:lineRule="auto"/>
        <w:jc w:val="both"/>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w:t>
      </w:r>
      <w:r>
        <w:rPr>
          <w:rFonts w:hint="eastAsia" w:cs="Times New Roman"/>
          <w:b/>
          <w:bCs/>
          <w:color w:val="auto"/>
          <w:highlight w:val="none"/>
          <w:lang w:val="en-US" w:eastAsia="zh-CN"/>
        </w:rPr>
        <w:t xml:space="preserve">47                           </w:t>
      </w:r>
      <w:r>
        <w:rPr>
          <w:rFonts w:hint="default" w:ascii="Times New Roman" w:hAnsi="Times New Roman" w:cs="Times New Roman"/>
          <w:b/>
          <w:bCs/>
          <w:color w:val="auto"/>
          <w:highlight w:val="none"/>
        </w:rPr>
        <w:t>本项目“三同时”验收一览表</w:t>
      </w:r>
    </w:p>
    <w:tbl>
      <w:tblPr>
        <w:tblStyle w:val="24"/>
        <w:tblW w:w="924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89"/>
        <w:gridCol w:w="1277"/>
        <w:gridCol w:w="1313"/>
        <w:gridCol w:w="2737"/>
        <w:gridCol w:w="663"/>
        <w:gridCol w:w="2769"/>
      </w:tblGrid>
      <w:tr w14:paraId="3E3E5D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4" w:hRule="atLeast"/>
          <w:tblHeader/>
          <w:jc w:val="center"/>
        </w:trPr>
        <w:tc>
          <w:tcPr>
            <w:tcW w:w="489" w:type="dxa"/>
            <w:tcBorders>
              <w:top w:val="single" w:color="auto" w:sz="12" w:space="0"/>
            </w:tcBorders>
            <w:vAlign w:val="center"/>
          </w:tcPr>
          <w:p w14:paraId="34F2E361">
            <w:pPr>
              <w:ind w:left="-105" w:leftChars="-50" w:right="-105" w:rightChars="-5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项目</w:t>
            </w:r>
          </w:p>
        </w:tc>
        <w:tc>
          <w:tcPr>
            <w:tcW w:w="1277" w:type="dxa"/>
            <w:tcBorders>
              <w:top w:val="single" w:color="auto" w:sz="12" w:space="0"/>
            </w:tcBorders>
            <w:vAlign w:val="center"/>
          </w:tcPr>
          <w:p w14:paraId="000E01EE">
            <w:pPr>
              <w:ind w:left="-105" w:leftChars="-50" w:right="-105" w:rightChars="-50"/>
              <w:jc w:val="center"/>
              <w:rPr>
                <w:rFonts w:hint="eastAsia" w:ascii="Times New Roman" w:hAnsi="Times New Roman" w:eastAsia="宋体" w:cs="Times New Roman"/>
                <w:b/>
                <w:bCs/>
                <w:color w:val="auto"/>
                <w:sz w:val="21"/>
                <w:szCs w:val="21"/>
                <w:highlight w:val="none"/>
                <w:lang w:eastAsia="zh-CN"/>
              </w:rPr>
            </w:pPr>
            <w:r>
              <w:rPr>
                <w:rFonts w:hint="eastAsia" w:cs="Times New Roman"/>
                <w:b/>
                <w:bCs/>
                <w:color w:val="auto"/>
                <w:sz w:val="21"/>
                <w:szCs w:val="21"/>
                <w:highlight w:val="none"/>
                <w:lang w:eastAsia="zh-CN"/>
              </w:rPr>
              <w:t>验收项目</w:t>
            </w:r>
          </w:p>
        </w:tc>
        <w:tc>
          <w:tcPr>
            <w:tcW w:w="1313" w:type="dxa"/>
            <w:tcBorders>
              <w:top w:val="single" w:color="auto" w:sz="12" w:space="0"/>
            </w:tcBorders>
            <w:vAlign w:val="center"/>
          </w:tcPr>
          <w:p w14:paraId="2AC2D70E">
            <w:pPr>
              <w:ind w:left="-105" w:leftChars="-50" w:right="-105" w:rightChars="-50"/>
              <w:jc w:val="center"/>
              <w:rPr>
                <w:rFonts w:hint="eastAsia" w:cs="Times New Roman"/>
                <w:b/>
                <w:bCs/>
                <w:color w:val="auto"/>
                <w:sz w:val="21"/>
                <w:szCs w:val="21"/>
                <w:highlight w:val="none"/>
                <w:lang w:eastAsia="zh-CN"/>
              </w:rPr>
            </w:pPr>
            <w:r>
              <w:rPr>
                <w:rFonts w:hint="eastAsia" w:cs="Times New Roman"/>
                <w:b/>
                <w:bCs/>
                <w:color w:val="auto"/>
                <w:sz w:val="21"/>
                <w:szCs w:val="21"/>
                <w:highlight w:val="none"/>
                <w:lang w:eastAsia="zh-CN"/>
              </w:rPr>
              <w:t>污染物</w:t>
            </w:r>
          </w:p>
        </w:tc>
        <w:tc>
          <w:tcPr>
            <w:tcW w:w="2737" w:type="dxa"/>
            <w:tcBorders>
              <w:top w:val="single" w:color="auto" w:sz="12" w:space="0"/>
            </w:tcBorders>
            <w:vAlign w:val="center"/>
          </w:tcPr>
          <w:p w14:paraId="662493A5">
            <w:pPr>
              <w:ind w:left="-105" w:leftChars="-50" w:right="-105" w:rightChars="-5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污染防治措施</w:t>
            </w:r>
          </w:p>
        </w:tc>
        <w:tc>
          <w:tcPr>
            <w:tcW w:w="663" w:type="dxa"/>
            <w:tcBorders>
              <w:top w:val="single" w:color="auto" w:sz="12" w:space="0"/>
            </w:tcBorders>
            <w:vAlign w:val="center"/>
          </w:tcPr>
          <w:p w14:paraId="124F1E92">
            <w:pPr>
              <w:ind w:left="-105" w:leftChars="-50" w:right="-105" w:rightChars="-50"/>
              <w:jc w:val="center"/>
              <w:rPr>
                <w:rFonts w:hint="eastAsia" w:ascii="Times New Roman" w:hAnsi="Times New Roman" w:eastAsia="宋体" w:cs="Times New Roman"/>
                <w:b/>
                <w:bCs/>
                <w:color w:val="auto"/>
                <w:sz w:val="21"/>
                <w:szCs w:val="21"/>
                <w:highlight w:val="none"/>
                <w:lang w:eastAsia="zh-CN"/>
              </w:rPr>
            </w:pPr>
            <w:r>
              <w:rPr>
                <w:rFonts w:hint="eastAsia" w:cs="Times New Roman"/>
                <w:b/>
                <w:bCs/>
                <w:color w:val="auto"/>
                <w:sz w:val="21"/>
                <w:szCs w:val="21"/>
                <w:highlight w:val="none"/>
                <w:lang w:eastAsia="zh-CN"/>
              </w:rPr>
              <w:t>数量</w:t>
            </w:r>
          </w:p>
        </w:tc>
        <w:tc>
          <w:tcPr>
            <w:tcW w:w="2769" w:type="dxa"/>
            <w:tcBorders>
              <w:top w:val="single" w:color="auto" w:sz="12" w:space="0"/>
            </w:tcBorders>
            <w:vAlign w:val="center"/>
          </w:tcPr>
          <w:p w14:paraId="6BF2D08F">
            <w:pPr>
              <w:ind w:left="-105" w:leftChars="-50" w:right="-105" w:rightChars="-5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验收标准</w:t>
            </w:r>
          </w:p>
        </w:tc>
      </w:tr>
      <w:tr w14:paraId="0985C6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025" w:hRule="atLeast"/>
          <w:jc w:val="center"/>
        </w:trPr>
        <w:tc>
          <w:tcPr>
            <w:tcW w:w="489" w:type="dxa"/>
            <w:vMerge w:val="restart"/>
            <w:vAlign w:val="center"/>
          </w:tcPr>
          <w:p w14:paraId="73F10821">
            <w:pPr>
              <w:ind w:left="-105" w:leftChars="-50" w:right="-105" w:rightChars="-50"/>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废气</w:t>
            </w:r>
          </w:p>
        </w:tc>
        <w:tc>
          <w:tcPr>
            <w:tcW w:w="1277" w:type="dxa"/>
            <w:vAlign w:val="center"/>
          </w:tcPr>
          <w:p w14:paraId="78948F1E">
            <w:pPr>
              <w:ind w:left="-105" w:leftChars="-50" w:right="-105" w:rightChars="-5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污水处理站恶臭气体</w:t>
            </w:r>
          </w:p>
        </w:tc>
        <w:tc>
          <w:tcPr>
            <w:tcW w:w="1313" w:type="dxa"/>
            <w:vAlign w:val="center"/>
          </w:tcPr>
          <w:p w14:paraId="5F94DB49">
            <w:pPr>
              <w:ind w:left="-105" w:leftChars="-50" w:right="-105" w:rightChars="-50"/>
              <w:jc w:val="center"/>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臭气浓度、</w:t>
            </w:r>
            <w:r>
              <w:rPr>
                <w:rFonts w:hint="eastAsia" w:cs="Times New Roman"/>
                <w:color w:val="auto"/>
                <w:sz w:val="21"/>
                <w:szCs w:val="21"/>
                <w:highlight w:val="none"/>
                <w:lang w:val="en-US" w:eastAsia="zh-CN"/>
              </w:rPr>
              <w:t>NH</w:t>
            </w:r>
            <w:r>
              <w:rPr>
                <w:rFonts w:hint="eastAsia" w:cs="Times New Roman"/>
                <w:color w:val="auto"/>
                <w:sz w:val="21"/>
                <w:szCs w:val="21"/>
                <w:highlight w:val="none"/>
                <w:vertAlign w:val="subscript"/>
                <w:lang w:val="en-US" w:eastAsia="zh-CN"/>
              </w:rPr>
              <w:t>3</w:t>
            </w:r>
            <w:r>
              <w:rPr>
                <w:rFonts w:hint="eastAsia" w:cs="Times New Roman"/>
                <w:color w:val="auto"/>
                <w:sz w:val="21"/>
                <w:szCs w:val="21"/>
                <w:highlight w:val="none"/>
                <w:lang w:val="en-US" w:eastAsia="zh-CN"/>
              </w:rPr>
              <w:t>、H</w:t>
            </w:r>
            <w:r>
              <w:rPr>
                <w:rFonts w:hint="eastAsia" w:cs="Times New Roman"/>
                <w:color w:val="auto"/>
                <w:sz w:val="21"/>
                <w:szCs w:val="21"/>
                <w:highlight w:val="none"/>
                <w:vertAlign w:val="subscript"/>
                <w:lang w:val="en-US" w:eastAsia="zh-CN"/>
              </w:rPr>
              <w:t>2</w:t>
            </w:r>
            <w:r>
              <w:rPr>
                <w:rFonts w:hint="eastAsia" w:cs="Times New Roman"/>
                <w:color w:val="auto"/>
                <w:sz w:val="21"/>
                <w:szCs w:val="21"/>
                <w:highlight w:val="none"/>
                <w:lang w:val="en-US" w:eastAsia="zh-CN"/>
              </w:rPr>
              <w:t>S</w:t>
            </w:r>
          </w:p>
        </w:tc>
        <w:tc>
          <w:tcPr>
            <w:tcW w:w="2737" w:type="dxa"/>
            <w:vAlign w:val="center"/>
          </w:tcPr>
          <w:p w14:paraId="2F69ED8D">
            <w:pPr>
              <w:adjustRightInd w:val="0"/>
              <w:snapToGrid w:val="0"/>
              <w:ind w:left="-105" w:leftChars="-50" w:right="-105" w:rightChars="-50"/>
              <w:jc w:val="center"/>
              <w:rPr>
                <w:rFonts w:hint="default" w:ascii="Times New Roman" w:hAnsi="Times New Roman" w:eastAsia="宋体" w:cs="Times New Roman"/>
                <w:color w:val="auto"/>
                <w:sz w:val="21"/>
                <w:szCs w:val="21"/>
                <w:highlight w:val="none"/>
              </w:rPr>
            </w:pPr>
            <w:r>
              <w:rPr>
                <w:rFonts w:hint="eastAsia" w:ascii="Times New Roman" w:hAnsi="Times New Roman" w:cs="Times New Roman"/>
                <w:i w:val="0"/>
                <w:caps w:val="0"/>
                <w:color w:val="auto"/>
                <w:spacing w:val="0"/>
                <w:sz w:val="21"/>
                <w:szCs w:val="21"/>
                <w:highlight w:val="none"/>
                <w:shd w:val="clear" w:fill="FFFFFF"/>
                <w:lang w:val="en-US" w:eastAsia="zh-CN"/>
              </w:rPr>
              <w:t>污水处理</w:t>
            </w:r>
            <w:r>
              <w:rPr>
                <w:rFonts w:hint="eastAsia" w:cs="Times New Roman"/>
                <w:i w:val="0"/>
                <w:caps w:val="0"/>
                <w:color w:val="auto"/>
                <w:spacing w:val="0"/>
                <w:sz w:val="21"/>
                <w:szCs w:val="21"/>
                <w:highlight w:val="none"/>
                <w:shd w:val="clear" w:fill="FFFFFF"/>
                <w:lang w:val="en-US" w:eastAsia="zh-CN"/>
              </w:rPr>
              <w:t>设施加盖</w:t>
            </w:r>
            <w:r>
              <w:rPr>
                <w:rFonts w:hint="eastAsia" w:ascii="Times New Roman" w:hAnsi="Times New Roman" w:cs="Times New Roman"/>
                <w:i w:val="0"/>
                <w:caps w:val="0"/>
                <w:color w:val="auto"/>
                <w:spacing w:val="0"/>
                <w:sz w:val="21"/>
                <w:szCs w:val="21"/>
                <w:highlight w:val="none"/>
                <w:shd w:val="clear" w:fill="FFFFFF"/>
                <w:lang w:val="en-US" w:eastAsia="zh-CN"/>
              </w:rPr>
              <w:t>封闭</w:t>
            </w:r>
            <w:r>
              <w:rPr>
                <w:rFonts w:hint="eastAsia" w:cs="Times New Roman"/>
                <w:i w:val="0"/>
                <w:caps w:val="0"/>
                <w:color w:val="auto"/>
                <w:spacing w:val="0"/>
                <w:sz w:val="21"/>
                <w:szCs w:val="21"/>
                <w:highlight w:val="none"/>
                <w:shd w:val="clear" w:fill="FFFFFF"/>
                <w:lang w:val="en-US" w:eastAsia="zh-CN"/>
              </w:rPr>
              <w:t>，</w:t>
            </w:r>
            <w:r>
              <w:rPr>
                <w:rFonts w:hint="eastAsia" w:cs="Times New Roman"/>
                <w:i w:val="0"/>
                <w:caps w:val="0"/>
                <w:color w:val="FF0000"/>
                <w:spacing w:val="0"/>
                <w:sz w:val="21"/>
                <w:szCs w:val="21"/>
                <w:highlight w:val="none"/>
                <w:shd w:val="clear" w:fill="FFFFFF"/>
                <w:lang w:val="en-US" w:eastAsia="zh-CN"/>
              </w:rPr>
              <w:t>投放除臭剂，</w:t>
            </w:r>
            <w:r>
              <w:rPr>
                <w:rFonts w:hint="eastAsia" w:ascii="宋体" w:hAnsi="宋体" w:cs="宋体"/>
                <w:color w:val="auto"/>
                <w:sz w:val="21"/>
                <w:szCs w:val="21"/>
                <w:highlight w:val="none"/>
                <w:lang w:eastAsia="zh-CN"/>
              </w:rPr>
              <w:t>周边</w:t>
            </w:r>
            <w:r>
              <w:rPr>
                <w:rFonts w:hint="eastAsia" w:ascii="宋体" w:hAnsi="宋体" w:cs="宋体"/>
                <w:color w:val="auto"/>
                <w:sz w:val="21"/>
                <w:szCs w:val="21"/>
                <w:highlight w:val="none"/>
              </w:rPr>
              <w:t>放置</w:t>
            </w:r>
            <w:r>
              <w:rPr>
                <w:rFonts w:hint="eastAsia" w:ascii="宋体" w:hAnsi="宋体" w:cs="宋体"/>
                <w:color w:val="auto"/>
                <w:sz w:val="21"/>
                <w:szCs w:val="21"/>
                <w:highlight w:val="none"/>
                <w:lang w:eastAsia="zh-CN"/>
              </w:rPr>
              <w:t>吸附恶臭气体较强的</w:t>
            </w:r>
            <w:r>
              <w:rPr>
                <w:rFonts w:hint="eastAsia" w:ascii="宋体" w:hAnsi="宋体" w:cs="宋体"/>
                <w:color w:val="auto"/>
                <w:sz w:val="21"/>
                <w:szCs w:val="21"/>
                <w:highlight w:val="none"/>
              </w:rPr>
              <w:t>盆栽植物进行绿化吸收</w:t>
            </w:r>
          </w:p>
        </w:tc>
        <w:tc>
          <w:tcPr>
            <w:tcW w:w="663" w:type="dxa"/>
            <w:vAlign w:val="center"/>
          </w:tcPr>
          <w:p w14:paraId="3ED8EE4A">
            <w:pPr>
              <w:adjustRightInd w:val="0"/>
              <w:snapToGrid w:val="0"/>
              <w:ind w:left="-105" w:leftChars="-50" w:right="-105" w:rightChars="-5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769" w:type="dxa"/>
            <w:vAlign w:val="center"/>
          </w:tcPr>
          <w:p w14:paraId="55B2736B">
            <w:pPr>
              <w:ind w:left="-105" w:leftChars="-50" w:right="-105" w:rightChars="-50"/>
              <w:jc w:val="center"/>
              <w:rPr>
                <w:rFonts w:hint="default" w:ascii="Times New Roman" w:hAnsi="Times New Roman" w:eastAsia="宋体" w:cs="Times New Roman"/>
                <w:color w:val="auto"/>
                <w:sz w:val="21"/>
                <w:szCs w:val="21"/>
                <w:highlight w:val="none"/>
              </w:rPr>
            </w:pPr>
            <w:r>
              <w:rPr>
                <w:color w:val="auto"/>
                <w:sz w:val="21"/>
                <w:szCs w:val="21"/>
                <w:highlight w:val="none"/>
              </w:rPr>
              <w:t>《</w:t>
            </w:r>
            <w:r>
              <w:rPr>
                <w:rFonts w:hint="eastAsia"/>
                <w:color w:val="auto"/>
                <w:sz w:val="21"/>
                <w:szCs w:val="21"/>
                <w:highlight w:val="none"/>
              </w:rPr>
              <w:t>医疗机构水污染物排放</w:t>
            </w:r>
            <w:r>
              <w:rPr>
                <w:color w:val="auto"/>
                <w:sz w:val="21"/>
                <w:szCs w:val="21"/>
                <w:highlight w:val="none"/>
              </w:rPr>
              <w:t>标准》（</w:t>
            </w:r>
            <w:r>
              <w:rPr>
                <w:rFonts w:hint="eastAsia"/>
                <w:color w:val="auto"/>
                <w:sz w:val="21"/>
                <w:szCs w:val="21"/>
                <w:highlight w:val="none"/>
              </w:rPr>
              <w:t>GB18466-2005</w:t>
            </w:r>
            <w:r>
              <w:rPr>
                <w:color w:val="auto"/>
                <w:sz w:val="21"/>
                <w:szCs w:val="21"/>
                <w:highlight w:val="none"/>
              </w:rPr>
              <w:t>）</w:t>
            </w:r>
            <w:r>
              <w:rPr>
                <w:rFonts w:hint="eastAsia"/>
                <w:color w:val="auto"/>
                <w:sz w:val="21"/>
                <w:szCs w:val="21"/>
                <w:highlight w:val="none"/>
              </w:rPr>
              <w:t>要求中“污水处理站周边大气污染物最高允许浓度”标准</w:t>
            </w:r>
          </w:p>
        </w:tc>
      </w:tr>
      <w:tr w14:paraId="23D298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3" w:hRule="atLeast"/>
          <w:jc w:val="center"/>
        </w:trPr>
        <w:tc>
          <w:tcPr>
            <w:tcW w:w="489" w:type="dxa"/>
            <w:vMerge w:val="continue"/>
            <w:vAlign w:val="center"/>
          </w:tcPr>
          <w:p w14:paraId="5C8C8FD4">
            <w:pPr>
              <w:ind w:left="-105" w:leftChars="-50" w:right="-105" w:rightChars="-50"/>
              <w:jc w:val="center"/>
              <w:rPr>
                <w:rFonts w:hint="eastAsia" w:cs="Times New Roman"/>
                <w:color w:val="auto"/>
                <w:sz w:val="21"/>
                <w:szCs w:val="21"/>
                <w:highlight w:val="none"/>
                <w:lang w:eastAsia="zh-CN"/>
              </w:rPr>
            </w:pPr>
          </w:p>
        </w:tc>
        <w:tc>
          <w:tcPr>
            <w:tcW w:w="1277" w:type="dxa"/>
            <w:vAlign w:val="center"/>
          </w:tcPr>
          <w:p w14:paraId="109518DD">
            <w:pPr>
              <w:ind w:left="-105" w:leftChars="-50" w:right="-105" w:rightChars="-5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中药异味</w:t>
            </w:r>
          </w:p>
        </w:tc>
        <w:tc>
          <w:tcPr>
            <w:tcW w:w="1313" w:type="dxa"/>
            <w:vAlign w:val="center"/>
          </w:tcPr>
          <w:p w14:paraId="70DED4F0">
            <w:pPr>
              <w:ind w:left="-105" w:leftChars="-50" w:right="-105" w:rightChars="-50"/>
              <w:jc w:val="center"/>
              <w:rPr>
                <w:rFonts w:hint="eastAsia" w:cs="Times New Roman"/>
                <w:color w:val="auto"/>
                <w:sz w:val="21"/>
                <w:szCs w:val="21"/>
                <w:highlight w:val="none"/>
                <w:lang w:eastAsia="zh-CN"/>
              </w:rPr>
            </w:pPr>
            <w:r>
              <w:rPr>
                <w:rFonts w:hint="eastAsia" w:cs="Times New Roman"/>
                <w:color w:val="auto"/>
                <w:sz w:val="21"/>
                <w:szCs w:val="21"/>
                <w:highlight w:val="none"/>
                <w:lang w:eastAsia="zh-CN"/>
              </w:rPr>
              <w:t>臭气浓度</w:t>
            </w:r>
          </w:p>
        </w:tc>
        <w:tc>
          <w:tcPr>
            <w:tcW w:w="2737" w:type="dxa"/>
            <w:vAlign w:val="center"/>
          </w:tcPr>
          <w:p w14:paraId="7B2EDF90">
            <w:pPr>
              <w:adjustRightInd w:val="0"/>
              <w:snapToGrid w:val="0"/>
              <w:ind w:left="-105" w:leftChars="-50" w:right="-105" w:rightChars="-50"/>
              <w:jc w:val="center"/>
              <w:rPr>
                <w:rFonts w:hint="default" w:ascii="Times New Roman" w:hAnsi="Times New Roman" w:cs="Times New Roman"/>
                <w:i w:val="0"/>
                <w:caps w:val="0"/>
                <w:color w:val="auto"/>
                <w:spacing w:val="0"/>
                <w:sz w:val="21"/>
                <w:szCs w:val="21"/>
                <w:highlight w:val="none"/>
                <w:shd w:val="clear" w:fill="FFFFFF"/>
                <w:lang w:val="en-US" w:eastAsia="zh-CN"/>
              </w:rPr>
            </w:pPr>
            <w:r>
              <w:rPr>
                <w:rFonts w:hint="eastAsia"/>
                <w:color w:val="auto"/>
                <w:highlight w:val="none"/>
                <w:lang w:val="zh-CN"/>
              </w:rPr>
              <w:t>通风、自然扩散</w:t>
            </w:r>
          </w:p>
        </w:tc>
        <w:tc>
          <w:tcPr>
            <w:tcW w:w="663" w:type="dxa"/>
            <w:vAlign w:val="center"/>
          </w:tcPr>
          <w:p w14:paraId="44CD565B">
            <w:pPr>
              <w:adjustRightInd w:val="0"/>
              <w:snapToGrid w:val="0"/>
              <w:ind w:left="-105" w:leftChars="-50" w:right="-105" w:rightChars="-5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769" w:type="dxa"/>
            <w:vAlign w:val="center"/>
          </w:tcPr>
          <w:p w14:paraId="317A8C37">
            <w:pPr>
              <w:ind w:left="-105" w:leftChars="-50" w:right="-105" w:rightChars="-50"/>
              <w:jc w:val="center"/>
              <w:rPr>
                <w:rFonts w:hint="eastAsia" w:eastAsia="宋体"/>
                <w:color w:val="auto"/>
                <w:sz w:val="21"/>
                <w:szCs w:val="21"/>
                <w:highlight w:val="none"/>
                <w:lang w:eastAsia="zh-CN"/>
              </w:rPr>
            </w:pPr>
            <w:r>
              <w:rPr>
                <w:rFonts w:hint="eastAsia"/>
                <w:color w:val="auto"/>
                <w:sz w:val="21"/>
                <w:szCs w:val="21"/>
                <w:highlight w:val="none"/>
                <w:lang w:val="en-US" w:eastAsia="zh-CN"/>
              </w:rPr>
              <w:t>《恶臭污染物排放标准》（GB14554-93）表1要求</w:t>
            </w:r>
          </w:p>
        </w:tc>
      </w:tr>
      <w:tr w14:paraId="606D94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015" w:hRule="atLeast"/>
          <w:jc w:val="center"/>
        </w:trPr>
        <w:tc>
          <w:tcPr>
            <w:tcW w:w="489" w:type="dxa"/>
            <w:vMerge w:val="restart"/>
            <w:vAlign w:val="center"/>
          </w:tcPr>
          <w:p w14:paraId="05B5A731">
            <w:pPr>
              <w:ind w:left="-105" w:leftChars="-50" w:right="-105"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废水</w:t>
            </w:r>
          </w:p>
        </w:tc>
        <w:tc>
          <w:tcPr>
            <w:tcW w:w="1277" w:type="dxa"/>
            <w:vAlign w:val="center"/>
          </w:tcPr>
          <w:p w14:paraId="1A464E4A">
            <w:pPr>
              <w:ind w:left="-105" w:leftChars="-50" w:right="-105" w:rightChars="-5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医疗废水</w:t>
            </w:r>
          </w:p>
        </w:tc>
        <w:tc>
          <w:tcPr>
            <w:tcW w:w="1313" w:type="dxa"/>
            <w:vAlign w:val="center"/>
          </w:tcPr>
          <w:p w14:paraId="2BDCA64D">
            <w:pPr>
              <w:ind w:left="-105" w:leftChars="-50" w:right="-105" w:rightChars="-50"/>
              <w:jc w:val="both"/>
              <w:rPr>
                <w:rFonts w:hint="eastAsia" w:ascii="Times New Roman" w:hAnsi="Times New Roman" w:eastAsia="宋体" w:cs="Times New Roman"/>
                <w:color w:val="auto"/>
                <w:sz w:val="21"/>
                <w:szCs w:val="21"/>
                <w:highlight w:val="none"/>
                <w:vertAlign w:val="baseline"/>
                <w:lang w:eastAsia="zh-CN"/>
              </w:rPr>
            </w:pPr>
            <w:r>
              <w:rPr>
                <w:rFonts w:hint="eastAsia"/>
                <w:color w:val="auto"/>
                <w:sz w:val="21"/>
                <w:szCs w:val="21"/>
                <w:highlight w:val="none"/>
                <w:vertAlign w:val="baseline"/>
                <w:lang w:val="en-US" w:eastAsia="zh-CN"/>
              </w:rPr>
              <w:t>COD、SS、氨氮、</w:t>
            </w:r>
            <w:r>
              <w:rPr>
                <w:rFonts w:hint="default" w:ascii="Times New Roman" w:hAnsi="Times New Roman" w:cs="Times New Roman"/>
                <w:color w:val="auto"/>
                <w:sz w:val="21"/>
                <w:szCs w:val="21"/>
                <w:highlight w:val="none"/>
              </w:rPr>
              <w:t>粪大肠菌群数</w:t>
            </w:r>
          </w:p>
        </w:tc>
        <w:tc>
          <w:tcPr>
            <w:tcW w:w="2737" w:type="dxa"/>
            <w:vAlign w:val="center"/>
          </w:tcPr>
          <w:p w14:paraId="6E3E8972">
            <w:pPr>
              <w:adjustRightInd w:val="0"/>
              <w:snapToGrid w:val="0"/>
              <w:ind w:left="-105" w:leftChars="-50" w:right="-105" w:rightChars="-50"/>
              <w:jc w:val="center"/>
              <w:rPr>
                <w:rFonts w:hint="eastAsia" w:ascii="Times New Roman" w:hAnsi="Times New Roman" w:eastAsia="宋体" w:cs="Times New Roman"/>
                <w:color w:val="auto"/>
                <w:sz w:val="21"/>
                <w:szCs w:val="21"/>
                <w:highlight w:val="none"/>
                <w:lang w:eastAsia="zh-CN"/>
              </w:rPr>
            </w:pPr>
            <w:r>
              <w:rPr>
                <w:rFonts w:hint="eastAsia" w:cs="Times New Roman"/>
                <w:color w:val="auto"/>
                <w:kern w:val="0"/>
                <w:sz w:val="21"/>
                <w:szCs w:val="21"/>
                <w:highlight w:val="none"/>
                <w:lang w:eastAsia="zh-CN"/>
              </w:rPr>
              <w:t>一体化</w:t>
            </w:r>
            <w:r>
              <w:rPr>
                <w:rFonts w:hint="default" w:ascii="Times New Roman" w:hAnsi="Times New Roman" w:eastAsia="宋体" w:cs="Times New Roman"/>
                <w:color w:val="auto"/>
                <w:kern w:val="0"/>
                <w:sz w:val="21"/>
                <w:szCs w:val="21"/>
                <w:highlight w:val="none"/>
              </w:rPr>
              <w:t>污水处理设施</w:t>
            </w:r>
            <w:r>
              <w:rPr>
                <w:rFonts w:hint="eastAsia" w:cs="Times New Roman"/>
                <w:color w:val="auto"/>
                <w:kern w:val="0"/>
                <w:sz w:val="21"/>
                <w:szCs w:val="21"/>
                <w:highlight w:val="none"/>
                <w:lang w:eastAsia="zh-CN"/>
              </w:rPr>
              <w:t>（</w:t>
            </w:r>
            <w:r>
              <w:rPr>
                <w:rFonts w:hint="eastAsia" w:ascii="Times New Roman" w:hAnsi="Times New Roman" w:cs="Times New Roman"/>
                <w:color w:val="auto"/>
                <w:sz w:val="21"/>
                <w:szCs w:val="21"/>
                <w:highlight w:val="none"/>
              </w:rPr>
              <w:t>格栅+调节池+絮凝沉淀+消毒</w:t>
            </w:r>
            <w:r>
              <w:rPr>
                <w:rFonts w:hint="eastAsia" w:cs="Times New Roman"/>
                <w:color w:val="auto"/>
                <w:sz w:val="21"/>
                <w:szCs w:val="21"/>
                <w:highlight w:val="none"/>
                <w:lang w:val="en-US" w:eastAsia="zh-CN"/>
              </w:rPr>
              <w:t>工艺</w:t>
            </w:r>
            <w:r>
              <w:rPr>
                <w:rFonts w:hint="eastAsia" w:cs="Times New Roman"/>
                <w:color w:val="auto"/>
                <w:kern w:val="0"/>
                <w:sz w:val="21"/>
                <w:szCs w:val="21"/>
                <w:highlight w:val="none"/>
                <w:lang w:eastAsia="zh-CN"/>
              </w:rPr>
              <w:t>）</w:t>
            </w:r>
          </w:p>
        </w:tc>
        <w:tc>
          <w:tcPr>
            <w:tcW w:w="663" w:type="dxa"/>
            <w:vAlign w:val="center"/>
          </w:tcPr>
          <w:p w14:paraId="7747A1AF">
            <w:pPr>
              <w:adjustRightInd w:val="0"/>
              <w:snapToGrid w:val="0"/>
              <w:ind w:left="-105" w:leftChars="-50" w:right="-105" w:rightChars="-5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1套</w:t>
            </w:r>
          </w:p>
        </w:tc>
        <w:tc>
          <w:tcPr>
            <w:tcW w:w="2769" w:type="dxa"/>
            <w:vAlign w:val="center"/>
          </w:tcPr>
          <w:p w14:paraId="1579FFEE">
            <w:pPr>
              <w:ind w:left="-105" w:leftChars="-50" w:right="-105"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highlight w:val="none"/>
              </w:rPr>
              <w:t>医疗机构废水执行《医疗机构水污染物排放标准》（GB18466-2005）</w:t>
            </w:r>
            <w:r>
              <w:rPr>
                <w:rFonts w:hint="eastAsia" w:cs="Times New Roman"/>
                <w:color w:val="auto"/>
                <w:highlight w:val="none"/>
                <w:lang w:eastAsia="zh-CN"/>
              </w:rPr>
              <w:t>表</w:t>
            </w:r>
            <w:r>
              <w:rPr>
                <w:rFonts w:hint="eastAsia" w:cs="Times New Roman"/>
                <w:color w:val="auto"/>
                <w:highlight w:val="none"/>
                <w:lang w:val="en-US" w:eastAsia="zh-CN"/>
              </w:rPr>
              <w:t>2预处理</w:t>
            </w:r>
            <w:r>
              <w:rPr>
                <w:rFonts w:hint="default" w:ascii="Times New Roman" w:hAnsi="Times New Roman" w:cs="Times New Roman"/>
                <w:color w:val="auto"/>
                <w:highlight w:val="none"/>
              </w:rPr>
              <w:t>标准</w:t>
            </w:r>
          </w:p>
        </w:tc>
      </w:tr>
      <w:tr w14:paraId="44C887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489" w:type="dxa"/>
            <w:vMerge w:val="continue"/>
            <w:vAlign w:val="center"/>
          </w:tcPr>
          <w:p w14:paraId="10374694">
            <w:pPr>
              <w:ind w:left="-105" w:leftChars="-50" w:right="-105" w:rightChars="-50"/>
              <w:jc w:val="center"/>
              <w:rPr>
                <w:rFonts w:hint="default" w:ascii="Times New Roman" w:hAnsi="Times New Roman" w:cs="Times New Roman"/>
                <w:color w:val="auto"/>
                <w:sz w:val="21"/>
                <w:szCs w:val="21"/>
                <w:highlight w:val="none"/>
              </w:rPr>
            </w:pPr>
          </w:p>
        </w:tc>
        <w:tc>
          <w:tcPr>
            <w:tcW w:w="1277" w:type="dxa"/>
            <w:vAlign w:val="center"/>
          </w:tcPr>
          <w:p w14:paraId="629918A2">
            <w:pPr>
              <w:ind w:left="-105" w:leftChars="-50" w:right="-105" w:rightChars="-5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eastAsia="zh-CN"/>
              </w:rPr>
              <w:t>生活污水</w:t>
            </w:r>
          </w:p>
        </w:tc>
        <w:tc>
          <w:tcPr>
            <w:tcW w:w="1313" w:type="dxa"/>
            <w:vAlign w:val="center"/>
          </w:tcPr>
          <w:p w14:paraId="31FE99E5">
            <w:pPr>
              <w:ind w:left="-105" w:leftChars="-50" w:right="-105" w:rightChars="-50"/>
              <w:jc w:val="both"/>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COD、SS、氨氮</w:t>
            </w:r>
          </w:p>
        </w:tc>
        <w:tc>
          <w:tcPr>
            <w:tcW w:w="2737" w:type="dxa"/>
            <w:vAlign w:val="center"/>
          </w:tcPr>
          <w:p w14:paraId="69AAB43C">
            <w:pPr>
              <w:adjustRightInd w:val="0"/>
              <w:snapToGrid w:val="0"/>
              <w:ind w:left="-105" w:leftChars="-50" w:right="-105" w:rightChars="-50"/>
              <w:jc w:val="center"/>
              <w:rPr>
                <w:rFonts w:hint="eastAsia" w:cs="Times New Roman"/>
                <w:color w:val="auto"/>
                <w:kern w:val="0"/>
                <w:sz w:val="21"/>
                <w:szCs w:val="21"/>
                <w:highlight w:val="none"/>
                <w:lang w:eastAsia="zh-CN"/>
              </w:rPr>
            </w:pPr>
            <w:r>
              <w:rPr>
                <w:rFonts w:hint="default" w:ascii="Times New Roman" w:hAnsi="Times New Roman" w:eastAsia="宋体" w:cs="Times New Roman"/>
                <w:color w:val="auto"/>
                <w:highlight w:val="none"/>
              </w:rPr>
              <w:t>生活污水进入小区内设的化粪池进行预处理后进入城市污水管网。</w:t>
            </w:r>
          </w:p>
        </w:tc>
        <w:tc>
          <w:tcPr>
            <w:tcW w:w="663" w:type="dxa"/>
            <w:vAlign w:val="center"/>
          </w:tcPr>
          <w:p w14:paraId="435F158C">
            <w:pPr>
              <w:adjustRightInd w:val="0"/>
              <w:snapToGrid w:val="0"/>
              <w:ind w:left="-105" w:leftChars="-50" w:right="-105" w:rightChars="-5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769" w:type="dxa"/>
            <w:vAlign w:val="center"/>
          </w:tcPr>
          <w:p w14:paraId="025057AE">
            <w:pPr>
              <w:ind w:left="-105" w:leftChars="-50" w:right="-105"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highlight w:val="none"/>
              </w:rPr>
              <w:t>满足</w:t>
            </w:r>
            <w:r>
              <w:rPr>
                <w:rFonts w:hint="default" w:ascii="Times New Roman" w:hAnsi="Times New Roman" w:cs="Times New Roman"/>
                <w:smallCaps/>
                <w:color w:val="auto"/>
                <w:highlight w:val="none"/>
              </w:rPr>
              <w:t>《辽宁省污水综合排放标准》(DB21/1627-2008)表2标准</w:t>
            </w:r>
          </w:p>
        </w:tc>
      </w:tr>
      <w:tr w14:paraId="7807D4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144" w:hRule="atLeast"/>
          <w:jc w:val="center"/>
        </w:trPr>
        <w:tc>
          <w:tcPr>
            <w:tcW w:w="489" w:type="dxa"/>
            <w:vAlign w:val="center"/>
          </w:tcPr>
          <w:p w14:paraId="02F1243F">
            <w:pPr>
              <w:ind w:left="-105" w:leftChars="-50" w:right="-105"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w:t>
            </w:r>
          </w:p>
        </w:tc>
        <w:tc>
          <w:tcPr>
            <w:tcW w:w="1277" w:type="dxa"/>
            <w:vAlign w:val="center"/>
          </w:tcPr>
          <w:p w14:paraId="110B8F78">
            <w:pPr>
              <w:ind w:left="-105" w:leftChars="-50" w:right="-105" w:rightChars="-50"/>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院界噪声</w:t>
            </w:r>
          </w:p>
        </w:tc>
        <w:tc>
          <w:tcPr>
            <w:tcW w:w="1313" w:type="dxa"/>
            <w:vAlign w:val="center"/>
          </w:tcPr>
          <w:p w14:paraId="7AE736E7">
            <w:pPr>
              <w:ind w:left="-105" w:leftChars="-50" w:right="-105" w:rightChars="-50"/>
              <w:jc w:val="center"/>
              <w:rPr>
                <w:rFonts w:hint="eastAsia" w:cs="Times New Roman"/>
                <w:color w:val="auto"/>
                <w:sz w:val="21"/>
                <w:szCs w:val="21"/>
                <w:highlight w:val="none"/>
                <w:lang w:eastAsia="zh-CN"/>
              </w:rPr>
            </w:pPr>
            <w:r>
              <w:rPr>
                <w:rFonts w:hint="eastAsia" w:cs="Times New Roman"/>
                <w:color w:val="auto"/>
                <w:sz w:val="21"/>
                <w:szCs w:val="21"/>
                <w:highlight w:val="none"/>
                <w:lang w:eastAsia="zh-CN"/>
              </w:rPr>
              <w:t>噪声级</w:t>
            </w:r>
          </w:p>
        </w:tc>
        <w:tc>
          <w:tcPr>
            <w:tcW w:w="2737" w:type="dxa"/>
            <w:vAlign w:val="center"/>
          </w:tcPr>
          <w:p w14:paraId="5587A367">
            <w:pPr>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基础减振、管道柔性连接、隔声、禁止鸣笛</w:t>
            </w:r>
          </w:p>
        </w:tc>
        <w:tc>
          <w:tcPr>
            <w:tcW w:w="663" w:type="dxa"/>
            <w:vAlign w:val="center"/>
          </w:tcPr>
          <w:p w14:paraId="68F52B8D">
            <w:pPr>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w:t>
            </w:r>
          </w:p>
        </w:tc>
        <w:tc>
          <w:tcPr>
            <w:tcW w:w="2769" w:type="dxa"/>
            <w:vAlign w:val="center"/>
          </w:tcPr>
          <w:p w14:paraId="57315E32">
            <w:pPr>
              <w:ind w:left="-105" w:leftChars="-50" w:right="-105" w:rightChars="-5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院界噪声</w:t>
            </w:r>
            <w:r>
              <w:rPr>
                <w:rFonts w:hint="default" w:ascii="Times New Roman" w:hAnsi="Times New Roman" w:cs="Times New Roman"/>
                <w:color w:val="auto"/>
                <w:sz w:val="21"/>
                <w:szCs w:val="21"/>
                <w:highlight w:val="none"/>
              </w:rPr>
              <w:t>满足《工业企业厂界环境噪声排放标准》（GB12348-2008）中</w:t>
            </w:r>
            <w:r>
              <w:rPr>
                <w:rFonts w:hint="eastAsia"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类、4类标准要求。</w:t>
            </w:r>
            <w:r>
              <w:rPr>
                <w:rFonts w:hint="eastAsia" w:cs="Times New Roman"/>
                <w:b w:val="0"/>
                <w:bCs w:val="0"/>
                <w:smallCaps/>
                <w:color w:val="auto"/>
                <w:sz w:val="21"/>
                <w:szCs w:val="21"/>
                <w:highlight w:val="none"/>
                <w:lang w:eastAsia="zh-CN"/>
              </w:rPr>
              <w:t>病房满足</w:t>
            </w:r>
            <w:r>
              <w:rPr>
                <w:rFonts w:hint="default" w:ascii="Times New Roman" w:hAnsi="Times New Roman" w:eastAsia="宋体" w:cs="Times New Roman"/>
                <w:b w:val="0"/>
                <w:bCs w:val="0"/>
                <w:color w:val="auto"/>
                <w:sz w:val="21"/>
                <w:szCs w:val="21"/>
                <w:highlight w:val="none"/>
              </w:rPr>
              <w:t>《工业企业厂界环境噪声排放标准》（GB12348-2008）</w:t>
            </w:r>
            <w:r>
              <w:rPr>
                <w:rFonts w:hint="default" w:ascii="Times New Roman" w:hAnsi="Times New Roman" w:eastAsia="宋体" w:cs="Times New Roman"/>
                <w:b w:val="0"/>
                <w:bCs w:val="0"/>
                <w:smallCaps/>
                <w:color w:val="auto"/>
                <w:sz w:val="21"/>
                <w:szCs w:val="21"/>
                <w:highlight w:val="none"/>
              </w:rPr>
              <w:t>中</w:t>
            </w:r>
            <w:r>
              <w:rPr>
                <w:rFonts w:hint="eastAsia" w:cs="Times New Roman"/>
                <w:color w:val="auto"/>
                <w:sz w:val="21"/>
                <w:szCs w:val="21"/>
                <w:highlight w:val="none"/>
                <w:lang w:val="en-US" w:eastAsia="zh-CN"/>
              </w:rPr>
              <w:t>2</w:t>
            </w:r>
            <w:r>
              <w:rPr>
                <w:rFonts w:hint="eastAsia" w:ascii="Times New Roman" w:hAnsi="Times New Roman" w:cs="Times New Roman"/>
                <w:color w:val="auto"/>
                <w:sz w:val="21"/>
                <w:szCs w:val="21"/>
                <w:highlight w:val="none"/>
                <w:lang w:eastAsia="zh-CN"/>
              </w:rPr>
              <w:t>类功能区A类</w:t>
            </w:r>
            <w:r>
              <w:rPr>
                <w:rFonts w:hint="eastAsia" w:ascii="Times New Roman" w:hAnsi="Times New Roman" w:cs="Times New Roman"/>
                <w:color w:val="auto"/>
                <w:sz w:val="21"/>
                <w:szCs w:val="21"/>
                <w:highlight w:val="none"/>
              </w:rPr>
              <w:t>房间标准</w:t>
            </w:r>
            <w:r>
              <w:rPr>
                <w:rFonts w:hint="eastAsia" w:ascii="Times New Roman" w:hAnsi="Times New Roman" w:cs="Times New Roman"/>
                <w:color w:val="auto"/>
                <w:sz w:val="21"/>
                <w:szCs w:val="21"/>
                <w:highlight w:val="none"/>
                <w:lang w:eastAsia="zh-CN"/>
              </w:rPr>
              <w:t>，即昼间45dB</w:t>
            </w:r>
            <w:r>
              <w:rPr>
                <w:rFonts w:hint="default" w:ascii="Times New Roman" w:hAnsi="Times New Roman" w:cs="Times New Roman"/>
                <w:color w:val="auto"/>
                <w:sz w:val="21"/>
                <w:szCs w:val="21"/>
                <w:highlight w:val="none"/>
              </w:rPr>
              <w:t>(A)</w:t>
            </w:r>
            <w:r>
              <w:rPr>
                <w:rFonts w:hint="eastAsia"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lang w:eastAsia="zh-CN"/>
              </w:rPr>
              <w:t>夜间35dB</w:t>
            </w:r>
            <w:r>
              <w:rPr>
                <w:rFonts w:hint="default" w:ascii="Times New Roman" w:hAnsi="Times New Roman" w:cs="Times New Roman"/>
                <w:color w:val="auto"/>
                <w:sz w:val="21"/>
                <w:szCs w:val="21"/>
                <w:highlight w:val="none"/>
              </w:rPr>
              <w:t>(A)</w:t>
            </w:r>
            <w:r>
              <w:rPr>
                <w:rFonts w:hint="eastAsia" w:ascii="Times New Roman" w:hAnsi="Times New Roman" w:cs="Times New Roman"/>
                <w:color w:val="auto"/>
                <w:sz w:val="21"/>
                <w:szCs w:val="21"/>
                <w:highlight w:val="none"/>
              </w:rPr>
              <w:t>。</w:t>
            </w:r>
          </w:p>
        </w:tc>
      </w:tr>
      <w:tr w14:paraId="508A12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362" w:hRule="atLeast"/>
          <w:jc w:val="center"/>
        </w:trPr>
        <w:tc>
          <w:tcPr>
            <w:tcW w:w="489" w:type="dxa"/>
            <w:vMerge w:val="restart"/>
            <w:vAlign w:val="center"/>
          </w:tcPr>
          <w:p w14:paraId="0F77F8FC">
            <w:pPr>
              <w:ind w:left="-105" w:leftChars="-50" w:right="-105"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固废</w:t>
            </w:r>
          </w:p>
        </w:tc>
        <w:tc>
          <w:tcPr>
            <w:tcW w:w="1277" w:type="dxa"/>
            <w:vAlign w:val="center"/>
          </w:tcPr>
          <w:p w14:paraId="2A2C2A04">
            <w:pPr>
              <w:ind w:left="-105" w:leftChars="-50" w:right="-105" w:rightChars="-50"/>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医疗废物</w:t>
            </w:r>
          </w:p>
        </w:tc>
        <w:tc>
          <w:tcPr>
            <w:tcW w:w="1313" w:type="dxa"/>
            <w:vAlign w:val="center"/>
          </w:tcPr>
          <w:p w14:paraId="2DF53C69">
            <w:pPr>
              <w:ind w:left="-105" w:leftChars="-50" w:right="-105"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医疗废物</w:t>
            </w:r>
            <w:r>
              <w:rPr>
                <w:rFonts w:hint="eastAsia" w:cs="Times New Roman"/>
                <w:color w:val="auto"/>
                <w:sz w:val="21"/>
                <w:szCs w:val="21"/>
                <w:highlight w:val="none"/>
                <w:lang w:eastAsia="zh-CN"/>
              </w:rPr>
              <w:t>、污泥及栅渣</w:t>
            </w:r>
          </w:p>
        </w:tc>
        <w:tc>
          <w:tcPr>
            <w:tcW w:w="2737" w:type="dxa"/>
            <w:vAlign w:val="center"/>
          </w:tcPr>
          <w:p w14:paraId="74A168EC">
            <w:pPr>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医疗废物分类收集后暂存于医疗废物暂存间，定期</w:t>
            </w:r>
            <w:r>
              <w:rPr>
                <w:rFonts w:hint="default" w:ascii="Times New Roman" w:hAnsi="Times New Roman" w:cs="Times New Roman"/>
                <w:color w:val="auto"/>
                <w:sz w:val="21"/>
                <w:szCs w:val="21"/>
                <w:highlight w:val="none"/>
              </w:rPr>
              <w:t>委托有资质单位处理</w:t>
            </w:r>
            <w:r>
              <w:rPr>
                <w:rFonts w:hint="eastAsia" w:cs="Times New Roman"/>
                <w:color w:val="auto"/>
                <w:sz w:val="21"/>
                <w:szCs w:val="21"/>
                <w:highlight w:val="none"/>
                <w:lang w:eastAsia="zh-CN"/>
              </w:rPr>
              <w:t>；污泥及栅渣消毒后</w:t>
            </w:r>
            <w:r>
              <w:rPr>
                <w:rFonts w:hint="default" w:ascii="Times New Roman" w:hAnsi="Times New Roman" w:cs="Times New Roman"/>
                <w:color w:val="auto"/>
                <w:sz w:val="21"/>
                <w:szCs w:val="21"/>
                <w:highlight w:val="none"/>
              </w:rPr>
              <w:t>委托有资质单位处理。</w:t>
            </w:r>
          </w:p>
        </w:tc>
        <w:tc>
          <w:tcPr>
            <w:tcW w:w="663" w:type="dxa"/>
            <w:vAlign w:val="center"/>
          </w:tcPr>
          <w:p w14:paraId="1A356B53">
            <w:pPr>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1座</w:t>
            </w:r>
          </w:p>
        </w:tc>
        <w:tc>
          <w:tcPr>
            <w:tcW w:w="2769" w:type="dxa"/>
            <w:vMerge w:val="restart"/>
            <w:vAlign w:val="center"/>
          </w:tcPr>
          <w:p w14:paraId="50030212">
            <w:pPr>
              <w:ind w:left="-105" w:leftChars="-50" w:right="-105"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得到合理处置。</w:t>
            </w:r>
          </w:p>
        </w:tc>
      </w:tr>
      <w:tr w14:paraId="47F273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489" w:type="dxa"/>
            <w:vMerge w:val="continue"/>
            <w:vAlign w:val="center"/>
          </w:tcPr>
          <w:p w14:paraId="223DFBB3">
            <w:pPr>
              <w:ind w:left="-105" w:leftChars="-50" w:right="-105" w:rightChars="-50"/>
              <w:jc w:val="center"/>
              <w:rPr>
                <w:rFonts w:hint="default" w:ascii="Times New Roman" w:hAnsi="Times New Roman" w:cs="Times New Roman"/>
                <w:color w:val="auto"/>
                <w:sz w:val="21"/>
                <w:szCs w:val="21"/>
                <w:highlight w:val="none"/>
              </w:rPr>
            </w:pPr>
          </w:p>
        </w:tc>
        <w:tc>
          <w:tcPr>
            <w:tcW w:w="1277" w:type="dxa"/>
            <w:vAlign w:val="center"/>
          </w:tcPr>
          <w:p w14:paraId="558D77ED">
            <w:pPr>
              <w:ind w:left="-105" w:leftChars="-50" w:right="-105" w:rightChars="-50"/>
              <w:jc w:val="center"/>
              <w:rPr>
                <w:rFonts w:hint="eastAsia" w:cs="Times New Roman"/>
                <w:color w:val="auto"/>
                <w:sz w:val="21"/>
                <w:szCs w:val="21"/>
                <w:highlight w:val="none"/>
                <w:lang w:eastAsia="zh-CN"/>
              </w:rPr>
            </w:pPr>
            <w:r>
              <w:rPr>
                <w:rFonts w:hint="eastAsia" w:cs="Times New Roman"/>
                <w:color w:val="auto"/>
                <w:sz w:val="21"/>
                <w:szCs w:val="21"/>
                <w:highlight w:val="none"/>
                <w:lang w:val="en-US" w:eastAsia="zh-CN"/>
              </w:rPr>
              <w:t>煎药药渣及废弃中药材</w:t>
            </w:r>
          </w:p>
        </w:tc>
        <w:tc>
          <w:tcPr>
            <w:tcW w:w="1313" w:type="dxa"/>
            <w:vAlign w:val="center"/>
          </w:tcPr>
          <w:p w14:paraId="6FB5C690">
            <w:pPr>
              <w:ind w:left="-105" w:leftChars="-50" w:right="-105" w:rightChars="-5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药渣及废弃中药材</w:t>
            </w:r>
          </w:p>
        </w:tc>
        <w:tc>
          <w:tcPr>
            <w:tcW w:w="2737" w:type="dxa"/>
            <w:vAlign w:val="center"/>
          </w:tcPr>
          <w:p w14:paraId="60E63777">
            <w:pPr>
              <w:keepNext w:val="0"/>
              <w:keepLines w:val="0"/>
              <w:pageBreakBefore w:val="0"/>
              <w:widowControl w:val="0"/>
              <w:kinsoku/>
              <w:wordWrap/>
              <w:overflowPunct/>
              <w:topLinePunct w:val="0"/>
              <w:autoSpaceDE/>
              <w:autoSpaceDN/>
              <w:bidi w:val="0"/>
              <w:adjustRightInd w:val="0"/>
              <w:snapToGrid w:val="0"/>
              <w:spacing w:line="240" w:lineRule="auto"/>
              <w:ind w:right="0"/>
              <w:textAlignment w:val="auto"/>
              <w:outlineLvl w:val="0"/>
              <w:rPr>
                <w:rFonts w:hint="eastAsia" w:cs="Times New Roman"/>
                <w:color w:val="auto"/>
                <w:sz w:val="21"/>
                <w:szCs w:val="21"/>
                <w:highlight w:val="none"/>
                <w:lang w:eastAsia="zh-CN"/>
              </w:rPr>
            </w:pPr>
            <w:r>
              <w:rPr>
                <w:rFonts w:hint="eastAsia" w:cs="Times New Roman"/>
                <w:color w:val="auto"/>
                <w:sz w:val="21"/>
                <w:szCs w:val="21"/>
                <w:highlight w:val="none"/>
                <w:lang w:val="en-US" w:eastAsia="zh-CN"/>
              </w:rPr>
              <w:t>与生活垃圾一同</w:t>
            </w:r>
            <w:r>
              <w:rPr>
                <w:rFonts w:hint="eastAsia" w:cs="Times New Roman"/>
                <w:color w:val="auto"/>
                <w:sz w:val="21"/>
                <w:szCs w:val="21"/>
                <w:highlight w:val="none"/>
                <w:lang w:eastAsia="zh-CN"/>
              </w:rPr>
              <w:t>交由环卫部门统一清运处理。</w:t>
            </w:r>
          </w:p>
        </w:tc>
        <w:tc>
          <w:tcPr>
            <w:tcW w:w="663" w:type="dxa"/>
            <w:vAlign w:val="center"/>
          </w:tcPr>
          <w:p w14:paraId="075CF593">
            <w:pPr>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769" w:type="dxa"/>
            <w:vMerge w:val="continue"/>
            <w:vAlign w:val="center"/>
          </w:tcPr>
          <w:p w14:paraId="2596B03A">
            <w:pPr>
              <w:ind w:left="-105" w:leftChars="-50" w:right="-105" w:rightChars="-50"/>
              <w:jc w:val="center"/>
              <w:rPr>
                <w:rFonts w:hint="default" w:ascii="Times New Roman" w:hAnsi="Times New Roman" w:cs="Times New Roman"/>
                <w:color w:val="auto"/>
                <w:sz w:val="21"/>
                <w:szCs w:val="21"/>
                <w:highlight w:val="none"/>
              </w:rPr>
            </w:pPr>
          </w:p>
        </w:tc>
      </w:tr>
      <w:tr w14:paraId="52C638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489" w:type="dxa"/>
            <w:vMerge w:val="continue"/>
            <w:vAlign w:val="center"/>
          </w:tcPr>
          <w:p w14:paraId="1098CC98">
            <w:pPr>
              <w:ind w:left="-105" w:leftChars="-50" w:right="-105" w:rightChars="-50"/>
              <w:jc w:val="center"/>
              <w:rPr>
                <w:rFonts w:hint="default" w:ascii="Times New Roman" w:hAnsi="Times New Roman" w:cs="Times New Roman"/>
                <w:color w:val="auto"/>
                <w:sz w:val="21"/>
                <w:szCs w:val="21"/>
                <w:highlight w:val="none"/>
              </w:rPr>
            </w:pPr>
          </w:p>
        </w:tc>
        <w:tc>
          <w:tcPr>
            <w:tcW w:w="1277" w:type="dxa"/>
            <w:vAlign w:val="center"/>
          </w:tcPr>
          <w:p w14:paraId="0683DC17">
            <w:pPr>
              <w:ind w:left="-105" w:leftChars="-50" w:right="-105"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生活垃圾</w:t>
            </w:r>
          </w:p>
        </w:tc>
        <w:tc>
          <w:tcPr>
            <w:tcW w:w="1313" w:type="dxa"/>
            <w:vAlign w:val="center"/>
          </w:tcPr>
          <w:p w14:paraId="546BE678">
            <w:pPr>
              <w:ind w:left="-105" w:leftChars="-50" w:right="-105" w:rightChars="-50"/>
              <w:jc w:val="center"/>
              <w:rPr>
                <w:rFonts w:hint="default" w:ascii="Times New Roman" w:hAnsi="Times New Roman" w:cs="Times New Roman"/>
                <w:color w:val="auto"/>
                <w:sz w:val="21"/>
                <w:szCs w:val="21"/>
                <w:highlight w:val="none"/>
              </w:rPr>
            </w:pPr>
            <w:r>
              <w:rPr>
                <w:rFonts w:hint="default" w:ascii="Times New Roman" w:hAnsi="Times New Roman" w:cs="Times New Roman"/>
                <w:b w:val="0"/>
                <w:bCs w:val="0"/>
                <w:color w:val="auto"/>
                <w:sz w:val="21"/>
                <w:szCs w:val="21"/>
                <w:highlight w:val="none"/>
              </w:rPr>
              <w:t>食品包装袋等</w:t>
            </w:r>
          </w:p>
        </w:tc>
        <w:tc>
          <w:tcPr>
            <w:tcW w:w="2737" w:type="dxa"/>
            <w:vAlign w:val="center"/>
          </w:tcPr>
          <w:p w14:paraId="70AC5F40">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设置2个封闭式垃圾箱，生活垃圾由环卫部门统一清运处理。</w:t>
            </w:r>
          </w:p>
        </w:tc>
        <w:tc>
          <w:tcPr>
            <w:tcW w:w="663" w:type="dxa"/>
            <w:vAlign w:val="center"/>
          </w:tcPr>
          <w:p w14:paraId="78438D9A">
            <w:pPr>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2个</w:t>
            </w:r>
          </w:p>
        </w:tc>
        <w:tc>
          <w:tcPr>
            <w:tcW w:w="2769" w:type="dxa"/>
            <w:vMerge w:val="continue"/>
            <w:vAlign w:val="center"/>
          </w:tcPr>
          <w:p w14:paraId="2CC84BF9">
            <w:pPr>
              <w:ind w:left="-105" w:leftChars="-50" w:right="-105" w:rightChars="-50"/>
              <w:jc w:val="center"/>
              <w:rPr>
                <w:rFonts w:hint="default" w:ascii="Times New Roman" w:hAnsi="Times New Roman" w:cs="Times New Roman"/>
                <w:color w:val="auto"/>
                <w:sz w:val="21"/>
                <w:szCs w:val="21"/>
                <w:highlight w:val="none"/>
              </w:rPr>
            </w:pPr>
          </w:p>
        </w:tc>
      </w:tr>
      <w:tr w14:paraId="1A2AE3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3079" w:type="dxa"/>
            <w:gridSpan w:val="3"/>
            <w:vAlign w:val="center"/>
          </w:tcPr>
          <w:p w14:paraId="06A1D878">
            <w:pPr>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ascii="Times New Roman" w:hAnsi="Times New Roman" w:cs="Times New Roman"/>
                <w:b w:val="0"/>
                <w:bCs w:val="0"/>
                <w:color w:val="auto"/>
                <w:sz w:val="21"/>
                <w:szCs w:val="21"/>
                <w:highlight w:val="none"/>
              </w:rPr>
            </w:pPr>
            <w:r>
              <w:rPr>
                <w:rFonts w:hint="eastAsia"/>
                <w:color w:val="auto"/>
                <w:sz w:val="21"/>
                <w:szCs w:val="21"/>
                <w:highlight w:val="none"/>
                <w:vertAlign w:val="baseline"/>
                <w:lang w:eastAsia="zh-CN"/>
              </w:rPr>
              <w:t>环境风险</w:t>
            </w:r>
          </w:p>
        </w:tc>
        <w:tc>
          <w:tcPr>
            <w:tcW w:w="2737" w:type="dxa"/>
            <w:vAlign w:val="center"/>
          </w:tcPr>
          <w:p w14:paraId="5E955FA4">
            <w:pPr>
              <w:pStyle w:val="23"/>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21"/>
                <w:szCs w:val="21"/>
                <w:highlight w:val="none"/>
              </w:rPr>
            </w:pPr>
            <w:r>
              <w:rPr>
                <w:rFonts w:hint="eastAsia"/>
                <w:color w:val="auto"/>
                <w:sz w:val="21"/>
                <w:szCs w:val="21"/>
                <w:highlight w:val="none"/>
                <w:lang w:val="en-US" w:eastAsia="zh-CN"/>
              </w:rPr>
              <w:t>1座6m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事故应急池</w:t>
            </w:r>
          </w:p>
        </w:tc>
        <w:tc>
          <w:tcPr>
            <w:tcW w:w="663" w:type="dxa"/>
            <w:vAlign w:val="center"/>
          </w:tcPr>
          <w:p w14:paraId="163637B3">
            <w:pPr>
              <w:pStyle w:val="23"/>
              <w:keepNext w:val="0"/>
              <w:keepLines w:val="0"/>
              <w:pageBreakBefore w:val="0"/>
              <w:widowControl w:val="0"/>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1座</w:t>
            </w:r>
          </w:p>
        </w:tc>
        <w:tc>
          <w:tcPr>
            <w:tcW w:w="2769" w:type="dxa"/>
            <w:vAlign w:val="center"/>
          </w:tcPr>
          <w:p w14:paraId="0FFB6D5F">
            <w:pPr>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ascii="Times New Roman" w:hAnsi="Times New Roman" w:cs="Times New Roman"/>
                <w:color w:val="auto"/>
                <w:sz w:val="21"/>
                <w:szCs w:val="21"/>
                <w:highlight w:val="none"/>
              </w:rPr>
            </w:pPr>
            <w:r>
              <w:rPr>
                <w:rFonts w:hint="eastAsia"/>
                <w:color w:val="auto"/>
                <w:sz w:val="21"/>
                <w:szCs w:val="21"/>
                <w:highlight w:val="none"/>
                <w:vertAlign w:val="baseline"/>
                <w:lang w:eastAsia="zh-CN"/>
              </w:rPr>
              <w:t>环境风险达到可接受程度</w:t>
            </w:r>
          </w:p>
        </w:tc>
      </w:tr>
    </w:tbl>
    <w:p w14:paraId="1611CBBB">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9"/>
        <w:rPr>
          <w:rFonts w:hint="eastAsia" w:cs="Times New Roman"/>
          <w:b/>
          <w:bCs/>
          <w:color w:val="auto"/>
          <w:sz w:val="28"/>
          <w:szCs w:val="28"/>
          <w:highlight w:val="none"/>
          <w:lang w:val="en-US" w:eastAsia="zh-CN"/>
        </w:rPr>
      </w:pPr>
    </w:p>
    <w:p w14:paraId="28F2D64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outlineLvl w:val="9"/>
        <w:rPr>
          <w:rFonts w:hint="eastAsia" w:ascii="Times New Roman" w:hAnsi="Times New Roman" w:eastAsia="宋体" w:cs="Times New Roman"/>
          <w:b/>
          <w:bCs/>
          <w:color w:val="auto"/>
          <w:sz w:val="28"/>
          <w:szCs w:val="28"/>
          <w:highlight w:val="none"/>
          <w:lang w:eastAsia="zh-CN"/>
        </w:rPr>
      </w:pPr>
      <w:r>
        <w:rPr>
          <w:rFonts w:hint="eastAsia" w:cs="Times New Roman"/>
          <w:b/>
          <w:bCs/>
          <w:color w:val="auto"/>
          <w:sz w:val="28"/>
          <w:szCs w:val="28"/>
          <w:highlight w:val="none"/>
          <w:lang w:val="en-US" w:eastAsia="zh-CN"/>
        </w:rPr>
        <w:t>10</w:t>
      </w:r>
      <w:r>
        <w:rPr>
          <w:rFonts w:hint="eastAsia" w:cs="Times New Roman"/>
          <w:b/>
          <w:bCs/>
          <w:color w:val="auto"/>
          <w:sz w:val="28"/>
          <w:szCs w:val="28"/>
          <w:highlight w:val="none"/>
          <w:lang w:eastAsia="zh-CN"/>
        </w:rPr>
        <w:t>环境管理与环境监测</w:t>
      </w:r>
    </w:p>
    <w:p w14:paraId="5F6C8524">
      <w:pPr>
        <w:pStyle w:val="2"/>
        <w:keepNext w:val="0"/>
        <w:keepLines w:val="0"/>
        <w:pageBreakBefore w:val="0"/>
        <w:widowControl w:val="0"/>
        <w:kinsoku/>
        <w:wordWrap/>
        <w:overflowPunct/>
        <w:topLinePunct w:val="0"/>
        <w:autoSpaceDE/>
        <w:autoSpaceDN/>
        <w:bidi w:val="0"/>
        <w:adjustRightInd w:val="0"/>
        <w:snapToGrid w:val="0"/>
        <w:spacing w:after="0" w:afterLines="0" w:line="360" w:lineRule="auto"/>
        <w:ind w:left="0" w:leftChars="0" w:firstLine="0" w:firstLineChars="0"/>
        <w:textAlignment w:val="auto"/>
        <w:outlineLvl w:val="9"/>
        <w:rPr>
          <w:rFonts w:hint="eastAsia"/>
          <w:color w:val="auto"/>
          <w:sz w:val="24"/>
          <w:szCs w:val="24"/>
          <w:highlight w:val="none"/>
          <w:lang w:eastAsia="zh-CN"/>
        </w:rPr>
      </w:pPr>
      <w:r>
        <w:rPr>
          <w:rFonts w:hint="eastAsia"/>
          <w:b/>
          <w:bCs/>
          <w:color w:val="auto"/>
          <w:sz w:val="24"/>
          <w:szCs w:val="24"/>
          <w:highlight w:val="none"/>
          <w:lang w:val="en-US" w:eastAsia="zh-CN"/>
        </w:rPr>
        <w:t>10.1</w:t>
      </w:r>
      <w:r>
        <w:rPr>
          <w:rFonts w:hint="eastAsia" w:ascii="Times New Roman" w:hAnsi="Times New Roman" w:eastAsia="宋体" w:cs="Times New Roman"/>
          <w:b/>
          <w:bCs/>
          <w:color w:val="auto"/>
          <w:sz w:val="24"/>
          <w:szCs w:val="24"/>
          <w:highlight w:val="none"/>
          <w:lang w:val="en-US" w:eastAsia="zh-CN"/>
        </w:rPr>
        <w:t>排污许可管理制度</w:t>
      </w:r>
    </w:p>
    <w:p w14:paraId="0481AACE">
      <w:pPr>
        <w:pStyle w:val="23"/>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根据《固定污染源排污许可分类管理名录》（2019年版），本项目应进行排污许可登记管理，建设单位应严格按照《固定污染源排污登记工作指南（试行）》要求在实际排污之前填报排污登记表，做好环评与排污许可的衔接工作。</w:t>
      </w:r>
    </w:p>
    <w:p w14:paraId="33D561C7">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10.2信息公开</w:t>
      </w:r>
    </w:p>
    <w:p w14:paraId="2F3B34D6">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本项目须按照《企业事业单位环境信息公开办法》（环保部令第31号）对企业相关信息进行公开。</w:t>
      </w:r>
    </w:p>
    <w:p w14:paraId="09606534">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10.2.1公开内容</w:t>
      </w:r>
    </w:p>
    <w:p w14:paraId="5DF72030">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（1）基础信息，包括单位名称、组织机构代码、法定代表人、生产地址、联系方式，以及生产经营和管理服务的主要内容、产品及规模；</w:t>
      </w:r>
    </w:p>
    <w:p w14:paraId="1F426C79">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（2）排污信息，包括主要污染物及特征污染物的名称、排放方式、排放口数量和分布情况、排放浓度和总量、超标情况，以及执行的污染物排放标准、核定的排放总量；</w:t>
      </w:r>
    </w:p>
    <w:p w14:paraId="351146C1">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（3）防治污染设施的建设和运行情况；</w:t>
      </w:r>
    </w:p>
    <w:p w14:paraId="082696EA">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（4）建设项目环境影响评价以及其他环境保护行政许可情况；</w:t>
      </w:r>
    </w:p>
    <w:p w14:paraId="597C61EB">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（5）突发环境事件应急预案；</w:t>
      </w:r>
    </w:p>
    <w:p w14:paraId="1799036F">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（6）其他应当公开的环境信息。</w:t>
      </w:r>
    </w:p>
    <w:p w14:paraId="52318506">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此外，环境信息涉及国家秘密、商业秘密或者个人隐私的，依法可以不公开，法律法规另有规定的，从其规定。</w:t>
      </w:r>
    </w:p>
    <w:p w14:paraId="4B765074">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10.2.2公开方式</w:t>
      </w:r>
    </w:p>
    <w:p w14:paraId="1643DB62">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可通过其公司网站、企业事业单位环境信息公开平台或者当地报刊等便于公众知晓的方式公开环境信息，同时可以采取以下一种或者几种方式予以公开：</w:t>
      </w:r>
    </w:p>
    <w:p w14:paraId="43472AB6">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（1）公告或者公开发行的信息专刊；</w:t>
      </w:r>
    </w:p>
    <w:p w14:paraId="3159CC13">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（2）广播、电视等新闻媒体；</w:t>
      </w:r>
    </w:p>
    <w:p w14:paraId="26CB17E7">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（3）信息公开服务、监督热线电话；</w:t>
      </w:r>
    </w:p>
    <w:p w14:paraId="4A962410">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（4）本单位的资料索取点、信息公开栏、信息亭、电子屏幕、电子触摸屏等场所或者设施；</w:t>
      </w:r>
    </w:p>
    <w:p w14:paraId="39DDF6F1">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（5）其他便于公众及时、准确获得信息的方式。</w:t>
      </w:r>
    </w:p>
    <w:p w14:paraId="70939449">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10.3排污口规范化设置</w:t>
      </w:r>
    </w:p>
    <w:p w14:paraId="4342409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b w:val="0"/>
          <w:bCs w:val="0"/>
          <w:color w:val="auto"/>
          <w:sz w:val="24"/>
          <w:szCs w:val="24"/>
          <w:highlight w:val="none"/>
          <w:lang w:val="en-US" w:eastAsia="zh-CN"/>
        </w:rPr>
      </w:pPr>
      <w:r>
        <w:rPr>
          <w:rFonts w:hint="eastAsia"/>
          <w:b w:val="0"/>
          <w:bCs w:val="0"/>
          <w:color w:val="auto"/>
          <w:sz w:val="24"/>
          <w:szCs w:val="24"/>
          <w:highlight w:val="none"/>
          <w:lang w:val="en-US" w:eastAsia="zh-CN"/>
        </w:rPr>
        <w:t>废水排污口严格按照</w:t>
      </w:r>
      <w:r>
        <w:rPr>
          <w:rFonts w:hint="default" w:ascii="Times New Roman" w:hAnsi="Times New Roman" w:cs="Times New Roman"/>
          <w:color w:val="auto"/>
          <w:sz w:val="24"/>
          <w:szCs w:val="24"/>
          <w:highlight w:val="none"/>
        </w:rPr>
        <w:t>《医疗机构水污染物排放标准》（GB18466-2005）标准</w:t>
      </w:r>
      <w:r>
        <w:rPr>
          <w:rFonts w:hint="eastAsia"/>
          <w:b w:val="0"/>
          <w:bCs w:val="0"/>
          <w:color w:val="auto"/>
          <w:sz w:val="24"/>
          <w:szCs w:val="24"/>
          <w:highlight w:val="none"/>
          <w:lang w:val="en-US" w:eastAsia="zh-CN"/>
        </w:rPr>
        <w:t>及《排污口规范化整治技术要求（试行）》（环监[1996]470号）进行规范化设置。</w:t>
      </w:r>
    </w:p>
    <w:p w14:paraId="26252DE3">
      <w:pPr>
        <w:pStyle w:val="2"/>
        <w:keepNext w:val="0"/>
        <w:keepLines w:val="0"/>
        <w:pageBreakBefore w:val="0"/>
        <w:widowControl w:val="0"/>
        <w:kinsoku/>
        <w:wordWrap/>
        <w:overflowPunct/>
        <w:topLinePunct w:val="0"/>
        <w:autoSpaceDE/>
        <w:autoSpaceDN/>
        <w:bidi w:val="0"/>
        <w:adjustRightInd w:val="0"/>
        <w:snapToGrid w:val="0"/>
        <w:spacing w:after="0" w:line="360" w:lineRule="auto"/>
        <w:textAlignment w:val="auto"/>
        <w:outlineLvl w:val="9"/>
        <w:rPr>
          <w:rFonts w:hint="eastAsia"/>
          <w:b w:val="0"/>
          <w:bCs w:val="0"/>
          <w:color w:val="auto"/>
          <w:sz w:val="24"/>
          <w:szCs w:val="24"/>
          <w:highlight w:val="none"/>
          <w:lang w:val="en-US" w:eastAsia="zh-CN"/>
        </w:rPr>
      </w:pPr>
      <w:r>
        <w:rPr>
          <w:rFonts w:hint="eastAsia"/>
          <w:b w:val="0"/>
          <w:bCs w:val="0"/>
          <w:color w:val="auto"/>
          <w:sz w:val="24"/>
          <w:szCs w:val="24"/>
          <w:highlight w:val="none"/>
          <w:lang w:val="en-US" w:eastAsia="zh-CN"/>
        </w:rPr>
        <w:t>企业应合理确定污染物排污口的位置，应设置提示式标志牌，排放有毒有害污染物</w:t>
      </w:r>
    </w:p>
    <w:p w14:paraId="6F6F5D7F">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color w:val="auto"/>
          <w:highlight w:val="none"/>
          <w:lang w:val="en-US" w:eastAsia="zh-CN"/>
        </w:rPr>
      </w:pPr>
      <w:r>
        <w:rPr>
          <w:rFonts w:hint="eastAsia"/>
          <w:b w:val="0"/>
          <w:bCs w:val="0"/>
          <w:color w:val="auto"/>
          <w:sz w:val="24"/>
          <w:szCs w:val="24"/>
          <w:highlight w:val="none"/>
          <w:lang w:val="en-US" w:eastAsia="zh-CN"/>
        </w:rPr>
        <w:t>的排污口设置警告式标志牌，标志牌设置在排污口附近且醒目处。按照《污染源监测技术规范》设置采样点，应设置规范的、便于测量流量、流速的测流段。</w:t>
      </w:r>
    </w:p>
    <w:p w14:paraId="5A61E088">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10.4环境监测</w:t>
      </w:r>
    </w:p>
    <w:p w14:paraId="203B2E28">
      <w:pPr>
        <w:pStyle w:val="2"/>
        <w:keepNext w:val="0"/>
        <w:keepLines w:val="0"/>
        <w:pageBreakBefore w:val="0"/>
        <w:widowControl w:val="0"/>
        <w:kinsoku/>
        <w:wordWrap/>
        <w:overflowPunct/>
        <w:topLinePunct w:val="0"/>
        <w:autoSpaceDE/>
        <w:autoSpaceDN/>
        <w:bidi w:val="0"/>
        <w:adjustRightInd w:val="0"/>
        <w:snapToGrid w:val="0"/>
        <w:spacing w:after="0" w:line="360" w:lineRule="auto"/>
        <w:textAlignment w:val="auto"/>
        <w:outlineLvl w:val="9"/>
        <w:rPr>
          <w:rFonts w:hint="default"/>
          <w:color w:val="auto"/>
          <w:sz w:val="24"/>
          <w:szCs w:val="24"/>
          <w:highlight w:val="none"/>
        </w:rPr>
      </w:pPr>
      <w:r>
        <w:rPr>
          <w:rFonts w:hint="default"/>
          <w:color w:val="auto"/>
          <w:sz w:val="24"/>
          <w:szCs w:val="24"/>
          <w:highlight w:val="none"/>
        </w:rPr>
        <w:t>环境监测是指在工程运营期对主要污染源进行有计划的监测。环境监测的任务是对</w:t>
      </w:r>
    </w:p>
    <w:p w14:paraId="6BAAC8F7">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default"/>
          <w:color w:val="auto"/>
          <w:sz w:val="24"/>
          <w:szCs w:val="24"/>
          <w:highlight w:val="none"/>
        </w:rPr>
      </w:pPr>
      <w:r>
        <w:rPr>
          <w:rFonts w:hint="default"/>
          <w:color w:val="auto"/>
          <w:sz w:val="24"/>
          <w:szCs w:val="24"/>
          <w:highlight w:val="none"/>
        </w:rPr>
        <w:t xml:space="preserve">生产过程中产生的废气、噪声等进行监测，为环境管理部门加强工艺设备管理，强化环境管理，编制环保计划，制订防治污染对策提供科学依据。项目建成投产后，公司可委托有监测资质的环境监测单位定期对项目污染源及厂界环境状况进行例行监测，保证环境保护工作的顺利进行。根据《排污单位自行监测技术指南 </w:t>
      </w:r>
      <w:r>
        <w:rPr>
          <w:rFonts w:hint="eastAsia"/>
          <w:color w:val="auto"/>
          <w:sz w:val="24"/>
          <w:szCs w:val="24"/>
          <w:highlight w:val="none"/>
          <w:lang w:eastAsia="zh-CN"/>
        </w:rPr>
        <w:t>总则</w:t>
      </w:r>
      <w:r>
        <w:rPr>
          <w:rFonts w:hint="default"/>
          <w:color w:val="auto"/>
          <w:sz w:val="24"/>
          <w:szCs w:val="24"/>
          <w:highlight w:val="none"/>
        </w:rPr>
        <w:t>》</w:t>
      </w:r>
      <w:r>
        <w:rPr>
          <w:rFonts w:hint="eastAsia"/>
          <w:color w:val="auto"/>
          <w:sz w:val="24"/>
          <w:szCs w:val="24"/>
          <w:highlight w:val="none"/>
          <w:lang w:eastAsia="zh-CN"/>
        </w:rPr>
        <w:t>、《医疗机构水污染物排放标准》（</w:t>
      </w:r>
      <w:r>
        <w:rPr>
          <w:rFonts w:hint="eastAsia"/>
          <w:color w:val="auto"/>
          <w:sz w:val="24"/>
          <w:szCs w:val="24"/>
          <w:highlight w:val="none"/>
          <w:lang w:val="en-US" w:eastAsia="zh-CN"/>
        </w:rPr>
        <w:t>GB18466-2005</w:t>
      </w:r>
      <w:r>
        <w:rPr>
          <w:rFonts w:hint="eastAsia"/>
          <w:color w:val="auto"/>
          <w:sz w:val="24"/>
          <w:szCs w:val="24"/>
          <w:highlight w:val="none"/>
          <w:lang w:eastAsia="zh-CN"/>
        </w:rPr>
        <w:t>）</w:t>
      </w:r>
      <w:r>
        <w:rPr>
          <w:rFonts w:hint="default"/>
          <w:color w:val="auto"/>
          <w:sz w:val="24"/>
          <w:szCs w:val="24"/>
          <w:highlight w:val="none"/>
        </w:rPr>
        <w:t>，本工程运营期环境监测计划见</w:t>
      </w:r>
      <w:r>
        <w:rPr>
          <w:rFonts w:hint="eastAsia"/>
          <w:color w:val="auto"/>
          <w:sz w:val="24"/>
          <w:szCs w:val="24"/>
          <w:highlight w:val="none"/>
          <w:lang w:eastAsia="zh-CN"/>
        </w:rPr>
        <w:t>下表</w:t>
      </w:r>
      <w:r>
        <w:rPr>
          <w:rFonts w:hint="default"/>
          <w:color w:val="auto"/>
          <w:sz w:val="24"/>
          <w:szCs w:val="24"/>
          <w:highlight w:val="none"/>
        </w:rPr>
        <w:t>。</w:t>
      </w:r>
    </w:p>
    <w:p w14:paraId="6AAE0A1D">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outlineLvl w:val="9"/>
        <w:rPr>
          <w:rFonts w:hint="eastAsia" w:ascii="Times New Roman" w:hAnsi="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表</w:t>
      </w:r>
      <w:r>
        <w:rPr>
          <w:rFonts w:hint="eastAsia" w:cs="Times New Roman"/>
          <w:b/>
          <w:bCs/>
          <w:color w:val="auto"/>
          <w:kern w:val="2"/>
          <w:sz w:val="21"/>
          <w:szCs w:val="21"/>
          <w:highlight w:val="none"/>
          <w:lang w:val="en-US" w:eastAsia="zh-CN" w:bidi="ar-SA"/>
        </w:rPr>
        <w:t xml:space="preserve">48                             </w:t>
      </w:r>
      <w:r>
        <w:rPr>
          <w:rFonts w:hint="eastAsia" w:ascii="Times New Roman" w:hAnsi="Times New Roman"/>
          <w:b/>
          <w:bCs/>
          <w:color w:val="auto"/>
          <w:kern w:val="2"/>
          <w:sz w:val="21"/>
          <w:szCs w:val="21"/>
          <w:highlight w:val="none"/>
          <w:lang w:val="en-US" w:eastAsia="zh-CN" w:bidi="ar-SA"/>
        </w:rPr>
        <w:t>环境监测内容一览表</w:t>
      </w:r>
    </w:p>
    <w:tbl>
      <w:tblPr>
        <w:tblStyle w:val="25"/>
        <w:tblW w:w="928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31"/>
        <w:gridCol w:w="3338"/>
        <w:gridCol w:w="3160"/>
        <w:gridCol w:w="1857"/>
      </w:tblGrid>
      <w:tr w14:paraId="17327E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1" w:type="dxa"/>
            <w:tcBorders>
              <w:tl2br w:val="nil"/>
              <w:tr2bl w:val="nil"/>
            </w:tcBorders>
            <w:noWrap w:val="0"/>
            <w:vAlign w:val="center"/>
          </w:tcPr>
          <w:p w14:paraId="65E6EA9B">
            <w:pPr>
              <w:pStyle w:val="23"/>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ascii="Times New Roman" w:hAnsi="Times New Roman"/>
                <w:color w:val="auto"/>
                <w:kern w:val="2"/>
                <w:sz w:val="21"/>
                <w:szCs w:val="21"/>
                <w:highlight w:val="none"/>
                <w:vertAlign w:val="baseline"/>
                <w:lang w:val="en-US" w:eastAsia="zh-CN" w:bidi="ar-SA"/>
              </w:rPr>
              <w:t>类别</w:t>
            </w:r>
          </w:p>
        </w:tc>
        <w:tc>
          <w:tcPr>
            <w:tcW w:w="3338" w:type="dxa"/>
            <w:tcBorders>
              <w:tl2br w:val="nil"/>
              <w:tr2bl w:val="nil"/>
            </w:tcBorders>
            <w:noWrap w:val="0"/>
            <w:vAlign w:val="center"/>
          </w:tcPr>
          <w:p w14:paraId="2753382F">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ascii="Times New Roman" w:hAnsi="Times New Roman"/>
                <w:color w:val="auto"/>
                <w:kern w:val="2"/>
                <w:sz w:val="21"/>
                <w:szCs w:val="21"/>
                <w:highlight w:val="none"/>
                <w:vertAlign w:val="baseline"/>
                <w:lang w:val="en-US" w:eastAsia="zh-CN" w:bidi="ar-SA"/>
              </w:rPr>
              <w:t>监测点位</w:t>
            </w:r>
          </w:p>
        </w:tc>
        <w:tc>
          <w:tcPr>
            <w:tcW w:w="3160" w:type="dxa"/>
            <w:tcBorders>
              <w:tl2br w:val="nil"/>
              <w:tr2bl w:val="nil"/>
            </w:tcBorders>
            <w:noWrap w:val="0"/>
            <w:vAlign w:val="center"/>
          </w:tcPr>
          <w:p w14:paraId="64FB12A8">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ascii="Times New Roman" w:hAnsi="Times New Roman"/>
                <w:color w:val="auto"/>
                <w:kern w:val="2"/>
                <w:sz w:val="21"/>
                <w:szCs w:val="21"/>
                <w:highlight w:val="none"/>
                <w:vertAlign w:val="baseline"/>
                <w:lang w:val="en-US" w:eastAsia="zh-CN" w:bidi="ar-SA"/>
              </w:rPr>
              <w:t>监测项目</w:t>
            </w:r>
          </w:p>
        </w:tc>
        <w:tc>
          <w:tcPr>
            <w:tcW w:w="1857" w:type="dxa"/>
            <w:tcBorders>
              <w:tl2br w:val="nil"/>
              <w:tr2bl w:val="nil"/>
            </w:tcBorders>
            <w:noWrap w:val="0"/>
            <w:vAlign w:val="center"/>
          </w:tcPr>
          <w:p w14:paraId="16830532">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ascii="Times New Roman" w:hAnsi="Times New Roman"/>
                <w:color w:val="auto"/>
                <w:kern w:val="2"/>
                <w:sz w:val="21"/>
                <w:szCs w:val="21"/>
                <w:highlight w:val="none"/>
                <w:vertAlign w:val="baseline"/>
                <w:lang w:val="en-US" w:eastAsia="zh-CN" w:bidi="ar-SA"/>
              </w:rPr>
              <w:t>监测频次</w:t>
            </w:r>
          </w:p>
        </w:tc>
      </w:tr>
      <w:tr w14:paraId="1A92D2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931" w:type="dxa"/>
            <w:vMerge w:val="restart"/>
            <w:tcBorders>
              <w:tl2br w:val="nil"/>
              <w:tr2bl w:val="nil"/>
            </w:tcBorders>
            <w:noWrap w:val="0"/>
            <w:vAlign w:val="center"/>
          </w:tcPr>
          <w:p w14:paraId="41CF42D5">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ascii="Times New Roman" w:hAnsi="Times New Roman"/>
                <w:color w:val="auto"/>
                <w:kern w:val="2"/>
                <w:sz w:val="21"/>
                <w:szCs w:val="21"/>
                <w:highlight w:val="none"/>
                <w:vertAlign w:val="baseline"/>
                <w:lang w:val="en-US" w:eastAsia="zh-CN" w:bidi="ar-SA"/>
              </w:rPr>
              <w:t>废气</w:t>
            </w:r>
          </w:p>
        </w:tc>
        <w:tc>
          <w:tcPr>
            <w:tcW w:w="3338" w:type="dxa"/>
            <w:tcBorders>
              <w:bottom w:val="single" w:color="auto" w:sz="4" w:space="0"/>
              <w:tl2br w:val="nil"/>
              <w:tr2bl w:val="nil"/>
            </w:tcBorders>
            <w:noWrap w:val="0"/>
            <w:vAlign w:val="center"/>
          </w:tcPr>
          <w:p w14:paraId="4223985A">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ascii="Times New Roman" w:hAnsi="Times New Roman" w:cs="Times New Roman"/>
                <w:color w:val="auto"/>
                <w:sz w:val="21"/>
                <w:szCs w:val="21"/>
                <w:highlight w:val="none"/>
                <w:lang w:val="en-US" w:eastAsia="zh-CN"/>
              </w:rPr>
              <w:t>污水处理站周边</w:t>
            </w:r>
          </w:p>
        </w:tc>
        <w:tc>
          <w:tcPr>
            <w:tcW w:w="3160" w:type="dxa"/>
            <w:tcBorders>
              <w:tl2br w:val="nil"/>
              <w:tr2bl w:val="nil"/>
            </w:tcBorders>
            <w:noWrap w:val="0"/>
            <w:vAlign w:val="center"/>
          </w:tcPr>
          <w:p w14:paraId="6673AB20">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eastAsia="宋体"/>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臭气浓度、NH</w:t>
            </w:r>
            <w:r>
              <w:rPr>
                <w:rFonts w:hint="eastAsia"/>
                <w:color w:val="auto"/>
                <w:sz w:val="21"/>
                <w:szCs w:val="21"/>
                <w:highlight w:val="none"/>
                <w:vertAlign w:val="subscript"/>
                <w:lang w:val="en-US" w:eastAsia="zh-CN"/>
              </w:rPr>
              <w:t>3</w:t>
            </w:r>
            <w:r>
              <w:rPr>
                <w:rFonts w:hint="eastAsia"/>
                <w:color w:val="auto"/>
                <w:sz w:val="21"/>
                <w:szCs w:val="21"/>
                <w:highlight w:val="none"/>
                <w:vertAlign w:val="baseline"/>
                <w:lang w:val="en-US" w:eastAsia="zh-CN"/>
              </w:rPr>
              <w:t>、H</w:t>
            </w:r>
            <w:r>
              <w:rPr>
                <w:rFonts w:hint="eastAsia"/>
                <w:color w:val="auto"/>
                <w:sz w:val="21"/>
                <w:szCs w:val="21"/>
                <w:highlight w:val="none"/>
                <w:vertAlign w:val="subscript"/>
                <w:lang w:val="en-US" w:eastAsia="zh-CN"/>
              </w:rPr>
              <w:t>2</w:t>
            </w:r>
            <w:r>
              <w:rPr>
                <w:rFonts w:hint="eastAsia"/>
                <w:color w:val="auto"/>
                <w:sz w:val="21"/>
                <w:szCs w:val="21"/>
                <w:highlight w:val="none"/>
                <w:vertAlign w:val="baseline"/>
                <w:lang w:val="en-US" w:eastAsia="zh-CN"/>
              </w:rPr>
              <w:t>S</w:t>
            </w:r>
          </w:p>
        </w:tc>
        <w:tc>
          <w:tcPr>
            <w:tcW w:w="1857" w:type="dxa"/>
            <w:tcBorders>
              <w:tl2br w:val="nil"/>
              <w:tr2bl w:val="nil"/>
            </w:tcBorders>
            <w:noWrap w:val="0"/>
            <w:vAlign w:val="center"/>
          </w:tcPr>
          <w:p w14:paraId="44206A9B">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ascii="Times New Roman" w:hAnsi="Times New Roman"/>
                <w:color w:val="auto"/>
                <w:kern w:val="2"/>
                <w:sz w:val="21"/>
                <w:szCs w:val="21"/>
                <w:highlight w:val="none"/>
                <w:vertAlign w:val="baseline"/>
                <w:lang w:val="en-US" w:eastAsia="zh-CN" w:bidi="ar-SA"/>
              </w:rPr>
              <w:t>每</w:t>
            </w:r>
            <w:r>
              <w:rPr>
                <w:rFonts w:hint="eastAsia"/>
                <w:color w:val="auto"/>
                <w:kern w:val="2"/>
                <w:sz w:val="21"/>
                <w:szCs w:val="21"/>
                <w:highlight w:val="none"/>
                <w:vertAlign w:val="baseline"/>
                <w:lang w:val="en-US" w:eastAsia="zh-CN" w:bidi="ar-SA"/>
              </w:rPr>
              <w:t>季度</w:t>
            </w:r>
            <w:r>
              <w:rPr>
                <w:rFonts w:hint="eastAsia" w:ascii="Times New Roman" w:hAnsi="Times New Roman"/>
                <w:color w:val="auto"/>
                <w:kern w:val="2"/>
                <w:sz w:val="21"/>
                <w:szCs w:val="21"/>
                <w:highlight w:val="none"/>
                <w:vertAlign w:val="baseline"/>
                <w:lang w:val="en-US" w:eastAsia="zh-CN" w:bidi="ar-SA"/>
              </w:rPr>
              <w:t>1次</w:t>
            </w:r>
          </w:p>
        </w:tc>
      </w:tr>
      <w:tr w14:paraId="66A50F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931" w:type="dxa"/>
            <w:vMerge w:val="continue"/>
            <w:tcBorders>
              <w:bottom w:val="single" w:color="000000" w:sz="4" w:space="0"/>
              <w:tl2br w:val="nil"/>
              <w:tr2bl w:val="nil"/>
            </w:tcBorders>
            <w:noWrap w:val="0"/>
            <w:vAlign w:val="center"/>
          </w:tcPr>
          <w:p w14:paraId="147DC940">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p>
        </w:tc>
        <w:tc>
          <w:tcPr>
            <w:tcW w:w="3338" w:type="dxa"/>
            <w:tcBorders>
              <w:bottom w:val="single" w:color="000000" w:sz="4" w:space="0"/>
              <w:tl2br w:val="nil"/>
              <w:tr2bl w:val="nil"/>
            </w:tcBorders>
            <w:noWrap w:val="0"/>
            <w:vAlign w:val="center"/>
          </w:tcPr>
          <w:p w14:paraId="1F12A13B">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院界</w:t>
            </w:r>
          </w:p>
        </w:tc>
        <w:tc>
          <w:tcPr>
            <w:tcW w:w="3160" w:type="dxa"/>
            <w:tcBorders>
              <w:tl2br w:val="nil"/>
              <w:tr2bl w:val="nil"/>
            </w:tcBorders>
            <w:noWrap w:val="0"/>
            <w:vAlign w:val="center"/>
          </w:tcPr>
          <w:p w14:paraId="070D9884">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臭气浓度</w:t>
            </w:r>
          </w:p>
        </w:tc>
        <w:tc>
          <w:tcPr>
            <w:tcW w:w="1857" w:type="dxa"/>
            <w:tcBorders>
              <w:tl2br w:val="nil"/>
              <w:tr2bl w:val="nil"/>
            </w:tcBorders>
            <w:noWrap w:val="0"/>
            <w:vAlign w:val="center"/>
          </w:tcPr>
          <w:p w14:paraId="3903A500">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ascii="Times New Roman" w:hAnsi="Times New Roman"/>
                <w:color w:val="auto"/>
                <w:kern w:val="2"/>
                <w:sz w:val="21"/>
                <w:szCs w:val="21"/>
                <w:highlight w:val="none"/>
                <w:vertAlign w:val="baseline"/>
                <w:lang w:val="en-US" w:eastAsia="zh-CN" w:bidi="ar-SA"/>
              </w:rPr>
              <w:t>每年1次</w:t>
            </w:r>
          </w:p>
        </w:tc>
      </w:tr>
      <w:tr w14:paraId="2E5AEB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931" w:type="dxa"/>
            <w:vMerge w:val="restart"/>
            <w:tcBorders>
              <w:tl2br w:val="nil"/>
              <w:tr2bl w:val="nil"/>
            </w:tcBorders>
            <w:noWrap w:val="0"/>
            <w:vAlign w:val="center"/>
          </w:tcPr>
          <w:p w14:paraId="434CEC43">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ascii="Times New Roman" w:hAnsi="Times New Roman"/>
                <w:color w:val="auto"/>
                <w:kern w:val="2"/>
                <w:sz w:val="21"/>
                <w:szCs w:val="21"/>
                <w:highlight w:val="none"/>
                <w:vertAlign w:val="baseline"/>
                <w:lang w:val="en-US" w:eastAsia="zh-CN" w:bidi="ar-SA"/>
              </w:rPr>
              <w:t>废水</w:t>
            </w:r>
          </w:p>
        </w:tc>
        <w:tc>
          <w:tcPr>
            <w:tcW w:w="3338" w:type="dxa"/>
            <w:vMerge w:val="restart"/>
            <w:tcBorders>
              <w:tl2br w:val="nil"/>
              <w:tr2bl w:val="nil"/>
            </w:tcBorders>
            <w:noWrap w:val="0"/>
            <w:vAlign w:val="center"/>
          </w:tcPr>
          <w:p w14:paraId="0BB2292D">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ascii="Times New Roman" w:hAnsi="Times New Roman"/>
                <w:color w:val="auto"/>
                <w:kern w:val="2"/>
                <w:sz w:val="21"/>
                <w:szCs w:val="21"/>
                <w:highlight w:val="none"/>
                <w:vertAlign w:val="baseline"/>
                <w:lang w:val="en-US" w:eastAsia="zh-CN" w:bidi="ar-SA"/>
              </w:rPr>
              <w:t>污水处理设施排口</w:t>
            </w:r>
          </w:p>
        </w:tc>
        <w:tc>
          <w:tcPr>
            <w:tcW w:w="3160" w:type="dxa"/>
            <w:tcBorders>
              <w:bottom w:val="single" w:color="000000" w:sz="4" w:space="0"/>
              <w:tl2br w:val="nil"/>
              <w:tr2bl w:val="nil"/>
            </w:tcBorders>
            <w:noWrap w:val="0"/>
            <w:vAlign w:val="center"/>
          </w:tcPr>
          <w:p w14:paraId="7B71A4E0">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COD、SS</w:t>
            </w:r>
          </w:p>
        </w:tc>
        <w:tc>
          <w:tcPr>
            <w:tcW w:w="1857" w:type="dxa"/>
            <w:tcBorders>
              <w:bottom w:val="single" w:color="000000" w:sz="4" w:space="0"/>
              <w:tl2br w:val="nil"/>
              <w:tr2bl w:val="nil"/>
            </w:tcBorders>
            <w:noWrap w:val="0"/>
            <w:vAlign w:val="center"/>
          </w:tcPr>
          <w:p w14:paraId="10AB2186">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ascii="Times New Roman" w:hAnsi="Times New Roman"/>
                <w:color w:val="auto"/>
                <w:kern w:val="2"/>
                <w:sz w:val="21"/>
                <w:szCs w:val="21"/>
                <w:highlight w:val="none"/>
                <w:vertAlign w:val="baseline"/>
                <w:lang w:val="en-US" w:eastAsia="zh-CN" w:bidi="ar-SA"/>
              </w:rPr>
              <w:t>每</w:t>
            </w:r>
            <w:r>
              <w:rPr>
                <w:rFonts w:hint="eastAsia"/>
                <w:color w:val="auto"/>
                <w:kern w:val="2"/>
                <w:sz w:val="21"/>
                <w:szCs w:val="21"/>
                <w:highlight w:val="none"/>
                <w:vertAlign w:val="baseline"/>
                <w:lang w:val="en-US" w:eastAsia="zh-CN" w:bidi="ar-SA"/>
              </w:rPr>
              <w:t>周</w:t>
            </w:r>
            <w:r>
              <w:rPr>
                <w:rFonts w:hint="eastAsia" w:ascii="Times New Roman" w:hAnsi="Times New Roman"/>
                <w:color w:val="auto"/>
                <w:kern w:val="2"/>
                <w:sz w:val="21"/>
                <w:szCs w:val="21"/>
                <w:highlight w:val="none"/>
                <w:vertAlign w:val="baseline"/>
                <w:lang w:val="en-US" w:eastAsia="zh-CN" w:bidi="ar-SA"/>
              </w:rPr>
              <w:t>1次</w:t>
            </w:r>
          </w:p>
        </w:tc>
      </w:tr>
      <w:tr w14:paraId="6385DE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931" w:type="dxa"/>
            <w:vMerge w:val="continue"/>
            <w:tcBorders>
              <w:tl2br w:val="nil"/>
              <w:tr2bl w:val="nil"/>
            </w:tcBorders>
            <w:noWrap w:val="0"/>
            <w:vAlign w:val="center"/>
          </w:tcPr>
          <w:p w14:paraId="350259EE">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p>
        </w:tc>
        <w:tc>
          <w:tcPr>
            <w:tcW w:w="3338" w:type="dxa"/>
            <w:vMerge w:val="continue"/>
            <w:tcBorders>
              <w:tl2br w:val="nil"/>
              <w:tr2bl w:val="nil"/>
            </w:tcBorders>
            <w:noWrap w:val="0"/>
            <w:vAlign w:val="center"/>
          </w:tcPr>
          <w:p w14:paraId="77E7208E">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p>
        </w:tc>
        <w:tc>
          <w:tcPr>
            <w:tcW w:w="3160" w:type="dxa"/>
            <w:tcBorders>
              <w:top w:val="single" w:color="000000" w:sz="4" w:space="0"/>
              <w:tl2br w:val="nil"/>
              <w:tr2bl w:val="nil"/>
            </w:tcBorders>
            <w:noWrap w:val="0"/>
            <w:vAlign w:val="center"/>
          </w:tcPr>
          <w:p w14:paraId="3E6363D6">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pacing w:val="-11"/>
                <w:sz w:val="21"/>
                <w:szCs w:val="21"/>
                <w:highlight w:val="none"/>
                <w:lang w:val="en-US" w:eastAsia="zh-CN"/>
              </w:rPr>
              <w:t>氨氮</w:t>
            </w:r>
          </w:p>
        </w:tc>
        <w:tc>
          <w:tcPr>
            <w:tcW w:w="1857" w:type="dxa"/>
            <w:tcBorders>
              <w:top w:val="single" w:color="000000" w:sz="4" w:space="0"/>
              <w:tl2br w:val="nil"/>
              <w:tr2bl w:val="nil"/>
            </w:tcBorders>
            <w:noWrap w:val="0"/>
            <w:vAlign w:val="center"/>
          </w:tcPr>
          <w:p w14:paraId="58CEA610">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ascii="Times New Roman" w:hAnsi="Times New Roman"/>
                <w:color w:val="auto"/>
                <w:kern w:val="2"/>
                <w:sz w:val="21"/>
                <w:szCs w:val="21"/>
                <w:highlight w:val="none"/>
                <w:vertAlign w:val="baseline"/>
                <w:lang w:val="en-US" w:eastAsia="zh-CN" w:bidi="ar-SA"/>
              </w:rPr>
              <w:t>每</w:t>
            </w:r>
            <w:r>
              <w:rPr>
                <w:rFonts w:hint="eastAsia"/>
                <w:color w:val="auto"/>
                <w:kern w:val="2"/>
                <w:sz w:val="21"/>
                <w:szCs w:val="21"/>
                <w:highlight w:val="none"/>
                <w:vertAlign w:val="baseline"/>
                <w:lang w:val="en-US" w:eastAsia="zh-CN" w:bidi="ar-SA"/>
              </w:rPr>
              <w:t>季度</w:t>
            </w:r>
            <w:r>
              <w:rPr>
                <w:rFonts w:hint="eastAsia" w:ascii="Times New Roman" w:hAnsi="Times New Roman"/>
                <w:color w:val="auto"/>
                <w:kern w:val="2"/>
                <w:sz w:val="21"/>
                <w:szCs w:val="21"/>
                <w:highlight w:val="none"/>
                <w:vertAlign w:val="baseline"/>
                <w:lang w:val="en-US" w:eastAsia="zh-CN" w:bidi="ar-SA"/>
              </w:rPr>
              <w:t>1次</w:t>
            </w:r>
          </w:p>
        </w:tc>
      </w:tr>
      <w:tr w14:paraId="671E37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931" w:type="dxa"/>
            <w:vMerge w:val="continue"/>
            <w:tcBorders>
              <w:tl2br w:val="nil"/>
              <w:tr2bl w:val="nil"/>
            </w:tcBorders>
            <w:noWrap w:val="0"/>
            <w:vAlign w:val="center"/>
          </w:tcPr>
          <w:p w14:paraId="33E29B14">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p>
        </w:tc>
        <w:tc>
          <w:tcPr>
            <w:tcW w:w="3338" w:type="dxa"/>
            <w:vMerge w:val="continue"/>
            <w:tcBorders>
              <w:tl2br w:val="nil"/>
              <w:tr2bl w:val="nil"/>
            </w:tcBorders>
            <w:noWrap w:val="0"/>
            <w:vAlign w:val="center"/>
          </w:tcPr>
          <w:p w14:paraId="51075819">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p>
        </w:tc>
        <w:tc>
          <w:tcPr>
            <w:tcW w:w="3160" w:type="dxa"/>
            <w:tcBorders>
              <w:bottom w:val="single" w:color="000000" w:sz="4" w:space="0"/>
              <w:tl2br w:val="nil"/>
              <w:tr2bl w:val="nil"/>
            </w:tcBorders>
            <w:noWrap w:val="0"/>
            <w:vAlign w:val="center"/>
          </w:tcPr>
          <w:p w14:paraId="3DCFDDEC">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eastAsia="宋体"/>
                <w:color w:val="auto"/>
                <w:sz w:val="21"/>
                <w:szCs w:val="21"/>
                <w:highlight w:val="none"/>
                <w:vertAlign w:val="baseline"/>
                <w:lang w:val="en-US" w:eastAsia="zh-CN"/>
              </w:rPr>
            </w:pPr>
            <w:r>
              <w:rPr>
                <w:rFonts w:hint="default" w:ascii="Times New Roman" w:hAnsi="Times New Roman" w:cs="Times New Roman"/>
                <w:color w:val="auto"/>
                <w:sz w:val="21"/>
                <w:szCs w:val="21"/>
                <w:highlight w:val="none"/>
              </w:rPr>
              <w:t>粪大肠菌群数</w:t>
            </w:r>
          </w:p>
        </w:tc>
        <w:tc>
          <w:tcPr>
            <w:tcW w:w="1857" w:type="dxa"/>
            <w:tcBorders>
              <w:bottom w:val="single" w:color="000000" w:sz="4" w:space="0"/>
              <w:tl2br w:val="nil"/>
              <w:tr2bl w:val="nil"/>
            </w:tcBorders>
            <w:noWrap w:val="0"/>
            <w:vAlign w:val="center"/>
          </w:tcPr>
          <w:p w14:paraId="739D5888">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ascii="Times New Roman" w:hAnsi="Times New Roman"/>
                <w:color w:val="auto"/>
                <w:kern w:val="2"/>
                <w:sz w:val="21"/>
                <w:szCs w:val="21"/>
                <w:highlight w:val="none"/>
                <w:vertAlign w:val="baseline"/>
                <w:lang w:val="en-US" w:eastAsia="zh-CN" w:bidi="ar-SA"/>
              </w:rPr>
              <w:t>每</w:t>
            </w:r>
            <w:r>
              <w:rPr>
                <w:rFonts w:hint="eastAsia"/>
                <w:color w:val="auto"/>
                <w:kern w:val="2"/>
                <w:sz w:val="21"/>
                <w:szCs w:val="21"/>
                <w:highlight w:val="none"/>
                <w:vertAlign w:val="baseline"/>
                <w:lang w:val="en-US" w:eastAsia="zh-CN" w:bidi="ar-SA"/>
              </w:rPr>
              <w:t>月</w:t>
            </w:r>
            <w:r>
              <w:rPr>
                <w:rFonts w:hint="eastAsia" w:ascii="Times New Roman" w:hAnsi="Times New Roman"/>
                <w:color w:val="auto"/>
                <w:kern w:val="2"/>
                <w:sz w:val="21"/>
                <w:szCs w:val="21"/>
                <w:highlight w:val="none"/>
                <w:vertAlign w:val="baseline"/>
                <w:lang w:val="en-US" w:eastAsia="zh-CN" w:bidi="ar-SA"/>
              </w:rPr>
              <w:t>1次</w:t>
            </w:r>
          </w:p>
        </w:tc>
      </w:tr>
      <w:tr w14:paraId="7A6208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931" w:type="dxa"/>
            <w:vMerge w:val="continue"/>
            <w:tcBorders>
              <w:tl2br w:val="nil"/>
              <w:tr2bl w:val="nil"/>
            </w:tcBorders>
            <w:noWrap w:val="0"/>
            <w:vAlign w:val="center"/>
          </w:tcPr>
          <w:p w14:paraId="0E95AD74">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p>
        </w:tc>
        <w:tc>
          <w:tcPr>
            <w:tcW w:w="3338" w:type="dxa"/>
            <w:vMerge w:val="continue"/>
            <w:tcBorders>
              <w:tl2br w:val="nil"/>
              <w:tr2bl w:val="nil"/>
            </w:tcBorders>
            <w:noWrap w:val="0"/>
            <w:vAlign w:val="center"/>
          </w:tcPr>
          <w:p w14:paraId="63023053">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p>
        </w:tc>
        <w:tc>
          <w:tcPr>
            <w:tcW w:w="3160" w:type="dxa"/>
            <w:tcBorders>
              <w:top w:val="single" w:color="000000" w:sz="4" w:space="0"/>
              <w:tl2br w:val="nil"/>
              <w:tr2bl w:val="nil"/>
            </w:tcBorders>
            <w:noWrap w:val="0"/>
            <w:vAlign w:val="center"/>
          </w:tcPr>
          <w:p w14:paraId="25643773">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pH值、</w:t>
            </w:r>
            <w:r>
              <w:rPr>
                <w:rFonts w:hint="eastAsia" w:cs="Times New Roman"/>
                <w:color w:val="auto"/>
                <w:sz w:val="21"/>
                <w:szCs w:val="21"/>
                <w:highlight w:val="none"/>
                <w:lang w:eastAsia="zh-CN"/>
              </w:rPr>
              <w:t>总余氯</w:t>
            </w:r>
          </w:p>
        </w:tc>
        <w:tc>
          <w:tcPr>
            <w:tcW w:w="1857" w:type="dxa"/>
            <w:tcBorders>
              <w:top w:val="single" w:color="000000" w:sz="4" w:space="0"/>
              <w:tl2br w:val="nil"/>
              <w:tr2bl w:val="nil"/>
            </w:tcBorders>
            <w:noWrap w:val="0"/>
            <w:vAlign w:val="center"/>
          </w:tcPr>
          <w:p w14:paraId="7FF33836">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color w:val="auto"/>
                <w:kern w:val="2"/>
                <w:sz w:val="21"/>
                <w:szCs w:val="21"/>
                <w:highlight w:val="none"/>
                <w:vertAlign w:val="baseline"/>
                <w:lang w:val="en-US" w:eastAsia="zh-CN" w:bidi="ar-SA"/>
              </w:rPr>
              <w:t>每日2次</w:t>
            </w:r>
          </w:p>
        </w:tc>
      </w:tr>
      <w:tr w14:paraId="773DFC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931" w:type="dxa"/>
            <w:tcBorders>
              <w:tl2br w:val="nil"/>
              <w:tr2bl w:val="nil"/>
            </w:tcBorders>
            <w:noWrap w:val="0"/>
            <w:vAlign w:val="center"/>
          </w:tcPr>
          <w:p w14:paraId="08A8406A">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ascii="Times New Roman" w:hAnsi="Times New Roman"/>
                <w:color w:val="auto"/>
                <w:kern w:val="2"/>
                <w:sz w:val="21"/>
                <w:szCs w:val="21"/>
                <w:highlight w:val="none"/>
                <w:vertAlign w:val="baseline"/>
                <w:lang w:val="en-US" w:eastAsia="zh-CN" w:bidi="ar-SA"/>
              </w:rPr>
              <w:t>噪声</w:t>
            </w:r>
          </w:p>
        </w:tc>
        <w:tc>
          <w:tcPr>
            <w:tcW w:w="3338" w:type="dxa"/>
            <w:tcBorders>
              <w:tl2br w:val="nil"/>
              <w:tr2bl w:val="nil"/>
            </w:tcBorders>
            <w:noWrap w:val="0"/>
            <w:vAlign w:val="center"/>
          </w:tcPr>
          <w:p w14:paraId="4977FC1E">
            <w:pPr>
              <w:pStyle w:val="23"/>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ascii="Times New Roman" w:hAnsi="Times New Roman"/>
                <w:color w:val="auto"/>
                <w:kern w:val="2"/>
                <w:sz w:val="21"/>
                <w:szCs w:val="21"/>
                <w:highlight w:val="none"/>
                <w:vertAlign w:val="baseline"/>
                <w:lang w:val="en-US" w:eastAsia="zh-CN" w:bidi="ar-SA"/>
              </w:rPr>
              <w:t>项目东、西、南、北</w:t>
            </w:r>
            <w:r>
              <w:rPr>
                <w:rFonts w:hint="eastAsia"/>
                <w:color w:val="auto"/>
                <w:kern w:val="2"/>
                <w:sz w:val="21"/>
                <w:szCs w:val="21"/>
                <w:highlight w:val="none"/>
                <w:vertAlign w:val="baseline"/>
                <w:lang w:val="en-US" w:eastAsia="zh-CN" w:bidi="ar-SA"/>
              </w:rPr>
              <w:t>院区</w:t>
            </w:r>
            <w:r>
              <w:rPr>
                <w:rFonts w:hint="eastAsia" w:ascii="Times New Roman" w:hAnsi="Times New Roman"/>
                <w:color w:val="auto"/>
                <w:kern w:val="2"/>
                <w:sz w:val="21"/>
                <w:szCs w:val="21"/>
                <w:highlight w:val="none"/>
                <w:vertAlign w:val="baseline"/>
                <w:lang w:val="en-US" w:eastAsia="zh-CN" w:bidi="ar-SA"/>
              </w:rPr>
              <w:t>边界</w:t>
            </w:r>
          </w:p>
        </w:tc>
        <w:tc>
          <w:tcPr>
            <w:tcW w:w="3160" w:type="dxa"/>
            <w:tcBorders>
              <w:tl2br w:val="nil"/>
              <w:tr2bl w:val="nil"/>
            </w:tcBorders>
            <w:noWrap w:val="0"/>
            <w:vAlign w:val="center"/>
          </w:tcPr>
          <w:p w14:paraId="38C412A1">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color w:val="auto"/>
                <w:kern w:val="2"/>
                <w:sz w:val="21"/>
                <w:szCs w:val="21"/>
                <w:highlight w:val="none"/>
                <w:vertAlign w:val="baseline"/>
                <w:lang w:val="en-US" w:eastAsia="zh-CN" w:bidi="ar-SA"/>
              </w:rPr>
              <w:t>昼、夜</w:t>
            </w:r>
            <w:r>
              <w:rPr>
                <w:rFonts w:hint="eastAsia" w:ascii="Times New Roman" w:hAnsi="Times New Roman"/>
                <w:color w:val="auto"/>
                <w:kern w:val="2"/>
                <w:sz w:val="21"/>
                <w:szCs w:val="21"/>
                <w:highlight w:val="none"/>
                <w:vertAlign w:val="baseline"/>
                <w:lang w:val="en-US" w:eastAsia="zh-CN" w:bidi="ar-SA"/>
              </w:rPr>
              <w:t>噪声级</w:t>
            </w:r>
          </w:p>
        </w:tc>
        <w:tc>
          <w:tcPr>
            <w:tcW w:w="1857" w:type="dxa"/>
            <w:tcBorders>
              <w:tl2br w:val="nil"/>
              <w:tr2bl w:val="nil"/>
            </w:tcBorders>
            <w:noWrap w:val="0"/>
            <w:vAlign w:val="center"/>
          </w:tcPr>
          <w:p w14:paraId="22B2EFB7">
            <w:pPr>
              <w:pStyle w:val="23"/>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outlineLvl w:val="9"/>
              <w:rPr>
                <w:rFonts w:hint="eastAsia" w:ascii="Times New Roman" w:hAnsi="Times New Roman"/>
                <w:color w:val="auto"/>
                <w:kern w:val="2"/>
                <w:sz w:val="21"/>
                <w:szCs w:val="21"/>
                <w:highlight w:val="none"/>
                <w:vertAlign w:val="baseline"/>
                <w:lang w:val="en-US" w:eastAsia="zh-CN" w:bidi="ar-SA"/>
              </w:rPr>
            </w:pPr>
            <w:r>
              <w:rPr>
                <w:rFonts w:hint="eastAsia" w:ascii="Times New Roman" w:hAnsi="Times New Roman"/>
                <w:color w:val="auto"/>
                <w:kern w:val="2"/>
                <w:sz w:val="21"/>
                <w:szCs w:val="21"/>
                <w:highlight w:val="none"/>
                <w:vertAlign w:val="baseline"/>
                <w:lang w:val="en-US" w:eastAsia="zh-CN" w:bidi="ar-SA"/>
              </w:rPr>
              <w:t>每季度1次</w:t>
            </w:r>
          </w:p>
        </w:tc>
      </w:tr>
    </w:tbl>
    <w:p w14:paraId="722959B4">
      <w:pPr>
        <w:pStyle w:val="2"/>
        <w:rPr>
          <w:rFonts w:hint="eastAsia"/>
          <w:color w:val="auto"/>
          <w:highlight w:val="none"/>
          <w:lang w:val="en-US" w:eastAsia="zh-CN"/>
        </w:rPr>
        <w:sectPr>
          <w:pgSz w:w="11906" w:h="16838"/>
          <w:pgMar w:top="1418" w:right="1418" w:bottom="1559" w:left="1418" w:header="907" w:footer="907" w:gutter="0"/>
          <w:pgBorders w:display="notFirstPage">
            <w:top w:val="single" w:color="auto" w:sz="4" w:space="4"/>
            <w:left w:val="single" w:color="auto" w:sz="4" w:space="10"/>
            <w:bottom w:val="single" w:color="auto" w:sz="4" w:space="4"/>
            <w:right w:val="single" w:color="auto" w:sz="4" w:space="10"/>
          </w:pgBorders>
          <w:pgNumType w:fmt="decimal"/>
          <w:cols w:space="720" w:num="1"/>
          <w:docGrid w:type="lines" w:linePitch="312" w:charSpace="0"/>
        </w:sectPr>
      </w:pPr>
    </w:p>
    <w:p w14:paraId="7265AE30">
      <w:pPr>
        <w:pStyle w:val="3"/>
        <w:numPr>
          <w:ilvl w:val="0"/>
          <w:numId w:val="0"/>
        </w:numPr>
        <w:adjustRightInd w:val="0"/>
        <w:snapToGrid w:val="0"/>
        <w:spacing w:before="0" w:after="0" w:line="240" w:lineRule="auto"/>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建设项目拟采取的防治措施及预期治理效果</w:t>
      </w:r>
    </w:p>
    <w:tbl>
      <w:tblPr>
        <w:tblStyle w:val="24"/>
        <w:tblW w:w="94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525"/>
        <w:gridCol w:w="1225"/>
        <w:gridCol w:w="1446"/>
        <w:gridCol w:w="2442"/>
        <w:gridCol w:w="2871"/>
      </w:tblGrid>
      <w:tr w14:paraId="44F4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3" w:type="dxa"/>
            <w:tcBorders>
              <w:tl2br w:val="single" w:color="auto" w:sz="4" w:space="0"/>
            </w:tcBorders>
            <w:vAlign w:val="center"/>
          </w:tcPr>
          <w:p w14:paraId="79AF1CF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内容</w:t>
            </w:r>
          </w:p>
          <w:p w14:paraId="5E4CD29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b/>
                <w:bCs/>
                <w:color w:val="auto"/>
                <w:sz w:val="24"/>
                <w:szCs w:val="24"/>
                <w:highlight w:val="none"/>
              </w:rPr>
            </w:pPr>
          </w:p>
          <w:p w14:paraId="65334C5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类型</w:t>
            </w:r>
          </w:p>
        </w:tc>
        <w:tc>
          <w:tcPr>
            <w:tcW w:w="1750" w:type="dxa"/>
            <w:gridSpan w:val="2"/>
            <w:vAlign w:val="center"/>
          </w:tcPr>
          <w:p w14:paraId="58CD87E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排放源</w:t>
            </w:r>
          </w:p>
          <w:p w14:paraId="1B6B388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（编号）</w:t>
            </w:r>
          </w:p>
        </w:tc>
        <w:tc>
          <w:tcPr>
            <w:tcW w:w="1446" w:type="dxa"/>
            <w:vAlign w:val="center"/>
          </w:tcPr>
          <w:p w14:paraId="627E274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污染物</w:t>
            </w:r>
          </w:p>
          <w:p w14:paraId="55F2C8E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名称</w:t>
            </w:r>
          </w:p>
        </w:tc>
        <w:tc>
          <w:tcPr>
            <w:tcW w:w="2442" w:type="dxa"/>
            <w:vAlign w:val="center"/>
          </w:tcPr>
          <w:p w14:paraId="3DACCFE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防治措施</w:t>
            </w:r>
          </w:p>
        </w:tc>
        <w:tc>
          <w:tcPr>
            <w:tcW w:w="2871" w:type="dxa"/>
            <w:vAlign w:val="center"/>
          </w:tcPr>
          <w:p w14:paraId="5CE44A6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预期治理效果</w:t>
            </w:r>
          </w:p>
        </w:tc>
      </w:tr>
      <w:tr w14:paraId="6103D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3" w:type="dxa"/>
            <w:vMerge w:val="restart"/>
            <w:vAlign w:val="center"/>
          </w:tcPr>
          <w:p w14:paraId="247217E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大</w:t>
            </w:r>
          </w:p>
          <w:p w14:paraId="7AA1FCE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气</w:t>
            </w:r>
          </w:p>
          <w:p w14:paraId="5F24555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污</w:t>
            </w:r>
          </w:p>
          <w:p w14:paraId="767ADDD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染</w:t>
            </w:r>
          </w:p>
          <w:p w14:paraId="3F880B4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物</w:t>
            </w:r>
          </w:p>
        </w:tc>
        <w:tc>
          <w:tcPr>
            <w:tcW w:w="525" w:type="dxa"/>
            <w:vMerge w:val="restart"/>
            <w:vAlign w:val="center"/>
          </w:tcPr>
          <w:p w14:paraId="01C676E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w:t>
            </w:r>
          </w:p>
          <w:p w14:paraId="31C473E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工期</w:t>
            </w:r>
          </w:p>
        </w:tc>
        <w:tc>
          <w:tcPr>
            <w:tcW w:w="1225" w:type="dxa"/>
            <w:vAlign w:val="center"/>
          </w:tcPr>
          <w:p w14:paraId="6E1E8A9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w:t>
            </w:r>
            <w:r>
              <w:rPr>
                <w:rFonts w:hint="eastAsia" w:cs="Times New Roman"/>
                <w:color w:val="auto"/>
                <w:sz w:val="24"/>
                <w:szCs w:val="24"/>
                <w:highlight w:val="none"/>
                <w:lang w:eastAsia="zh-CN"/>
              </w:rPr>
              <w:t>场地</w:t>
            </w:r>
          </w:p>
        </w:tc>
        <w:tc>
          <w:tcPr>
            <w:tcW w:w="1446" w:type="dxa"/>
            <w:vAlign w:val="center"/>
          </w:tcPr>
          <w:p w14:paraId="5B1DCB5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TSP</w:t>
            </w:r>
          </w:p>
        </w:tc>
        <w:tc>
          <w:tcPr>
            <w:tcW w:w="2442" w:type="dxa"/>
            <w:vAlign w:val="center"/>
          </w:tcPr>
          <w:p w14:paraId="1EBD355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eastAsia="zh-CN"/>
              </w:rPr>
              <w:t>合理安排工期、</w:t>
            </w:r>
            <w:r>
              <w:rPr>
                <w:rFonts w:hint="eastAsia"/>
                <w:color w:val="auto"/>
                <w:kern w:val="2"/>
                <w:sz w:val="24"/>
                <w:szCs w:val="24"/>
                <w:highlight w:val="none"/>
                <w:lang w:eastAsia="zh-CN"/>
              </w:rPr>
              <w:t>关闭门窗、</w:t>
            </w:r>
            <w:r>
              <w:rPr>
                <w:rFonts w:hint="eastAsia" w:cs="Times New Roman"/>
                <w:color w:val="auto"/>
                <w:sz w:val="24"/>
                <w:szCs w:val="24"/>
                <w:highlight w:val="none"/>
                <w:lang w:eastAsia="zh-CN"/>
              </w:rPr>
              <w:t>水雾抑尘、使用预拌商品混凝土</w:t>
            </w:r>
          </w:p>
        </w:tc>
        <w:tc>
          <w:tcPr>
            <w:tcW w:w="2871" w:type="dxa"/>
            <w:vAlign w:val="center"/>
          </w:tcPr>
          <w:p w14:paraId="37F5564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b w:val="0"/>
                <w:bCs w:val="0"/>
                <w:color w:val="auto"/>
                <w:sz w:val="24"/>
                <w:szCs w:val="24"/>
                <w:highlight w:val="none"/>
                <w:lang w:eastAsia="zh-CN"/>
              </w:rPr>
              <w:t>施工场地扬尘满足</w:t>
            </w:r>
            <w:r>
              <w:rPr>
                <w:rFonts w:hint="default" w:ascii="Times New Roman" w:hAnsi="Times New Roman" w:cs="Times New Roman"/>
                <w:b w:val="0"/>
                <w:bCs w:val="0"/>
                <w:color w:val="auto"/>
                <w:sz w:val="24"/>
                <w:szCs w:val="24"/>
                <w:highlight w:val="none"/>
              </w:rPr>
              <w:t>《施工及堆料场地扬尘排放标准》</w:t>
            </w:r>
            <w:r>
              <w:rPr>
                <w:rFonts w:hint="default" w:ascii="Times New Roman" w:hAnsi="Times New Roman" w:cs="Times New Roman"/>
                <w:b w:val="0"/>
                <w:bCs w:val="0"/>
                <w:color w:val="auto"/>
                <w:sz w:val="24"/>
                <w:szCs w:val="24"/>
                <w:highlight w:val="none"/>
                <w:lang w:eastAsia="zh-CN"/>
              </w:rPr>
              <w:t>（</w:t>
            </w:r>
            <w:r>
              <w:rPr>
                <w:rFonts w:hint="default" w:ascii="Times New Roman" w:hAnsi="Times New Roman" w:cs="Times New Roman"/>
                <w:b w:val="0"/>
                <w:bCs w:val="0"/>
                <w:color w:val="auto"/>
                <w:sz w:val="24"/>
                <w:szCs w:val="24"/>
                <w:highlight w:val="none"/>
              </w:rPr>
              <w:t>DB21/2642-2016</w:t>
            </w:r>
            <w:r>
              <w:rPr>
                <w:rFonts w:hint="default" w:ascii="Times New Roman" w:hAnsi="Times New Roman" w:cs="Times New Roman"/>
                <w:b w:val="0"/>
                <w:bCs w:val="0"/>
                <w:color w:val="auto"/>
                <w:sz w:val="24"/>
                <w:szCs w:val="24"/>
                <w:highlight w:val="none"/>
                <w:lang w:eastAsia="zh-CN"/>
              </w:rPr>
              <w:t>）要求</w:t>
            </w:r>
          </w:p>
        </w:tc>
      </w:tr>
      <w:tr w14:paraId="3C62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903" w:type="dxa"/>
            <w:vMerge w:val="continue"/>
            <w:vAlign w:val="center"/>
          </w:tcPr>
          <w:p w14:paraId="4599DDA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continue"/>
            <w:vAlign w:val="center"/>
          </w:tcPr>
          <w:p w14:paraId="1CEDC91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1225" w:type="dxa"/>
            <w:vAlign w:val="center"/>
          </w:tcPr>
          <w:p w14:paraId="6561681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施工车辆</w:t>
            </w:r>
          </w:p>
        </w:tc>
        <w:tc>
          <w:tcPr>
            <w:tcW w:w="1446" w:type="dxa"/>
            <w:vAlign w:val="center"/>
          </w:tcPr>
          <w:p w14:paraId="107AB17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汽车</w:t>
            </w:r>
            <w:r>
              <w:rPr>
                <w:rFonts w:hint="default" w:ascii="Times New Roman" w:hAnsi="Times New Roman" w:cs="Times New Roman"/>
                <w:color w:val="auto"/>
                <w:sz w:val="24"/>
                <w:szCs w:val="24"/>
                <w:highlight w:val="none"/>
              </w:rPr>
              <w:t>尾气</w:t>
            </w:r>
          </w:p>
        </w:tc>
        <w:tc>
          <w:tcPr>
            <w:tcW w:w="2442" w:type="dxa"/>
            <w:vAlign w:val="center"/>
          </w:tcPr>
          <w:p w14:paraId="169D55A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体" w:cs="Times New Roman"/>
                <w:color w:val="auto"/>
                <w:sz w:val="24"/>
                <w:szCs w:val="24"/>
                <w:highlight w:val="none"/>
                <w:lang w:eastAsia="zh-CN"/>
              </w:rPr>
            </w:pPr>
            <w:r>
              <w:rPr>
                <w:rFonts w:hint="eastAsia" w:eastAsia="宋体"/>
                <w:color w:val="auto"/>
                <w:kern w:val="0"/>
                <w:sz w:val="24"/>
                <w:szCs w:val="24"/>
                <w:highlight w:val="none"/>
              </w:rPr>
              <w:t>加强维护、使用优质燃油</w:t>
            </w:r>
            <w:r>
              <w:rPr>
                <w:rFonts w:hint="eastAsia" w:eastAsia="宋体"/>
                <w:color w:val="auto"/>
                <w:kern w:val="0"/>
                <w:sz w:val="24"/>
                <w:szCs w:val="24"/>
                <w:highlight w:val="none"/>
                <w:lang w:eastAsia="zh-CN"/>
              </w:rPr>
              <w:t>、合理规划车流量</w:t>
            </w:r>
          </w:p>
        </w:tc>
        <w:tc>
          <w:tcPr>
            <w:tcW w:w="2871" w:type="dxa"/>
            <w:vAlign w:val="center"/>
          </w:tcPr>
          <w:p w14:paraId="2E924A1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尾气达标排放</w:t>
            </w:r>
          </w:p>
        </w:tc>
      </w:tr>
      <w:tr w14:paraId="52B93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903" w:type="dxa"/>
            <w:vMerge w:val="continue"/>
            <w:vAlign w:val="center"/>
          </w:tcPr>
          <w:p w14:paraId="507EC74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continue"/>
            <w:vAlign w:val="center"/>
          </w:tcPr>
          <w:p w14:paraId="2E5AD78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1225" w:type="dxa"/>
            <w:vAlign w:val="center"/>
          </w:tcPr>
          <w:p w14:paraId="5E9F322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装修</w:t>
            </w:r>
          </w:p>
        </w:tc>
        <w:tc>
          <w:tcPr>
            <w:tcW w:w="1446" w:type="dxa"/>
            <w:vAlign w:val="center"/>
          </w:tcPr>
          <w:p w14:paraId="6564BEC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s="Times New Roman"/>
                <w:color w:val="auto"/>
                <w:sz w:val="24"/>
                <w:szCs w:val="24"/>
                <w:highlight w:val="none"/>
                <w:lang w:eastAsia="zh-CN"/>
              </w:rPr>
            </w:pPr>
            <w:r>
              <w:rPr>
                <w:rFonts w:hint="eastAsia"/>
                <w:color w:val="auto"/>
                <w:sz w:val="24"/>
                <w:szCs w:val="24"/>
                <w:highlight w:val="none"/>
                <w:lang w:eastAsia="zh-CN"/>
              </w:rPr>
              <w:t>有机废气</w:t>
            </w:r>
          </w:p>
        </w:tc>
        <w:tc>
          <w:tcPr>
            <w:tcW w:w="2442" w:type="dxa"/>
            <w:vAlign w:val="center"/>
          </w:tcPr>
          <w:p w14:paraId="40B2922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eastAsia="宋体"/>
                <w:color w:val="auto"/>
                <w:kern w:val="0"/>
                <w:sz w:val="24"/>
                <w:szCs w:val="24"/>
                <w:highlight w:val="none"/>
              </w:rPr>
            </w:pPr>
            <w:r>
              <w:rPr>
                <w:rFonts w:hint="eastAsia"/>
                <w:color w:val="auto"/>
                <w:sz w:val="24"/>
                <w:szCs w:val="24"/>
                <w:highlight w:val="none"/>
                <w:lang w:eastAsia="zh-CN"/>
              </w:rPr>
              <w:t>内墙采用水性涂料，选用环保型板材、胶粘剂</w:t>
            </w:r>
          </w:p>
        </w:tc>
        <w:tc>
          <w:tcPr>
            <w:tcW w:w="2871" w:type="dxa"/>
            <w:vAlign w:val="center"/>
          </w:tcPr>
          <w:p w14:paraId="759082C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达标排放</w:t>
            </w:r>
          </w:p>
        </w:tc>
      </w:tr>
      <w:tr w14:paraId="0E21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903" w:type="dxa"/>
            <w:vMerge w:val="continue"/>
            <w:vAlign w:val="center"/>
          </w:tcPr>
          <w:p w14:paraId="2B8AD4F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restart"/>
            <w:vAlign w:val="center"/>
          </w:tcPr>
          <w:p w14:paraId="17B62F9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eastAsia" w:ascii="宋体" w:hAnsi="宋体" w:cs="宋体"/>
                <w:color w:val="auto"/>
                <w:sz w:val="24"/>
                <w:szCs w:val="24"/>
                <w:highlight w:val="none"/>
              </w:rPr>
              <w:t>营运期</w:t>
            </w:r>
          </w:p>
        </w:tc>
        <w:tc>
          <w:tcPr>
            <w:tcW w:w="1225" w:type="dxa"/>
            <w:vMerge w:val="restart"/>
            <w:vAlign w:val="center"/>
          </w:tcPr>
          <w:p w14:paraId="5B25E43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eastAsia"/>
                <w:color w:val="auto"/>
                <w:sz w:val="24"/>
                <w:szCs w:val="24"/>
                <w:highlight w:val="none"/>
                <w:lang w:eastAsia="zh-CN"/>
              </w:rPr>
              <w:t>污水处理站</w:t>
            </w:r>
          </w:p>
        </w:tc>
        <w:tc>
          <w:tcPr>
            <w:tcW w:w="1446" w:type="dxa"/>
            <w:vAlign w:val="center"/>
          </w:tcPr>
          <w:p w14:paraId="5E7BD93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i w:val="0"/>
                <w:caps w:val="0"/>
                <w:color w:val="auto"/>
                <w:spacing w:val="0"/>
                <w:sz w:val="24"/>
                <w:szCs w:val="24"/>
                <w:highlight w:val="none"/>
                <w:shd w:val="clear" w:fill="FFFFFF"/>
                <w:lang w:val="en-US" w:eastAsia="zh-CN"/>
              </w:rPr>
              <w:t>NH</w:t>
            </w:r>
            <w:r>
              <w:rPr>
                <w:rFonts w:hint="default" w:ascii="Times New Roman" w:hAnsi="Times New Roman" w:cs="Times New Roman"/>
                <w:i w:val="0"/>
                <w:caps w:val="0"/>
                <w:color w:val="auto"/>
                <w:spacing w:val="0"/>
                <w:sz w:val="24"/>
                <w:szCs w:val="24"/>
                <w:highlight w:val="none"/>
                <w:shd w:val="clear" w:fill="FFFFFF"/>
                <w:vertAlign w:val="subscript"/>
                <w:lang w:val="en-US" w:eastAsia="zh-CN"/>
              </w:rPr>
              <w:t>3</w:t>
            </w:r>
          </w:p>
        </w:tc>
        <w:tc>
          <w:tcPr>
            <w:tcW w:w="2442" w:type="dxa"/>
            <w:vMerge w:val="restart"/>
            <w:vAlign w:val="center"/>
          </w:tcPr>
          <w:p w14:paraId="6D46B57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eastAsia" w:ascii="Times New Roman" w:hAnsi="Times New Roman" w:cs="Times New Roman"/>
                <w:i w:val="0"/>
                <w:caps w:val="0"/>
                <w:color w:val="auto"/>
                <w:spacing w:val="0"/>
                <w:sz w:val="24"/>
                <w:szCs w:val="24"/>
                <w:highlight w:val="none"/>
                <w:shd w:val="clear" w:fill="FFFFFF"/>
                <w:lang w:val="en-US" w:eastAsia="zh-CN"/>
              </w:rPr>
              <w:t>污水处理</w:t>
            </w:r>
            <w:r>
              <w:rPr>
                <w:rFonts w:hint="eastAsia" w:cs="Times New Roman"/>
                <w:i w:val="0"/>
                <w:caps w:val="0"/>
                <w:color w:val="auto"/>
                <w:spacing w:val="0"/>
                <w:sz w:val="24"/>
                <w:szCs w:val="24"/>
                <w:highlight w:val="none"/>
                <w:shd w:val="clear" w:fill="FFFFFF"/>
                <w:lang w:val="en-US" w:eastAsia="zh-CN"/>
              </w:rPr>
              <w:t>设施加盖</w:t>
            </w:r>
            <w:r>
              <w:rPr>
                <w:rFonts w:hint="eastAsia" w:ascii="Times New Roman" w:hAnsi="Times New Roman" w:cs="Times New Roman"/>
                <w:i w:val="0"/>
                <w:caps w:val="0"/>
                <w:color w:val="auto"/>
                <w:spacing w:val="0"/>
                <w:sz w:val="24"/>
                <w:szCs w:val="24"/>
                <w:highlight w:val="none"/>
                <w:shd w:val="clear" w:fill="FFFFFF"/>
                <w:lang w:val="en-US" w:eastAsia="zh-CN"/>
              </w:rPr>
              <w:t>封闭</w:t>
            </w:r>
            <w:r>
              <w:rPr>
                <w:rFonts w:hint="eastAsia" w:cs="Times New Roman"/>
                <w:i w:val="0"/>
                <w:caps w:val="0"/>
                <w:color w:val="auto"/>
                <w:spacing w:val="0"/>
                <w:sz w:val="24"/>
                <w:szCs w:val="24"/>
                <w:highlight w:val="none"/>
                <w:shd w:val="clear" w:fill="FFFFFF"/>
                <w:lang w:val="en-US" w:eastAsia="zh-CN"/>
              </w:rPr>
              <w:t>，投放除臭剂，</w:t>
            </w:r>
            <w:r>
              <w:rPr>
                <w:rFonts w:hint="eastAsia" w:ascii="宋体" w:hAnsi="宋体" w:cs="宋体"/>
                <w:color w:val="auto"/>
                <w:sz w:val="24"/>
                <w:szCs w:val="24"/>
                <w:highlight w:val="none"/>
                <w:lang w:eastAsia="zh-CN"/>
              </w:rPr>
              <w:t>周边</w:t>
            </w:r>
            <w:r>
              <w:rPr>
                <w:rFonts w:hint="eastAsia" w:ascii="宋体" w:hAnsi="宋体" w:cs="宋体"/>
                <w:color w:val="auto"/>
                <w:sz w:val="24"/>
                <w:szCs w:val="24"/>
                <w:highlight w:val="none"/>
              </w:rPr>
              <w:t>放置</w:t>
            </w:r>
            <w:r>
              <w:rPr>
                <w:rFonts w:hint="eastAsia" w:ascii="宋体" w:hAnsi="宋体" w:cs="宋体"/>
                <w:color w:val="auto"/>
                <w:sz w:val="24"/>
                <w:szCs w:val="24"/>
                <w:highlight w:val="none"/>
                <w:lang w:eastAsia="zh-CN"/>
              </w:rPr>
              <w:t>吸附恶臭气体较强的</w:t>
            </w:r>
            <w:r>
              <w:rPr>
                <w:rFonts w:hint="eastAsia" w:ascii="宋体" w:hAnsi="宋体" w:cs="宋体"/>
                <w:color w:val="auto"/>
                <w:sz w:val="24"/>
                <w:szCs w:val="24"/>
                <w:highlight w:val="none"/>
              </w:rPr>
              <w:t>盆栽植物进行绿化吸收</w:t>
            </w:r>
          </w:p>
        </w:tc>
        <w:tc>
          <w:tcPr>
            <w:tcW w:w="2871" w:type="dxa"/>
            <w:vMerge w:val="restart"/>
            <w:vAlign w:val="center"/>
          </w:tcPr>
          <w:p w14:paraId="33063DA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color w:val="auto"/>
                <w:sz w:val="24"/>
                <w:szCs w:val="24"/>
                <w:highlight w:val="none"/>
              </w:rPr>
            </w:pPr>
            <w:r>
              <w:rPr>
                <w:rFonts w:hint="eastAsia"/>
                <w:color w:val="auto"/>
                <w:sz w:val="24"/>
                <w:szCs w:val="24"/>
                <w:highlight w:val="none"/>
                <w:lang w:eastAsia="zh-CN"/>
              </w:rPr>
              <w:t>满足</w:t>
            </w:r>
            <w:r>
              <w:rPr>
                <w:color w:val="auto"/>
                <w:sz w:val="24"/>
                <w:szCs w:val="24"/>
                <w:highlight w:val="none"/>
              </w:rPr>
              <w:t>《</w:t>
            </w:r>
            <w:r>
              <w:rPr>
                <w:rFonts w:hint="eastAsia"/>
                <w:color w:val="auto"/>
                <w:sz w:val="24"/>
                <w:szCs w:val="24"/>
                <w:highlight w:val="none"/>
              </w:rPr>
              <w:t>医疗机构水污染物</w:t>
            </w:r>
          </w:p>
          <w:p w14:paraId="3DA1D8F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eastAsia"/>
                <w:color w:val="auto"/>
                <w:sz w:val="24"/>
                <w:szCs w:val="24"/>
                <w:highlight w:val="none"/>
              </w:rPr>
              <w:t>排放</w:t>
            </w:r>
            <w:r>
              <w:rPr>
                <w:color w:val="auto"/>
                <w:sz w:val="24"/>
                <w:szCs w:val="24"/>
                <w:highlight w:val="none"/>
              </w:rPr>
              <w:t>标准》（</w:t>
            </w:r>
            <w:r>
              <w:rPr>
                <w:rFonts w:hint="eastAsia"/>
                <w:color w:val="auto"/>
                <w:sz w:val="24"/>
                <w:szCs w:val="24"/>
                <w:highlight w:val="none"/>
              </w:rPr>
              <w:t>GB18466-2005</w:t>
            </w:r>
            <w:r>
              <w:rPr>
                <w:color w:val="auto"/>
                <w:sz w:val="24"/>
                <w:szCs w:val="24"/>
                <w:highlight w:val="none"/>
              </w:rPr>
              <w:t>）</w:t>
            </w:r>
            <w:r>
              <w:rPr>
                <w:rFonts w:hint="eastAsia"/>
                <w:color w:val="auto"/>
                <w:sz w:val="24"/>
                <w:szCs w:val="24"/>
                <w:highlight w:val="none"/>
              </w:rPr>
              <w:t>要求中“污水处理站周边大气污染物最高允许浓度”标准</w:t>
            </w:r>
          </w:p>
        </w:tc>
      </w:tr>
      <w:tr w14:paraId="4556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03" w:type="dxa"/>
            <w:vMerge w:val="continue"/>
            <w:vAlign w:val="center"/>
          </w:tcPr>
          <w:p w14:paraId="1DFF982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continue"/>
            <w:vAlign w:val="center"/>
          </w:tcPr>
          <w:p w14:paraId="3A77979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cs="宋体"/>
                <w:color w:val="auto"/>
                <w:sz w:val="24"/>
                <w:szCs w:val="24"/>
                <w:highlight w:val="none"/>
              </w:rPr>
            </w:pPr>
          </w:p>
        </w:tc>
        <w:tc>
          <w:tcPr>
            <w:tcW w:w="1225" w:type="dxa"/>
            <w:vMerge w:val="continue"/>
            <w:vAlign w:val="center"/>
          </w:tcPr>
          <w:p w14:paraId="2E72070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color w:val="auto"/>
                <w:sz w:val="24"/>
                <w:szCs w:val="24"/>
                <w:highlight w:val="none"/>
                <w:lang w:eastAsia="zh-CN"/>
              </w:rPr>
            </w:pPr>
          </w:p>
        </w:tc>
        <w:tc>
          <w:tcPr>
            <w:tcW w:w="1446" w:type="dxa"/>
            <w:vAlign w:val="center"/>
          </w:tcPr>
          <w:p w14:paraId="003236C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i w:val="0"/>
                <w:caps w:val="0"/>
                <w:color w:val="auto"/>
                <w:spacing w:val="0"/>
                <w:sz w:val="24"/>
                <w:szCs w:val="24"/>
                <w:highlight w:val="none"/>
                <w:shd w:val="clear" w:fill="FFFFFF"/>
                <w:lang w:val="en-US" w:eastAsia="zh-CN"/>
              </w:rPr>
              <w:t>H</w:t>
            </w:r>
            <w:r>
              <w:rPr>
                <w:rFonts w:hint="default" w:ascii="Times New Roman" w:hAnsi="Times New Roman" w:cs="Times New Roman"/>
                <w:i w:val="0"/>
                <w:caps w:val="0"/>
                <w:color w:val="auto"/>
                <w:spacing w:val="0"/>
                <w:sz w:val="24"/>
                <w:szCs w:val="24"/>
                <w:highlight w:val="none"/>
                <w:shd w:val="clear" w:fill="FFFFFF"/>
                <w:vertAlign w:val="subscript"/>
                <w:lang w:val="en-US" w:eastAsia="zh-CN"/>
              </w:rPr>
              <w:t>2</w:t>
            </w:r>
            <w:r>
              <w:rPr>
                <w:rFonts w:hint="default" w:ascii="Times New Roman" w:hAnsi="Times New Roman" w:cs="Times New Roman"/>
                <w:i w:val="0"/>
                <w:caps w:val="0"/>
                <w:color w:val="auto"/>
                <w:spacing w:val="0"/>
                <w:sz w:val="24"/>
                <w:szCs w:val="24"/>
                <w:highlight w:val="none"/>
                <w:shd w:val="clear" w:fill="FFFFFF"/>
                <w:lang w:val="en-US" w:eastAsia="zh-CN"/>
              </w:rPr>
              <w:t>S</w:t>
            </w:r>
          </w:p>
        </w:tc>
        <w:tc>
          <w:tcPr>
            <w:tcW w:w="2442" w:type="dxa"/>
            <w:vMerge w:val="continue"/>
            <w:vAlign w:val="center"/>
          </w:tcPr>
          <w:p w14:paraId="406BD90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cs="Times New Roman"/>
                <w:color w:val="auto"/>
                <w:sz w:val="24"/>
                <w:szCs w:val="24"/>
                <w:highlight w:val="none"/>
                <w:lang w:val="en-US" w:eastAsia="zh-CN"/>
              </w:rPr>
            </w:pPr>
          </w:p>
        </w:tc>
        <w:tc>
          <w:tcPr>
            <w:tcW w:w="2871" w:type="dxa"/>
            <w:vMerge w:val="continue"/>
            <w:vAlign w:val="center"/>
          </w:tcPr>
          <w:p w14:paraId="62EF2EA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color w:val="auto"/>
                <w:sz w:val="24"/>
                <w:szCs w:val="24"/>
                <w:highlight w:val="none"/>
              </w:rPr>
            </w:pPr>
          </w:p>
        </w:tc>
      </w:tr>
      <w:tr w14:paraId="7745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03" w:type="dxa"/>
            <w:vMerge w:val="continue"/>
            <w:vAlign w:val="center"/>
          </w:tcPr>
          <w:p w14:paraId="3F1278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continue"/>
            <w:vAlign w:val="center"/>
          </w:tcPr>
          <w:p w14:paraId="3F122F0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cs="宋体"/>
                <w:color w:val="auto"/>
                <w:sz w:val="24"/>
                <w:szCs w:val="24"/>
                <w:highlight w:val="none"/>
              </w:rPr>
            </w:pPr>
          </w:p>
        </w:tc>
        <w:tc>
          <w:tcPr>
            <w:tcW w:w="1225" w:type="dxa"/>
            <w:vAlign w:val="center"/>
          </w:tcPr>
          <w:p w14:paraId="706F899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color w:val="auto"/>
                <w:sz w:val="24"/>
                <w:szCs w:val="24"/>
                <w:highlight w:val="none"/>
                <w:lang w:eastAsia="zh-CN"/>
              </w:rPr>
            </w:pPr>
            <w:r>
              <w:rPr>
                <w:rFonts w:hint="eastAsia"/>
                <w:color w:val="auto"/>
                <w:sz w:val="24"/>
                <w:szCs w:val="24"/>
                <w:highlight w:val="none"/>
                <w:lang w:eastAsia="zh-CN"/>
              </w:rPr>
              <w:t>煎药、熏蒸室</w:t>
            </w:r>
          </w:p>
        </w:tc>
        <w:tc>
          <w:tcPr>
            <w:tcW w:w="1446" w:type="dxa"/>
            <w:vAlign w:val="center"/>
          </w:tcPr>
          <w:p w14:paraId="20DCED9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color w:val="auto"/>
                <w:sz w:val="24"/>
                <w:szCs w:val="24"/>
                <w:highlight w:val="none"/>
                <w:lang w:val="en-US" w:eastAsia="zh-CN"/>
              </w:rPr>
            </w:pPr>
            <w:r>
              <w:rPr>
                <w:rFonts w:hint="eastAsia" w:cs="Times New Roman"/>
                <w:color w:val="auto"/>
                <w:sz w:val="24"/>
                <w:szCs w:val="24"/>
                <w:highlight w:val="none"/>
                <w:lang w:eastAsia="zh-CN"/>
              </w:rPr>
              <w:t>臭气浓度</w:t>
            </w:r>
          </w:p>
        </w:tc>
        <w:tc>
          <w:tcPr>
            <w:tcW w:w="2442" w:type="dxa"/>
            <w:vAlign w:val="center"/>
          </w:tcPr>
          <w:p w14:paraId="5454DB2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cs="宋体"/>
                <w:color w:val="auto"/>
                <w:sz w:val="24"/>
                <w:szCs w:val="24"/>
                <w:highlight w:val="none"/>
              </w:rPr>
            </w:pPr>
            <w:r>
              <w:rPr>
                <w:rFonts w:hint="eastAsia"/>
                <w:color w:val="auto"/>
                <w:sz w:val="24"/>
                <w:szCs w:val="24"/>
                <w:highlight w:val="none"/>
                <w:lang w:val="zh-CN"/>
              </w:rPr>
              <w:t>通风、自然扩散</w:t>
            </w:r>
          </w:p>
        </w:tc>
        <w:tc>
          <w:tcPr>
            <w:tcW w:w="2871" w:type="dxa"/>
            <w:vAlign w:val="center"/>
          </w:tcPr>
          <w:p w14:paraId="76DB30B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cs="宋体"/>
                <w:color w:val="auto"/>
                <w:sz w:val="24"/>
                <w:szCs w:val="24"/>
                <w:highlight w:val="none"/>
              </w:rPr>
            </w:pPr>
            <w:r>
              <w:rPr>
                <w:rFonts w:hint="eastAsia"/>
                <w:color w:val="auto"/>
                <w:sz w:val="24"/>
                <w:szCs w:val="24"/>
                <w:highlight w:val="none"/>
                <w:lang w:val="en-US" w:eastAsia="zh-CN"/>
              </w:rPr>
              <w:t>《恶臭污染物排放标准》（GB14554-93）表1要求</w:t>
            </w:r>
          </w:p>
        </w:tc>
      </w:tr>
      <w:tr w14:paraId="33A60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3" w:type="dxa"/>
            <w:vMerge w:val="restart"/>
            <w:vAlign w:val="center"/>
          </w:tcPr>
          <w:p w14:paraId="106A55E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水</w:t>
            </w:r>
          </w:p>
          <w:p w14:paraId="063624A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污</w:t>
            </w:r>
          </w:p>
          <w:p w14:paraId="0B98E3B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染</w:t>
            </w:r>
          </w:p>
          <w:p w14:paraId="585D304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物</w:t>
            </w:r>
          </w:p>
        </w:tc>
        <w:tc>
          <w:tcPr>
            <w:tcW w:w="525" w:type="dxa"/>
            <w:vMerge w:val="restart"/>
            <w:vAlign w:val="center"/>
          </w:tcPr>
          <w:p w14:paraId="6D0C7C87">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施工期</w:t>
            </w:r>
          </w:p>
        </w:tc>
        <w:tc>
          <w:tcPr>
            <w:tcW w:w="1225" w:type="dxa"/>
            <w:vMerge w:val="restart"/>
            <w:vAlign w:val="center"/>
          </w:tcPr>
          <w:p w14:paraId="15F609A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val="0"/>
                <w:bCs w:val="0"/>
                <w:color w:val="auto"/>
                <w:sz w:val="24"/>
                <w:szCs w:val="24"/>
                <w:highlight w:val="none"/>
              </w:rPr>
            </w:pPr>
            <w:r>
              <w:rPr>
                <w:rFonts w:hint="eastAsia" w:cs="Times New Roman"/>
                <w:color w:val="auto"/>
                <w:sz w:val="24"/>
                <w:szCs w:val="24"/>
                <w:highlight w:val="none"/>
                <w:lang w:eastAsia="zh-CN"/>
              </w:rPr>
              <w:t>施工人员</w:t>
            </w:r>
          </w:p>
        </w:tc>
        <w:tc>
          <w:tcPr>
            <w:tcW w:w="1446" w:type="dxa"/>
            <w:vAlign w:val="center"/>
          </w:tcPr>
          <w:p w14:paraId="4390D20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val="0"/>
                <w:bCs w:val="0"/>
                <w:color w:val="auto"/>
                <w:sz w:val="24"/>
                <w:szCs w:val="24"/>
                <w:highlight w:val="none"/>
              </w:rPr>
            </w:pPr>
            <w:r>
              <w:rPr>
                <w:rFonts w:hint="eastAsia" w:cs="Times New Roman"/>
                <w:color w:val="auto"/>
                <w:sz w:val="24"/>
                <w:szCs w:val="24"/>
                <w:highlight w:val="none"/>
                <w:lang w:val="en-US" w:eastAsia="zh-CN"/>
              </w:rPr>
              <w:t>COD</w:t>
            </w:r>
          </w:p>
        </w:tc>
        <w:tc>
          <w:tcPr>
            <w:tcW w:w="2442" w:type="dxa"/>
            <w:vMerge w:val="restart"/>
            <w:vAlign w:val="center"/>
          </w:tcPr>
          <w:p w14:paraId="67CAE00A">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r>
              <w:rPr>
                <w:rFonts w:hint="eastAsia" w:ascii="Times New Roman" w:hAnsi="Times New Roman" w:eastAsia="宋体" w:cs="Times New Roman"/>
                <w:b w:val="0"/>
                <w:bCs w:val="0"/>
                <w:smallCaps/>
                <w:color w:val="auto"/>
                <w:kern w:val="2"/>
                <w:sz w:val="24"/>
                <w:szCs w:val="24"/>
                <w:highlight w:val="none"/>
                <w:lang w:val="en-US" w:eastAsia="zh-CN" w:bidi="ar-SA"/>
              </w:rPr>
              <w:t>依托现有大楼排水设施，经化粪池预处理后排入市政管网</w:t>
            </w:r>
          </w:p>
        </w:tc>
        <w:tc>
          <w:tcPr>
            <w:tcW w:w="2871" w:type="dxa"/>
            <w:vMerge w:val="restart"/>
            <w:vAlign w:val="center"/>
          </w:tcPr>
          <w:p w14:paraId="6C4BD9A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smallCaps/>
                <w:color w:val="auto"/>
                <w:sz w:val="24"/>
                <w:szCs w:val="24"/>
                <w:highlight w:val="none"/>
              </w:rPr>
              <w:t>《辽宁省污水综合排放标准》(DB21/1627-2008)表</w:t>
            </w:r>
            <w:r>
              <w:rPr>
                <w:rFonts w:hint="eastAsia" w:cs="Times New Roman"/>
                <w:smallCaps/>
                <w:color w:val="auto"/>
                <w:sz w:val="24"/>
                <w:szCs w:val="24"/>
                <w:highlight w:val="none"/>
                <w:lang w:val="en-US" w:eastAsia="zh-CN"/>
              </w:rPr>
              <w:t>2</w:t>
            </w:r>
            <w:r>
              <w:rPr>
                <w:rFonts w:hint="default" w:ascii="Times New Roman" w:hAnsi="Times New Roman" w:cs="Times New Roman"/>
                <w:smallCaps/>
                <w:color w:val="auto"/>
                <w:sz w:val="24"/>
                <w:szCs w:val="24"/>
                <w:highlight w:val="none"/>
              </w:rPr>
              <w:t>标准</w:t>
            </w:r>
            <w:r>
              <w:rPr>
                <w:rFonts w:hint="eastAsia" w:cs="Times New Roman"/>
                <w:smallCaps/>
                <w:color w:val="auto"/>
                <w:sz w:val="24"/>
                <w:szCs w:val="24"/>
                <w:highlight w:val="none"/>
                <w:lang w:eastAsia="zh-CN"/>
              </w:rPr>
              <w:t>要求</w:t>
            </w:r>
          </w:p>
        </w:tc>
      </w:tr>
      <w:tr w14:paraId="0F70F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3" w:type="dxa"/>
            <w:vMerge w:val="continue"/>
            <w:vAlign w:val="center"/>
          </w:tcPr>
          <w:p w14:paraId="3F17AFD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continue"/>
            <w:vAlign w:val="center"/>
          </w:tcPr>
          <w:p w14:paraId="03B35239">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c>
          <w:tcPr>
            <w:tcW w:w="1225" w:type="dxa"/>
            <w:vMerge w:val="continue"/>
            <w:vAlign w:val="center"/>
          </w:tcPr>
          <w:p w14:paraId="3F63EA4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val="0"/>
                <w:bCs w:val="0"/>
                <w:color w:val="auto"/>
                <w:sz w:val="24"/>
                <w:szCs w:val="24"/>
                <w:highlight w:val="none"/>
              </w:rPr>
            </w:pPr>
          </w:p>
        </w:tc>
        <w:tc>
          <w:tcPr>
            <w:tcW w:w="1446" w:type="dxa"/>
            <w:vAlign w:val="center"/>
          </w:tcPr>
          <w:p w14:paraId="72F2BBD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val="0"/>
                <w:bCs w:val="0"/>
                <w:color w:val="auto"/>
                <w:sz w:val="24"/>
                <w:szCs w:val="24"/>
                <w:highlight w:val="none"/>
              </w:rPr>
            </w:pPr>
            <w:r>
              <w:rPr>
                <w:rFonts w:hint="eastAsia" w:ascii="Times New Roman" w:hAnsi="宋体" w:cs="Times New Roman"/>
                <w:color w:val="auto"/>
                <w:sz w:val="24"/>
                <w:szCs w:val="24"/>
                <w:highlight w:val="none"/>
                <w:lang w:val="en-US" w:eastAsia="zh-CN"/>
              </w:rPr>
              <w:t>NH</w:t>
            </w:r>
            <w:r>
              <w:rPr>
                <w:rFonts w:hint="eastAsia" w:ascii="Times New Roman" w:hAnsi="宋体" w:cs="Times New Roman"/>
                <w:color w:val="auto"/>
                <w:sz w:val="24"/>
                <w:szCs w:val="24"/>
                <w:highlight w:val="none"/>
                <w:vertAlign w:val="subscript"/>
                <w:lang w:val="en-US" w:eastAsia="zh-CN"/>
              </w:rPr>
              <w:t>3</w:t>
            </w:r>
            <w:r>
              <w:rPr>
                <w:rFonts w:hint="eastAsia" w:ascii="Times New Roman" w:hAnsi="宋体" w:cs="Times New Roman"/>
                <w:color w:val="auto"/>
                <w:sz w:val="24"/>
                <w:szCs w:val="24"/>
                <w:highlight w:val="none"/>
                <w:lang w:val="en-US" w:eastAsia="zh-CN"/>
              </w:rPr>
              <w:t>-N</w:t>
            </w:r>
          </w:p>
        </w:tc>
        <w:tc>
          <w:tcPr>
            <w:tcW w:w="2442" w:type="dxa"/>
            <w:vMerge w:val="continue"/>
            <w:vAlign w:val="center"/>
          </w:tcPr>
          <w:p w14:paraId="62801776">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p>
        </w:tc>
        <w:tc>
          <w:tcPr>
            <w:tcW w:w="2871" w:type="dxa"/>
            <w:vMerge w:val="continue"/>
            <w:vAlign w:val="center"/>
          </w:tcPr>
          <w:p w14:paraId="6563CC6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r>
      <w:tr w14:paraId="2004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3" w:type="dxa"/>
            <w:vMerge w:val="continue"/>
            <w:vAlign w:val="center"/>
          </w:tcPr>
          <w:p w14:paraId="16EAE58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continue"/>
            <w:vAlign w:val="center"/>
          </w:tcPr>
          <w:p w14:paraId="16CA62F6">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c>
          <w:tcPr>
            <w:tcW w:w="1225" w:type="dxa"/>
            <w:vMerge w:val="continue"/>
            <w:vAlign w:val="center"/>
          </w:tcPr>
          <w:p w14:paraId="78889D4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val="0"/>
                <w:bCs w:val="0"/>
                <w:color w:val="auto"/>
                <w:sz w:val="24"/>
                <w:szCs w:val="24"/>
                <w:highlight w:val="none"/>
              </w:rPr>
            </w:pPr>
          </w:p>
        </w:tc>
        <w:tc>
          <w:tcPr>
            <w:tcW w:w="1446" w:type="dxa"/>
            <w:vAlign w:val="center"/>
          </w:tcPr>
          <w:p w14:paraId="71EAE2B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val="0"/>
                <w:bCs w:val="0"/>
                <w:color w:val="auto"/>
                <w:sz w:val="24"/>
                <w:szCs w:val="24"/>
                <w:highlight w:val="none"/>
              </w:rPr>
            </w:pPr>
            <w:r>
              <w:rPr>
                <w:rFonts w:hint="eastAsia" w:ascii="Times New Roman" w:hAnsi="宋体" w:cs="Times New Roman"/>
                <w:color w:val="auto"/>
                <w:sz w:val="24"/>
                <w:szCs w:val="24"/>
                <w:highlight w:val="none"/>
                <w:lang w:val="en-US" w:eastAsia="zh-CN"/>
              </w:rPr>
              <w:t>SS</w:t>
            </w:r>
          </w:p>
        </w:tc>
        <w:tc>
          <w:tcPr>
            <w:tcW w:w="2442" w:type="dxa"/>
            <w:vMerge w:val="continue"/>
            <w:vAlign w:val="center"/>
          </w:tcPr>
          <w:p w14:paraId="41F03D69">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p>
        </w:tc>
        <w:tc>
          <w:tcPr>
            <w:tcW w:w="2871" w:type="dxa"/>
            <w:vMerge w:val="continue"/>
            <w:vAlign w:val="center"/>
          </w:tcPr>
          <w:p w14:paraId="38B64B7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r>
      <w:tr w14:paraId="4F7E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3" w:type="dxa"/>
            <w:vMerge w:val="continue"/>
            <w:vAlign w:val="center"/>
          </w:tcPr>
          <w:p w14:paraId="2F544FF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restart"/>
            <w:vAlign w:val="center"/>
          </w:tcPr>
          <w:p w14:paraId="2F01B97A">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营运期</w:t>
            </w:r>
          </w:p>
        </w:tc>
        <w:tc>
          <w:tcPr>
            <w:tcW w:w="1225" w:type="dxa"/>
            <w:vMerge w:val="restart"/>
            <w:vAlign w:val="center"/>
          </w:tcPr>
          <w:p w14:paraId="61EFE897">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医疗废水</w:t>
            </w:r>
          </w:p>
        </w:tc>
        <w:tc>
          <w:tcPr>
            <w:tcW w:w="1446" w:type="dxa"/>
            <w:vAlign w:val="center"/>
          </w:tcPr>
          <w:p w14:paraId="3277A58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r>
              <w:rPr>
                <w:rFonts w:hint="eastAsia"/>
                <w:color w:val="auto"/>
                <w:sz w:val="24"/>
                <w:szCs w:val="24"/>
                <w:highlight w:val="none"/>
                <w:vertAlign w:val="baseline"/>
                <w:lang w:val="en-US" w:eastAsia="zh-CN"/>
              </w:rPr>
              <w:t>COD</w:t>
            </w:r>
          </w:p>
        </w:tc>
        <w:tc>
          <w:tcPr>
            <w:tcW w:w="2442" w:type="dxa"/>
            <w:vMerge w:val="restart"/>
            <w:vAlign w:val="center"/>
          </w:tcPr>
          <w:p w14:paraId="4266334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eastAsia" w:cs="Times New Roman"/>
                <w:color w:val="auto"/>
                <w:kern w:val="0"/>
                <w:sz w:val="24"/>
                <w:szCs w:val="24"/>
                <w:highlight w:val="none"/>
                <w:lang w:eastAsia="zh-CN"/>
              </w:rPr>
              <w:t>一体化</w:t>
            </w:r>
            <w:r>
              <w:rPr>
                <w:rFonts w:hint="default" w:ascii="Times New Roman" w:hAnsi="Times New Roman" w:eastAsia="宋体" w:cs="Times New Roman"/>
                <w:color w:val="auto"/>
                <w:kern w:val="0"/>
                <w:sz w:val="24"/>
                <w:szCs w:val="24"/>
                <w:highlight w:val="none"/>
              </w:rPr>
              <w:t>污水处理设施</w:t>
            </w:r>
            <w:r>
              <w:rPr>
                <w:rFonts w:hint="eastAsia" w:cs="Times New Roman"/>
                <w:color w:val="auto"/>
                <w:kern w:val="0"/>
                <w:sz w:val="24"/>
                <w:szCs w:val="24"/>
                <w:highlight w:val="none"/>
                <w:lang w:eastAsia="zh-CN"/>
              </w:rPr>
              <w:t>（</w:t>
            </w:r>
            <w:r>
              <w:rPr>
                <w:rFonts w:hint="eastAsia" w:ascii="Times New Roman" w:hAnsi="Times New Roman" w:cs="Times New Roman"/>
                <w:color w:val="auto"/>
                <w:sz w:val="24"/>
                <w:szCs w:val="24"/>
                <w:highlight w:val="none"/>
              </w:rPr>
              <w:t>格栅+调节池+絮凝沉淀+消毒</w:t>
            </w:r>
            <w:r>
              <w:rPr>
                <w:rFonts w:hint="eastAsia" w:cs="Times New Roman"/>
                <w:color w:val="auto"/>
                <w:sz w:val="24"/>
                <w:szCs w:val="24"/>
                <w:highlight w:val="none"/>
                <w:lang w:val="en-US" w:eastAsia="zh-CN"/>
              </w:rPr>
              <w:t>工艺</w:t>
            </w:r>
            <w:r>
              <w:rPr>
                <w:rFonts w:hint="eastAsia" w:cs="Times New Roman"/>
                <w:color w:val="auto"/>
                <w:kern w:val="0"/>
                <w:sz w:val="24"/>
                <w:szCs w:val="24"/>
                <w:highlight w:val="none"/>
                <w:lang w:eastAsia="zh-CN"/>
              </w:rPr>
              <w:t>）</w:t>
            </w:r>
          </w:p>
        </w:tc>
        <w:tc>
          <w:tcPr>
            <w:tcW w:w="2871" w:type="dxa"/>
            <w:vMerge w:val="restart"/>
            <w:vAlign w:val="center"/>
          </w:tcPr>
          <w:p w14:paraId="48C9D6C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color w:val="auto"/>
                <w:highlight w:val="none"/>
              </w:rPr>
            </w:pPr>
            <w:r>
              <w:rPr>
                <w:rFonts w:hint="default" w:ascii="Times New Roman" w:hAnsi="Times New Roman" w:eastAsia="宋体" w:cs="Times New Roman"/>
                <w:color w:val="auto"/>
                <w:kern w:val="0"/>
                <w:sz w:val="24"/>
                <w:szCs w:val="24"/>
                <w:highlight w:val="none"/>
              </w:rPr>
              <w:t>医疗机构废水执行《医疗机构水污染物排放标准》（GB18466-2005）</w:t>
            </w:r>
            <w:r>
              <w:rPr>
                <w:rFonts w:hint="eastAsia" w:ascii="Times New Roman" w:hAnsi="Times New Roman" w:eastAsia="宋体" w:cs="Times New Roman"/>
                <w:color w:val="auto"/>
                <w:kern w:val="0"/>
                <w:sz w:val="24"/>
                <w:szCs w:val="24"/>
                <w:highlight w:val="none"/>
                <w:lang w:eastAsia="zh-CN"/>
              </w:rPr>
              <w:t>表</w:t>
            </w:r>
            <w:r>
              <w:rPr>
                <w:rFonts w:hint="eastAsia" w:ascii="Times New Roman" w:hAnsi="Times New Roman" w:eastAsia="宋体" w:cs="Times New Roman"/>
                <w:color w:val="auto"/>
                <w:kern w:val="0"/>
                <w:sz w:val="24"/>
                <w:szCs w:val="24"/>
                <w:highlight w:val="none"/>
                <w:lang w:val="en-US" w:eastAsia="zh-CN"/>
              </w:rPr>
              <w:t>2预处理</w:t>
            </w:r>
            <w:r>
              <w:rPr>
                <w:rFonts w:hint="default" w:ascii="Times New Roman" w:hAnsi="Times New Roman" w:eastAsia="宋体" w:cs="Times New Roman"/>
                <w:color w:val="auto"/>
                <w:kern w:val="0"/>
                <w:sz w:val="24"/>
                <w:szCs w:val="24"/>
                <w:highlight w:val="none"/>
              </w:rPr>
              <w:t>标准</w:t>
            </w:r>
          </w:p>
        </w:tc>
      </w:tr>
      <w:tr w14:paraId="5BC4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3" w:type="dxa"/>
            <w:vMerge w:val="continue"/>
            <w:vAlign w:val="center"/>
          </w:tcPr>
          <w:p w14:paraId="2C63597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continue"/>
            <w:vAlign w:val="center"/>
          </w:tcPr>
          <w:p w14:paraId="75377F06">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c>
          <w:tcPr>
            <w:tcW w:w="1225" w:type="dxa"/>
            <w:vMerge w:val="continue"/>
            <w:vAlign w:val="center"/>
          </w:tcPr>
          <w:p w14:paraId="0644E511">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p>
        </w:tc>
        <w:tc>
          <w:tcPr>
            <w:tcW w:w="1446" w:type="dxa"/>
            <w:vAlign w:val="center"/>
          </w:tcPr>
          <w:p w14:paraId="0B41658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r>
              <w:rPr>
                <w:rFonts w:hint="eastAsia"/>
                <w:color w:val="auto"/>
                <w:sz w:val="24"/>
                <w:szCs w:val="24"/>
                <w:highlight w:val="none"/>
                <w:vertAlign w:val="baseline"/>
                <w:lang w:val="en-US" w:eastAsia="zh-CN"/>
              </w:rPr>
              <w:t>SS</w:t>
            </w:r>
          </w:p>
        </w:tc>
        <w:tc>
          <w:tcPr>
            <w:tcW w:w="2442" w:type="dxa"/>
            <w:vMerge w:val="continue"/>
            <w:vAlign w:val="center"/>
          </w:tcPr>
          <w:p w14:paraId="6A0F3AC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2871" w:type="dxa"/>
            <w:vMerge w:val="continue"/>
            <w:vAlign w:val="center"/>
          </w:tcPr>
          <w:p w14:paraId="0E9A372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r>
      <w:tr w14:paraId="31E8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3" w:type="dxa"/>
            <w:vMerge w:val="continue"/>
            <w:vAlign w:val="center"/>
          </w:tcPr>
          <w:p w14:paraId="546EB9C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continue"/>
            <w:vAlign w:val="center"/>
          </w:tcPr>
          <w:p w14:paraId="4030153F">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c>
          <w:tcPr>
            <w:tcW w:w="1225" w:type="dxa"/>
            <w:vMerge w:val="continue"/>
            <w:vAlign w:val="center"/>
          </w:tcPr>
          <w:p w14:paraId="0862931E">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p>
        </w:tc>
        <w:tc>
          <w:tcPr>
            <w:tcW w:w="1446" w:type="dxa"/>
            <w:vAlign w:val="center"/>
          </w:tcPr>
          <w:p w14:paraId="39BF885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r>
              <w:rPr>
                <w:rFonts w:hint="eastAsia"/>
                <w:color w:val="auto"/>
                <w:sz w:val="24"/>
                <w:szCs w:val="24"/>
                <w:highlight w:val="none"/>
                <w:vertAlign w:val="baseline"/>
                <w:lang w:val="en-US" w:eastAsia="zh-CN"/>
              </w:rPr>
              <w:t>氨氮</w:t>
            </w:r>
          </w:p>
        </w:tc>
        <w:tc>
          <w:tcPr>
            <w:tcW w:w="2442" w:type="dxa"/>
            <w:vMerge w:val="continue"/>
            <w:vAlign w:val="center"/>
          </w:tcPr>
          <w:p w14:paraId="04ECA85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2871" w:type="dxa"/>
            <w:vMerge w:val="continue"/>
            <w:vAlign w:val="center"/>
          </w:tcPr>
          <w:p w14:paraId="3FC53AE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r>
      <w:tr w14:paraId="4442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903" w:type="dxa"/>
            <w:vMerge w:val="continue"/>
            <w:vAlign w:val="center"/>
          </w:tcPr>
          <w:p w14:paraId="62FB9BE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continue"/>
            <w:vAlign w:val="center"/>
          </w:tcPr>
          <w:p w14:paraId="1DBFCD3B">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c>
          <w:tcPr>
            <w:tcW w:w="1225" w:type="dxa"/>
            <w:vMerge w:val="continue"/>
            <w:vAlign w:val="center"/>
          </w:tcPr>
          <w:p w14:paraId="322B09B2">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p>
        </w:tc>
        <w:tc>
          <w:tcPr>
            <w:tcW w:w="1446" w:type="dxa"/>
            <w:vAlign w:val="center"/>
          </w:tcPr>
          <w:p w14:paraId="4B4885A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color w:val="auto"/>
                <w:sz w:val="24"/>
                <w:szCs w:val="24"/>
                <w:highlight w:val="none"/>
              </w:rPr>
              <w:t>粪大肠菌群数</w:t>
            </w:r>
          </w:p>
        </w:tc>
        <w:tc>
          <w:tcPr>
            <w:tcW w:w="2442" w:type="dxa"/>
            <w:vMerge w:val="continue"/>
            <w:vAlign w:val="center"/>
          </w:tcPr>
          <w:p w14:paraId="3BB51AA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2871" w:type="dxa"/>
            <w:vMerge w:val="continue"/>
            <w:vAlign w:val="center"/>
          </w:tcPr>
          <w:p w14:paraId="1BBE1A4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r>
      <w:tr w14:paraId="2C0E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903" w:type="dxa"/>
            <w:vMerge w:val="continue"/>
            <w:vAlign w:val="center"/>
          </w:tcPr>
          <w:p w14:paraId="017D1CD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continue"/>
            <w:vAlign w:val="center"/>
          </w:tcPr>
          <w:p w14:paraId="5D6A3D27">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c>
          <w:tcPr>
            <w:tcW w:w="1225" w:type="dxa"/>
            <w:vMerge w:val="continue"/>
            <w:vAlign w:val="center"/>
          </w:tcPr>
          <w:p w14:paraId="299D49C2">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p>
        </w:tc>
        <w:tc>
          <w:tcPr>
            <w:tcW w:w="1446" w:type="dxa"/>
            <w:vAlign w:val="center"/>
          </w:tcPr>
          <w:p w14:paraId="789564E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总余氯</w:t>
            </w:r>
          </w:p>
        </w:tc>
        <w:tc>
          <w:tcPr>
            <w:tcW w:w="2442" w:type="dxa"/>
            <w:vMerge w:val="continue"/>
            <w:vAlign w:val="center"/>
          </w:tcPr>
          <w:p w14:paraId="1DFA349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2871" w:type="dxa"/>
            <w:vMerge w:val="continue"/>
            <w:vAlign w:val="center"/>
          </w:tcPr>
          <w:p w14:paraId="4AA58CA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r>
      <w:tr w14:paraId="4DB33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903" w:type="dxa"/>
            <w:vMerge w:val="continue"/>
            <w:vAlign w:val="center"/>
          </w:tcPr>
          <w:p w14:paraId="32A324D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continue"/>
            <w:vAlign w:val="center"/>
          </w:tcPr>
          <w:p w14:paraId="76404C98">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c>
          <w:tcPr>
            <w:tcW w:w="1225" w:type="dxa"/>
            <w:vMerge w:val="restart"/>
            <w:vAlign w:val="center"/>
          </w:tcPr>
          <w:p w14:paraId="04D8C9B2">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r>
              <w:rPr>
                <w:rFonts w:hint="eastAsia" w:cs="Times New Roman"/>
                <w:b w:val="0"/>
                <w:bCs w:val="0"/>
                <w:color w:val="auto"/>
                <w:sz w:val="24"/>
                <w:szCs w:val="24"/>
                <w:highlight w:val="none"/>
                <w:lang w:eastAsia="zh-CN"/>
              </w:rPr>
              <w:t>生活污水</w:t>
            </w:r>
          </w:p>
        </w:tc>
        <w:tc>
          <w:tcPr>
            <w:tcW w:w="1446" w:type="dxa"/>
            <w:vAlign w:val="center"/>
          </w:tcPr>
          <w:p w14:paraId="1C561F1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eastAsia"/>
                <w:color w:val="auto"/>
                <w:sz w:val="24"/>
                <w:szCs w:val="24"/>
                <w:highlight w:val="none"/>
                <w:vertAlign w:val="baseline"/>
                <w:lang w:val="en-US" w:eastAsia="zh-CN"/>
              </w:rPr>
              <w:t>COD</w:t>
            </w:r>
          </w:p>
        </w:tc>
        <w:tc>
          <w:tcPr>
            <w:tcW w:w="2442" w:type="dxa"/>
            <w:vMerge w:val="restart"/>
            <w:vAlign w:val="center"/>
          </w:tcPr>
          <w:p w14:paraId="16B0349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rPr>
              <w:t>生活污水进入小区内设的化粪池进行预处理后进入城市污水管网</w:t>
            </w:r>
          </w:p>
        </w:tc>
        <w:tc>
          <w:tcPr>
            <w:tcW w:w="2871" w:type="dxa"/>
            <w:vMerge w:val="restart"/>
            <w:vAlign w:val="center"/>
          </w:tcPr>
          <w:p w14:paraId="7068D31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满足</w:t>
            </w:r>
            <w:r>
              <w:rPr>
                <w:rFonts w:hint="default" w:ascii="Times New Roman" w:hAnsi="Times New Roman" w:cs="Times New Roman"/>
                <w:smallCaps/>
                <w:color w:val="auto"/>
                <w:sz w:val="24"/>
                <w:szCs w:val="24"/>
                <w:highlight w:val="none"/>
              </w:rPr>
              <w:t>《辽宁省污水综合排放标准》(DB21/1627-2008)表2标准</w:t>
            </w:r>
          </w:p>
        </w:tc>
      </w:tr>
      <w:tr w14:paraId="745C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903" w:type="dxa"/>
            <w:vMerge w:val="continue"/>
            <w:vAlign w:val="center"/>
          </w:tcPr>
          <w:p w14:paraId="6247CE0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continue"/>
            <w:vAlign w:val="center"/>
          </w:tcPr>
          <w:p w14:paraId="164E9525">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c>
          <w:tcPr>
            <w:tcW w:w="1225" w:type="dxa"/>
            <w:vMerge w:val="continue"/>
            <w:vAlign w:val="center"/>
          </w:tcPr>
          <w:p w14:paraId="24AD8645">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eastAsia" w:cs="Times New Roman"/>
                <w:b w:val="0"/>
                <w:bCs w:val="0"/>
                <w:color w:val="auto"/>
                <w:sz w:val="24"/>
                <w:szCs w:val="24"/>
                <w:highlight w:val="none"/>
                <w:lang w:eastAsia="zh-CN"/>
              </w:rPr>
            </w:pPr>
          </w:p>
        </w:tc>
        <w:tc>
          <w:tcPr>
            <w:tcW w:w="1446" w:type="dxa"/>
            <w:vAlign w:val="center"/>
          </w:tcPr>
          <w:p w14:paraId="120B793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eastAsia"/>
                <w:color w:val="auto"/>
                <w:sz w:val="24"/>
                <w:szCs w:val="24"/>
                <w:highlight w:val="none"/>
                <w:vertAlign w:val="baseline"/>
                <w:lang w:val="en-US" w:eastAsia="zh-CN"/>
              </w:rPr>
              <w:t>SS</w:t>
            </w:r>
          </w:p>
        </w:tc>
        <w:tc>
          <w:tcPr>
            <w:tcW w:w="2442" w:type="dxa"/>
            <w:vMerge w:val="continue"/>
            <w:vAlign w:val="center"/>
          </w:tcPr>
          <w:p w14:paraId="1ECA0A6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2871" w:type="dxa"/>
            <w:vMerge w:val="continue"/>
            <w:vAlign w:val="center"/>
          </w:tcPr>
          <w:p w14:paraId="78BFB34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r>
      <w:tr w14:paraId="75FCF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903" w:type="dxa"/>
            <w:vMerge w:val="continue"/>
            <w:vAlign w:val="center"/>
          </w:tcPr>
          <w:p w14:paraId="070924C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continue"/>
            <w:vAlign w:val="center"/>
          </w:tcPr>
          <w:p w14:paraId="25D22FF7">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c>
          <w:tcPr>
            <w:tcW w:w="1225" w:type="dxa"/>
            <w:vMerge w:val="continue"/>
            <w:vAlign w:val="center"/>
          </w:tcPr>
          <w:p w14:paraId="5EBDE536">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eastAsia" w:cs="Times New Roman"/>
                <w:b w:val="0"/>
                <w:bCs w:val="0"/>
                <w:color w:val="auto"/>
                <w:sz w:val="24"/>
                <w:szCs w:val="24"/>
                <w:highlight w:val="none"/>
                <w:lang w:eastAsia="zh-CN"/>
              </w:rPr>
            </w:pPr>
          </w:p>
        </w:tc>
        <w:tc>
          <w:tcPr>
            <w:tcW w:w="1446" w:type="dxa"/>
            <w:vAlign w:val="center"/>
          </w:tcPr>
          <w:p w14:paraId="56F9989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eastAsia"/>
                <w:color w:val="auto"/>
                <w:sz w:val="24"/>
                <w:szCs w:val="24"/>
                <w:highlight w:val="none"/>
                <w:vertAlign w:val="baseline"/>
                <w:lang w:val="en-US" w:eastAsia="zh-CN"/>
              </w:rPr>
              <w:t>氨氮</w:t>
            </w:r>
          </w:p>
        </w:tc>
        <w:tc>
          <w:tcPr>
            <w:tcW w:w="2442" w:type="dxa"/>
            <w:vMerge w:val="continue"/>
            <w:vAlign w:val="center"/>
          </w:tcPr>
          <w:p w14:paraId="711C3B6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2871" w:type="dxa"/>
            <w:vMerge w:val="continue"/>
            <w:vAlign w:val="center"/>
          </w:tcPr>
          <w:p w14:paraId="4F25144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r>
      <w:tr w14:paraId="26E3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3" w:type="dxa"/>
            <w:vMerge w:val="restart"/>
            <w:vAlign w:val="center"/>
          </w:tcPr>
          <w:p w14:paraId="7BD5BC2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固</w:t>
            </w:r>
          </w:p>
          <w:p w14:paraId="0460C55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体</w:t>
            </w:r>
          </w:p>
          <w:p w14:paraId="6FB9221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废</w:t>
            </w:r>
          </w:p>
          <w:p w14:paraId="4C62199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物</w:t>
            </w:r>
          </w:p>
        </w:tc>
        <w:tc>
          <w:tcPr>
            <w:tcW w:w="525" w:type="dxa"/>
            <w:vMerge w:val="restart"/>
            <w:vAlign w:val="center"/>
          </w:tcPr>
          <w:p w14:paraId="5E82E429">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施工期</w:t>
            </w:r>
          </w:p>
        </w:tc>
        <w:tc>
          <w:tcPr>
            <w:tcW w:w="1225" w:type="dxa"/>
            <w:vAlign w:val="center"/>
          </w:tcPr>
          <w:p w14:paraId="16CF3E8A">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r>
              <w:rPr>
                <w:rFonts w:hint="eastAsia" w:cs="Times New Roman"/>
                <w:b w:val="0"/>
                <w:bCs w:val="0"/>
                <w:color w:val="auto"/>
                <w:sz w:val="24"/>
                <w:szCs w:val="24"/>
                <w:highlight w:val="none"/>
                <w:lang w:eastAsia="zh-CN"/>
              </w:rPr>
              <w:t>施工场地</w:t>
            </w:r>
          </w:p>
        </w:tc>
        <w:tc>
          <w:tcPr>
            <w:tcW w:w="1446" w:type="dxa"/>
            <w:vAlign w:val="center"/>
          </w:tcPr>
          <w:p w14:paraId="10CD7AD5">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建筑垃圾</w:t>
            </w:r>
          </w:p>
        </w:tc>
        <w:tc>
          <w:tcPr>
            <w:tcW w:w="2442" w:type="dxa"/>
            <w:vAlign w:val="center"/>
          </w:tcPr>
          <w:p w14:paraId="7EB10D8E">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收集后送至城建指定地点处理</w:t>
            </w:r>
          </w:p>
        </w:tc>
        <w:tc>
          <w:tcPr>
            <w:tcW w:w="2871" w:type="dxa"/>
            <w:vMerge w:val="restart"/>
            <w:vAlign w:val="center"/>
          </w:tcPr>
          <w:p w14:paraId="536B7E9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color w:val="auto"/>
                <w:highlight w:val="none"/>
              </w:rPr>
            </w:pPr>
            <w:r>
              <w:rPr>
                <w:rFonts w:hint="default"/>
                <w:color w:val="auto"/>
                <w:sz w:val="24"/>
                <w:szCs w:val="24"/>
                <w:highlight w:val="none"/>
              </w:rPr>
              <w:t>合理处置，不会对周边环境造成不良影响</w:t>
            </w:r>
          </w:p>
        </w:tc>
      </w:tr>
      <w:tr w14:paraId="0FC8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03" w:type="dxa"/>
            <w:vMerge w:val="continue"/>
            <w:vAlign w:val="center"/>
          </w:tcPr>
          <w:p w14:paraId="40A5A17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continue"/>
            <w:vAlign w:val="center"/>
          </w:tcPr>
          <w:p w14:paraId="62D36141">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c>
          <w:tcPr>
            <w:tcW w:w="1225" w:type="dxa"/>
            <w:vAlign w:val="center"/>
          </w:tcPr>
          <w:p w14:paraId="44FF1862">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r>
              <w:rPr>
                <w:rFonts w:hint="eastAsia" w:cs="Times New Roman"/>
                <w:b w:val="0"/>
                <w:bCs w:val="0"/>
                <w:color w:val="auto"/>
                <w:sz w:val="24"/>
                <w:szCs w:val="24"/>
                <w:highlight w:val="none"/>
                <w:lang w:eastAsia="zh-CN"/>
              </w:rPr>
              <w:t>施工人员</w:t>
            </w:r>
          </w:p>
        </w:tc>
        <w:tc>
          <w:tcPr>
            <w:tcW w:w="1446" w:type="dxa"/>
            <w:vAlign w:val="center"/>
          </w:tcPr>
          <w:p w14:paraId="324482F6">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生活垃圾</w:t>
            </w:r>
          </w:p>
        </w:tc>
        <w:tc>
          <w:tcPr>
            <w:tcW w:w="2442" w:type="dxa"/>
            <w:vAlign w:val="center"/>
          </w:tcPr>
          <w:p w14:paraId="4F99E769">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由环卫部门负责清运处理</w:t>
            </w:r>
          </w:p>
        </w:tc>
        <w:tc>
          <w:tcPr>
            <w:tcW w:w="2871" w:type="dxa"/>
            <w:vMerge w:val="continue"/>
            <w:vAlign w:val="center"/>
          </w:tcPr>
          <w:p w14:paraId="76EC8B7C">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r>
      <w:tr w14:paraId="2071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03" w:type="dxa"/>
            <w:vMerge w:val="continue"/>
            <w:vAlign w:val="center"/>
          </w:tcPr>
          <w:p w14:paraId="6D0B9B8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restart"/>
            <w:vAlign w:val="center"/>
          </w:tcPr>
          <w:p w14:paraId="2748C68F">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营运期</w:t>
            </w:r>
          </w:p>
        </w:tc>
        <w:tc>
          <w:tcPr>
            <w:tcW w:w="1225" w:type="dxa"/>
            <w:vAlign w:val="center"/>
          </w:tcPr>
          <w:p w14:paraId="7216FB51">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r>
              <w:rPr>
                <w:rFonts w:hint="eastAsia" w:cs="Times New Roman"/>
                <w:b w:val="0"/>
                <w:bCs w:val="0"/>
                <w:color w:val="auto"/>
                <w:sz w:val="24"/>
                <w:szCs w:val="24"/>
                <w:highlight w:val="none"/>
                <w:lang w:eastAsia="zh-CN"/>
              </w:rPr>
              <w:t>医护人员、病人</w:t>
            </w:r>
          </w:p>
        </w:tc>
        <w:tc>
          <w:tcPr>
            <w:tcW w:w="1446" w:type="dxa"/>
            <w:vAlign w:val="center"/>
          </w:tcPr>
          <w:p w14:paraId="598DFE0B">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r>
              <w:rPr>
                <w:rFonts w:hint="eastAsia" w:cs="Times New Roman"/>
                <w:b w:val="0"/>
                <w:bCs w:val="0"/>
                <w:color w:val="auto"/>
                <w:sz w:val="24"/>
                <w:szCs w:val="24"/>
                <w:highlight w:val="none"/>
                <w:lang w:eastAsia="zh-CN"/>
              </w:rPr>
              <w:t>生活垃圾</w:t>
            </w:r>
          </w:p>
        </w:tc>
        <w:tc>
          <w:tcPr>
            <w:tcW w:w="2442" w:type="dxa"/>
            <w:vAlign w:val="center"/>
          </w:tcPr>
          <w:p w14:paraId="25DF7066">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eastAsia" w:ascii="Times New Roman" w:hAnsi="Times New Roman" w:eastAsia="宋体" w:cs="Times New Roman"/>
                <w:b w:val="0"/>
                <w:bCs w:val="0"/>
                <w:color w:val="auto"/>
                <w:sz w:val="24"/>
                <w:szCs w:val="24"/>
                <w:highlight w:val="none"/>
                <w:lang w:eastAsia="zh-CN"/>
              </w:rPr>
            </w:pPr>
            <w:r>
              <w:rPr>
                <w:rFonts w:hint="default" w:ascii="Times New Roman" w:hAnsi="Times New Roman" w:cs="Times New Roman"/>
                <w:b w:val="0"/>
                <w:bCs w:val="0"/>
                <w:color w:val="auto"/>
                <w:sz w:val="24"/>
                <w:szCs w:val="24"/>
                <w:highlight w:val="none"/>
              </w:rPr>
              <w:t>生活垃圾由环卫部门统一清运处理</w:t>
            </w:r>
            <w:r>
              <w:rPr>
                <w:rFonts w:hint="eastAsia" w:cs="Times New Roman"/>
                <w:b w:val="0"/>
                <w:bCs w:val="0"/>
                <w:color w:val="auto"/>
                <w:sz w:val="24"/>
                <w:szCs w:val="24"/>
                <w:highlight w:val="none"/>
                <w:lang w:eastAsia="zh-CN"/>
              </w:rPr>
              <w:t>。</w:t>
            </w:r>
          </w:p>
        </w:tc>
        <w:tc>
          <w:tcPr>
            <w:tcW w:w="2871" w:type="dxa"/>
            <w:vMerge w:val="continue"/>
            <w:vAlign w:val="center"/>
          </w:tcPr>
          <w:p w14:paraId="0B4CF347">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r>
      <w:tr w14:paraId="46F6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03" w:type="dxa"/>
            <w:vMerge w:val="continue"/>
            <w:vAlign w:val="center"/>
          </w:tcPr>
          <w:p w14:paraId="6068089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continue"/>
            <w:vAlign w:val="center"/>
          </w:tcPr>
          <w:p w14:paraId="6A7BA6C2">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c>
          <w:tcPr>
            <w:tcW w:w="1225" w:type="dxa"/>
            <w:vAlign w:val="center"/>
          </w:tcPr>
          <w:p w14:paraId="1A471C62">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eastAsia" w:cs="Times New Roman"/>
                <w:b w:val="0"/>
                <w:bCs w:val="0"/>
                <w:color w:val="auto"/>
                <w:sz w:val="24"/>
                <w:szCs w:val="24"/>
                <w:highlight w:val="none"/>
                <w:lang w:eastAsia="zh-CN"/>
              </w:rPr>
            </w:pPr>
            <w:r>
              <w:rPr>
                <w:rFonts w:hint="eastAsia" w:cs="Times New Roman"/>
                <w:b w:val="0"/>
                <w:bCs w:val="0"/>
                <w:color w:val="auto"/>
                <w:sz w:val="24"/>
                <w:szCs w:val="24"/>
                <w:highlight w:val="none"/>
                <w:lang w:eastAsia="zh-CN"/>
              </w:rPr>
              <w:t>煎药及治疗</w:t>
            </w:r>
          </w:p>
        </w:tc>
        <w:tc>
          <w:tcPr>
            <w:tcW w:w="1446" w:type="dxa"/>
            <w:vAlign w:val="center"/>
          </w:tcPr>
          <w:p w14:paraId="700112AD">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eastAsia" w:cs="Times New Roman"/>
                <w:b w:val="0"/>
                <w:bCs w:val="0"/>
                <w:color w:val="auto"/>
                <w:sz w:val="24"/>
                <w:szCs w:val="24"/>
                <w:highlight w:val="none"/>
                <w:lang w:eastAsia="zh-CN"/>
              </w:rPr>
            </w:pPr>
            <w:r>
              <w:rPr>
                <w:rFonts w:hint="eastAsia" w:ascii="Times New Roman" w:hAnsi="Times New Roman" w:cs="Times New Roman"/>
                <w:b w:val="0"/>
                <w:bCs w:val="0"/>
                <w:color w:val="auto"/>
                <w:sz w:val="24"/>
                <w:szCs w:val="24"/>
                <w:highlight w:val="none"/>
                <w:lang w:val="en-US" w:eastAsia="zh-CN"/>
              </w:rPr>
              <w:t>煎药药渣及废弃中药材</w:t>
            </w:r>
          </w:p>
        </w:tc>
        <w:tc>
          <w:tcPr>
            <w:tcW w:w="2442" w:type="dxa"/>
            <w:vAlign w:val="center"/>
          </w:tcPr>
          <w:p w14:paraId="0FC32E10">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r>
              <w:rPr>
                <w:rFonts w:hint="eastAsia" w:ascii="Times New Roman" w:hAnsi="Times New Roman" w:cs="Times New Roman"/>
                <w:b w:val="0"/>
                <w:bCs w:val="0"/>
                <w:color w:val="auto"/>
                <w:sz w:val="24"/>
                <w:szCs w:val="24"/>
                <w:highlight w:val="none"/>
                <w:lang w:val="en-US" w:eastAsia="zh-CN"/>
              </w:rPr>
              <w:t>与生活垃圾一同</w:t>
            </w:r>
            <w:r>
              <w:rPr>
                <w:rFonts w:hint="eastAsia" w:ascii="Times New Roman" w:hAnsi="Times New Roman" w:cs="Times New Roman"/>
                <w:b w:val="0"/>
                <w:bCs w:val="0"/>
                <w:color w:val="auto"/>
                <w:sz w:val="24"/>
                <w:szCs w:val="24"/>
                <w:highlight w:val="none"/>
                <w:lang w:eastAsia="zh-CN"/>
              </w:rPr>
              <w:t>交由环卫部门统一清运处理。</w:t>
            </w:r>
          </w:p>
        </w:tc>
        <w:tc>
          <w:tcPr>
            <w:tcW w:w="2871" w:type="dxa"/>
            <w:vMerge w:val="continue"/>
            <w:vAlign w:val="center"/>
          </w:tcPr>
          <w:p w14:paraId="74488D17">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r>
      <w:tr w14:paraId="7DB0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3" w:type="dxa"/>
            <w:vMerge w:val="continue"/>
            <w:vAlign w:val="center"/>
          </w:tcPr>
          <w:p w14:paraId="5570C4D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continue"/>
            <w:vAlign w:val="center"/>
          </w:tcPr>
          <w:p w14:paraId="3A2E4E78">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c>
          <w:tcPr>
            <w:tcW w:w="1225" w:type="dxa"/>
            <w:vAlign w:val="center"/>
          </w:tcPr>
          <w:p w14:paraId="0250371A">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r>
              <w:rPr>
                <w:rFonts w:hint="eastAsia" w:cs="Times New Roman"/>
                <w:b w:val="0"/>
                <w:bCs w:val="0"/>
                <w:color w:val="auto"/>
                <w:sz w:val="24"/>
                <w:szCs w:val="24"/>
                <w:highlight w:val="none"/>
                <w:lang w:val="zh-CN"/>
              </w:rPr>
              <w:t>污水处理站</w:t>
            </w:r>
          </w:p>
        </w:tc>
        <w:tc>
          <w:tcPr>
            <w:tcW w:w="1446" w:type="dxa"/>
            <w:vAlign w:val="center"/>
          </w:tcPr>
          <w:p w14:paraId="3A7492E6">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lang w:eastAsia="zh-CN"/>
              </w:rPr>
            </w:pPr>
            <w:r>
              <w:rPr>
                <w:rFonts w:hint="eastAsia" w:cs="Times New Roman"/>
                <w:b w:val="0"/>
                <w:bCs w:val="0"/>
                <w:color w:val="auto"/>
                <w:sz w:val="24"/>
                <w:szCs w:val="24"/>
                <w:highlight w:val="none"/>
                <w:lang w:eastAsia="zh-CN"/>
              </w:rPr>
              <w:t>污泥及栅渣</w:t>
            </w:r>
          </w:p>
        </w:tc>
        <w:tc>
          <w:tcPr>
            <w:tcW w:w="2442" w:type="dxa"/>
            <w:vAlign w:val="center"/>
          </w:tcPr>
          <w:p w14:paraId="6B5F4EC4">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r>
              <w:rPr>
                <w:rFonts w:hint="eastAsia" w:cs="Times New Roman"/>
                <w:b w:val="0"/>
                <w:bCs w:val="0"/>
                <w:color w:val="auto"/>
                <w:sz w:val="24"/>
                <w:szCs w:val="24"/>
                <w:highlight w:val="none"/>
                <w:lang w:eastAsia="zh-CN"/>
              </w:rPr>
              <w:t>消毒后</w:t>
            </w:r>
            <w:r>
              <w:rPr>
                <w:rFonts w:hint="default" w:ascii="Times New Roman" w:hAnsi="Times New Roman" w:cs="Times New Roman"/>
                <w:b w:val="0"/>
                <w:bCs w:val="0"/>
                <w:color w:val="auto"/>
                <w:sz w:val="24"/>
                <w:szCs w:val="24"/>
                <w:highlight w:val="none"/>
              </w:rPr>
              <w:t>委托有资质单位处理。</w:t>
            </w:r>
          </w:p>
        </w:tc>
        <w:tc>
          <w:tcPr>
            <w:tcW w:w="2871" w:type="dxa"/>
            <w:vMerge w:val="continue"/>
            <w:vAlign w:val="center"/>
          </w:tcPr>
          <w:p w14:paraId="0FF58910">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r>
      <w:tr w14:paraId="645E9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03" w:type="dxa"/>
            <w:vMerge w:val="continue"/>
            <w:vAlign w:val="center"/>
          </w:tcPr>
          <w:p w14:paraId="782CCD3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Merge w:val="continue"/>
            <w:vAlign w:val="center"/>
          </w:tcPr>
          <w:p w14:paraId="71E504B2">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c>
          <w:tcPr>
            <w:tcW w:w="1225" w:type="dxa"/>
            <w:vAlign w:val="center"/>
          </w:tcPr>
          <w:p w14:paraId="5D815642">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r>
              <w:rPr>
                <w:rFonts w:hint="eastAsia" w:cs="Times New Roman"/>
                <w:b w:val="0"/>
                <w:bCs w:val="0"/>
                <w:color w:val="auto"/>
                <w:sz w:val="24"/>
                <w:szCs w:val="24"/>
                <w:highlight w:val="none"/>
                <w:lang w:eastAsia="zh-CN"/>
              </w:rPr>
              <w:t>病人</w:t>
            </w:r>
          </w:p>
        </w:tc>
        <w:tc>
          <w:tcPr>
            <w:tcW w:w="1446" w:type="dxa"/>
            <w:vAlign w:val="center"/>
          </w:tcPr>
          <w:p w14:paraId="54559652">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r>
              <w:rPr>
                <w:rFonts w:hint="eastAsia" w:cs="Times New Roman"/>
                <w:b w:val="0"/>
                <w:bCs w:val="0"/>
                <w:color w:val="auto"/>
                <w:sz w:val="24"/>
                <w:szCs w:val="24"/>
                <w:highlight w:val="none"/>
                <w:lang w:eastAsia="zh-CN"/>
              </w:rPr>
              <w:t>医疗废物</w:t>
            </w:r>
          </w:p>
        </w:tc>
        <w:tc>
          <w:tcPr>
            <w:tcW w:w="2442" w:type="dxa"/>
            <w:vAlign w:val="center"/>
          </w:tcPr>
          <w:p w14:paraId="1DF06530">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r>
              <w:rPr>
                <w:rFonts w:hint="eastAsia" w:cs="Times New Roman"/>
                <w:b w:val="0"/>
                <w:bCs w:val="0"/>
                <w:color w:val="auto"/>
                <w:sz w:val="24"/>
                <w:szCs w:val="24"/>
                <w:highlight w:val="none"/>
                <w:lang w:eastAsia="zh-CN"/>
              </w:rPr>
              <w:t>分类收集后暂存于医疗废物暂存间，定期</w:t>
            </w:r>
            <w:r>
              <w:rPr>
                <w:rFonts w:hint="default" w:ascii="Times New Roman" w:hAnsi="Times New Roman" w:cs="Times New Roman"/>
                <w:b w:val="0"/>
                <w:bCs w:val="0"/>
                <w:color w:val="auto"/>
                <w:sz w:val="24"/>
                <w:szCs w:val="24"/>
                <w:highlight w:val="none"/>
              </w:rPr>
              <w:t>委托有资质单位处理</w:t>
            </w:r>
          </w:p>
        </w:tc>
        <w:tc>
          <w:tcPr>
            <w:tcW w:w="2871" w:type="dxa"/>
            <w:vMerge w:val="continue"/>
            <w:vAlign w:val="center"/>
          </w:tcPr>
          <w:p w14:paraId="1ABA0753">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r>
      <w:tr w14:paraId="3F90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3" w:type="dxa"/>
            <w:vMerge w:val="restart"/>
            <w:vAlign w:val="center"/>
          </w:tcPr>
          <w:p w14:paraId="4F5E94D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噪</w:t>
            </w:r>
          </w:p>
          <w:p w14:paraId="6B3BC67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p w14:paraId="7EC61EE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声</w:t>
            </w:r>
          </w:p>
        </w:tc>
        <w:tc>
          <w:tcPr>
            <w:tcW w:w="525" w:type="dxa"/>
            <w:vAlign w:val="center"/>
          </w:tcPr>
          <w:p w14:paraId="3859EEE0">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施工期</w:t>
            </w:r>
          </w:p>
        </w:tc>
        <w:tc>
          <w:tcPr>
            <w:tcW w:w="1225" w:type="dxa"/>
            <w:vAlign w:val="center"/>
          </w:tcPr>
          <w:p w14:paraId="1E83B053">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施工</w:t>
            </w:r>
            <w:r>
              <w:rPr>
                <w:rFonts w:hint="eastAsia" w:cs="Times New Roman"/>
                <w:b w:val="0"/>
                <w:bCs w:val="0"/>
                <w:color w:val="auto"/>
                <w:sz w:val="24"/>
                <w:szCs w:val="24"/>
                <w:highlight w:val="none"/>
                <w:lang w:eastAsia="zh-CN"/>
              </w:rPr>
              <w:t>设备</w:t>
            </w:r>
            <w:r>
              <w:rPr>
                <w:rFonts w:hint="default" w:ascii="Times New Roman" w:hAnsi="Times New Roman" w:cs="Times New Roman"/>
                <w:b w:val="0"/>
                <w:bCs w:val="0"/>
                <w:color w:val="auto"/>
                <w:sz w:val="24"/>
                <w:szCs w:val="24"/>
                <w:highlight w:val="none"/>
              </w:rPr>
              <w:t>、</w:t>
            </w:r>
            <w:r>
              <w:rPr>
                <w:rFonts w:hint="default" w:ascii="Times New Roman" w:hAnsi="Times New Roman" w:eastAsia="宋体" w:cs="Times New Roman"/>
                <w:b w:val="0"/>
                <w:bCs w:val="0"/>
                <w:color w:val="auto"/>
                <w:sz w:val="24"/>
                <w:szCs w:val="24"/>
                <w:highlight w:val="none"/>
              </w:rPr>
              <w:t>运输</w:t>
            </w:r>
            <w:r>
              <w:rPr>
                <w:rFonts w:hint="default" w:ascii="Times New Roman" w:hAnsi="Times New Roman" w:cs="Times New Roman"/>
                <w:b w:val="0"/>
                <w:bCs w:val="0"/>
                <w:color w:val="auto"/>
                <w:sz w:val="24"/>
                <w:szCs w:val="24"/>
                <w:highlight w:val="none"/>
              </w:rPr>
              <w:t>车辆</w:t>
            </w:r>
          </w:p>
        </w:tc>
        <w:tc>
          <w:tcPr>
            <w:tcW w:w="1446" w:type="dxa"/>
            <w:vMerge w:val="restart"/>
            <w:vAlign w:val="center"/>
          </w:tcPr>
          <w:p w14:paraId="4591C485">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eastAsia" w:cs="Times New Roman"/>
                <w:b w:val="0"/>
                <w:bCs w:val="0"/>
                <w:color w:val="auto"/>
                <w:sz w:val="24"/>
                <w:szCs w:val="24"/>
                <w:highlight w:val="none"/>
                <w:lang w:eastAsia="zh-CN"/>
              </w:rPr>
              <w:t>等效</w:t>
            </w:r>
            <w:r>
              <w:rPr>
                <w:rFonts w:hint="default" w:ascii="Times New Roman" w:hAnsi="Times New Roman" w:cs="Times New Roman"/>
                <w:b w:val="0"/>
                <w:bCs w:val="0"/>
                <w:color w:val="auto"/>
                <w:sz w:val="24"/>
                <w:szCs w:val="24"/>
                <w:highlight w:val="none"/>
              </w:rPr>
              <w:t>声级</w:t>
            </w:r>
          </w:p>
        </w:tc>
        <w:tc>
          <w:tcPr>
            <w:tcW w:w="2442" w:type="dxa"/>
            <w:vAlign w:val="center"/>
          </w:tcPr>
          <w:p w14:paraId="6BF7EDA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eastAsia="zh-CN"/>
              </w:rPr>
              <w:t>选用低噪设备，加强维护，合理安排施工时间，禁止鸣笛、墙体隔声</w:t>
            </w:r>
          </w:p>
        </w:tc>
        <w:tc>
          <w:tcPr>
            <w:tcW w:w="2871" w:type="dxa"/>
            <w:vAlign w:val="center"/>
          </w:tcPr>
          <w:p w14:paraId="402AA37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达到《建筑施工场界环境噪声排放标准》（GB12523-2011）</w:t>
            </w:r>
          </w:p>
        </w:tc>
      </w:tr>
      <w:tr w14:paraId="6EFD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903" w:type="dxa"/>
            <w:vMerge w:val="continue"/>
            <w:vAlign w:val="center"/>
          </w:tcPr>
          <w:p w14:paraId="55AC502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525" w:type="dxa"/>
            <w:vAlign w:val="center"/>
          </w:tcPr>
          <w:p w14:paraId="42822168">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营运期</w:t>
            </w:r>
          </w:p>
        </w:tc>
        <w:tc>
          <w:tcPr>
            <w:tcW w:w="1225" w:type="dxa"/>
            <w:vAlign w:val="center"/>
          </w:tcPr>
          <w:p w14:paraId="30C15477">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outlineLvl w:val="0"/>
              <w:rPr>
                <w:rFonts w:hint="default" w:ascii="Times New Roman" w:hAnsi="Times New Roman"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eastAsia="zh-CN"/>
              </w:rPr>
              <w:t>水泵、</w:t>
            </w:r>
            <w:r>
              <w:rPr>
                <w:rFonts w:hint="eastAsia" w:cs="Times New Roman"/>
                <w:b w:val="0"/>
                <w:bCs w:val="0"/>
                <w:color w:val="auto"/>
                <w:sz w:val="24"/>
                <w:szCs w:val="24"/>
                <w:highlight w:val="none"/>
                <w:lang w:eastAsia="zh-CN"/>
              </w:rPr>
              <w:t>冷却机组</w:t>
            </w:r>
          </w:p>
        </w:tc>
        <w:tc>
          <w:tcPr>
            <w:tcW w:w="1446" w:type="dxa"/>
            <w:vMerge w:val="continue"/>
            <w:vAlign w:val="center"/>
          </w:tcPr>
          <w:p w14:paraId="095CD7E9">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color w:val="auto"/>
                <w:sz w:val="24"/>
                <w:szCs w:val="24"/>
                <w:highlight w:val="none"/>
              </w:rPr>
            </w:pPr>
          </w:p>
        </w:tc>
        <w:tc>
          <w:tcPr>
            <w:tcW w:w="2442" w:type="dxa"/>
            <w:vAlign w:val="center"/>
          </w:tcPr>
          <w:p w14:paraId="41DDD5F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基础减振、管道柔性连接、隔声、禁止鸣笛</w:t>
            </w:r>
          </w:p>
        </w:tc>
        <w:tc>
          <w:tcPr>
            <w:tcW w:w="2871" w:type="dxa"/>
            <w:vAlign w:val="center"/>
          </w:tcPr>
          <w:p w14:paraId="0B89736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院界噪声</w:t>
            </w:r>
            <w:r>
              <w:rPr>
                <w:rFonts w:hint="default" w:ascii="Times New Roman" w:hAnsi="Times New Roman" w:cs="Times New Roman"/>
                <w:color w:val="auto"/>
                <w:sz w:val="24"/>
                <w:szCs w:val="24"/>
                <w:highlight w:val="none"/>
              </w:rPr>
              <w:t>满足《工业企业厂界环境噪声排放标准》（GB12348-2008）中</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类、4类标准要求。</w:t>
            </w:r>
            <w:r>
              <w:rPr>
                <w:rFonts w:hint="eastAsia" w:cs="Times New Roman"/>
                <w:b w:val="0"/>
                <w:bCs w:val="0"/>
                <w:smallCaps/>
                <w:color w:val="auto"/>
                <w:sz w:val="24"/>
                <w:szCs w:val="24"/>
                <w:highlight w:val="none"/>
                <w:lang w:eastAsia="zh-CN"/>
              </w:rPr>
              <w:t>病房满足</w:t>
            </w:r>
            <w:r>
              <w:rPr>
                <w:rFonts w:hint="default" w:ascii="Times New Roman" w:hAnsi="Times New Roman" w:eastAsia="宋体" w:cs="Times New Roman"/>
                <w:b w:val="0"/>
                <w:bCs w:val="0"/>
                <w:color w:val="auto"/>
                <w:sz w:val="24"/>
                <w:szCs w:val="24"/>
                <w:highlight w:val="none"/>
              </w:rPr>
              <w:t>《工业企业厂界环境噪声排放标准》（GB12348-2008）</w:t>
            </w:r>
            <w:r>
              <w:rPr>
                <w:rFonts w:hint="default" w:ascii="Times New Roman" w:hAnsi="Times New Roman" w:eastAsia="宋体" w:cs="Times New Roman"/>
                <w:b w:val="0"/>
                <w:bCs w:val="0"/>
                <w:smallCaps/>
                <w:color w:val="auto"/>
                <w:sz w:val="24"/>
                <w:szCs w:val="24"/>
                <w:highlight w:val="none"/>
              </w:rPr>
              <w:t>中</w:t>
            </w:r>
            <w:r>
              <w:rPr>
                <w:rFonts w:hint="eastAsia" w:cs="Times New Roman"/>
                <w:color w:val="auto"/>
                <w:sz w:val="24"/>
                <w:szCs w:val="24"/>
                <w:highlight w:val="none"/>
                <w:lang w:val="en-US" w:eastAsia="zh-CN"/>
              </w:rPr>
              <w:t>2</w:t>
            </w:r>
            <w:r>
              <w:rPr>
                <w:rFonts w:hint="eastAsia" w:ascii="Times New Roman" w:hAnsi="Times New Roman" w:cs="Times New Roman"/>
                <w:color w:val="auto"/>
                <w:sz w:val="24"/>
                <w:szCs w:val="24"/>
                <w:highlight w:val="none"/>
                <w:lang w:eastAsia="zh-CN"/>
              </w:rPr>
              <w:t>类功能区A类</w:t>
            </w:r>
            <w:r>
              <w:rPr>
                <w:rFonts w:hint="eastAsia" w:ascii="Times New Roman" w:hAnsi="Times New Roman" w:cs="Times New Roman"/>
                <w:color w:val="auto"/>
                <w:sz w:val="24"/>
                <w:szCs w:val="24"/>
                <w:highlight w:val="none"/>
              </w:rPr>
              <w:t>房间标准</w:t>
            </w:r>
            <w:r>
              <w:rPr>
                <w:rFonts w:hint="eastAsia" w:ascii="Times New Roman" w:hAnsi="Times New Roman" w:cs="Times New Roman"/>
                <w:color w:val="auto"/>
                <w:sz w:val="24"/>
                <w:szCs w:val="24"/>
                <w:highlight w:val="none"/>
                <w:lang w:eastAsia="zh-CN"/>
              </w:rPr>
              <w:t>，即昼间45dB</w:t>
            </w:r>
            <w:r>
              <w:rPr>
                <w:rFonts w:hint="default" w:ascii="Times New Roman" w:hAnsi="Times New Roman" w:cs="Times New Roman"/>
                <w:color w:val="auto"/>
                <w:sz w:val="24"/>
                <w:szCs w:val="24"/>
                <w:highlight w:val="none"/>
              </w:rPr>
              <w:t>(A)</w:t>
            </w:r>
            <w:r>
              <w:rPr>
                <w:rFonts w:hint="eastAsia"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eastAsia="zh-CN"/>
              </w:rPr>
              <w:t>夜间35dB</w:t>
            </w:r>
            <w:r>
              <w:rPr>
                <w:rFonts w:hint="default" w:ascii="Times New Roman" w:hAnsi="Times New Roman" w:cs="Times New Roman"/>
                <w:color w:val="auto"/>
                <w:sz w:val="24"/>
                <w:szCs w:val="24"/>
                <w:highlight w:val="none"/>
              </w:rPr>
              <w:t>(A)</w:t>
            </w:r>
            <w:r>
              <w:rPr>
                <w:rFonts w:hint="eastAsia" w:ascii="Times New Roman" w:hAnsi="Times New Roman" w:cs="Times New Roman"/>
                <w:color w:val="auto"/>
                <w:sz w:val="24"/>
                <w:szCs w:val="24"/>
                <w:highlight w:val="none"/>
              </w:rPr>
              <w:t>。</w:t>
            </w:r>
          </w:p>
        </w:tc>
      </w:tr>
      <w:tr w14:paraId="0954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3" w:type="dxa"/>
            <w:vAlign w:val="center"/>
          </w:tcPr>
          <w:p w14:paraId="0882FE8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其</w:t>
            </w:r>
          </w:p>
          <w:p w14:paraId="5493278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他</w:t>
            </w:r>
          </w:p>
        </w:tc>
        <w:tc>
          <w:tcPr>
            <w:tcW w:w="8509" w:type="dxa"/>
            <w:gridSpan w:val="5"/>
            <w:vAlign w:val="center"/>
          </w:tcPr>
          <w:p w14:paraId="24FE3A1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kern w:val="44"/>
                <w:sz w:val="24"/>
                <w:szCs w:val="24"/>
                <w:highlight w:val="none"/>
              </w:rPr>
            </w:pPr>
            <w:r>
              <w:rPr>
                <w:rFonts w:hint="default" w:ascii="Times New Roman" w:hAnsi="Times New Roman" w:cs="Times New Roman"/>
                <w:color w:val="auto"/>
                <w:kern w:val="44"/>
                <w:sz w:val="24"/>
                <w:szCs w:val="24"/>
                <w:highlight w:val="none"/>
              </w:rPr>
              <w:t>无</w:t>
            </w:r>
          </w:p>
        </w:tc>
      </w:tr>
      <w:tr w14:paraId="1B14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3" w:type="dxa"/>
            <w:vAlign w:val="center"/>
          </w:tcPr>
          <w:p w14:paraId="2459C8CC">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p w14:paraId="15A43CC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color w:val="auto"/>
                <w:sz w:val="24"/>
                <w:szCs w:val="24"/>
                <w:highlight w:val="none"/>
              </w:rPr>
            </w:pPr>
          </w:p>
          <w:p w14:paraId="56C1C8D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color w:val="auto"/>
                <w:sz w:val="24"/>
                <w:szCs w:val="24"/>
                <w:highlight w:val="none"/>
              </w:rPr>
            </w:pPr>
          </w:p>
          <w:p w14:paraId="43F4795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color w:val="auto"/>
                <w:sz w:val="24"/>
                <w:szCs w:val="24"/>
                <w:highlight w:val="none"/>
              </w:rPr>
            </w:pPr>
          </w:p>
          <w:p w14:paraId="15A7E89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rPr>
              <w:t>生态保护措施</w:t>
            </w:r>
          </w:p>
          <w:p w14:paraId="1B0B7754">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jc w:val="center"/>
              <w:textAlignment w:val="auto"/>
              <w:rPr>
                <w:rFonts w:hint="default"/>
                <w:color w:val="auto"/>
                <w:highlight w:val="none"/>
              </w:rPr>
            </w:pPr>
          </w:p>
          <w:p w14:paraId="161E7A30">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kern w:val="2"/>
                <w:sz w:val="24"/>
                <w:szCs w:val="24"/>
                <w:highlight w:val="none"/>
              </w:rPr>
            </w:pPr>
          </w:p>
          <w:p w14:paraId="39234279">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kern w:val="2"/>
                <w:sz w:val="24"/>
                <w:szCs w:val="24"/>
                <w:highlight w:val="none"/>
              </w:rPr>
            </w:pPr>
          </w:p>
          <w:p w14:paraId="4548615C">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kern w:val="2"/>
                <w:sz w:val="24"/>
                <w:szCs w:val="24"/>
                <w:highlight w:val="none"/>
              </w:rPr>
            </w:pPr>
          </w:p>
          <w:p w14:paraId="1F741790">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c>
          <w:tcPr>
            <w:tcW w:w="8509" w:type="dxa"/>
            <w:gridSpan w:val="5"/>
            <w:vAlign w:val="center"/>
          </w:tcPr>
          <w:p w14:paraId="3BB0478D">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480"/>
              <w:jc w:val="center"/>
              <w:textAlignment w:val="auto"/>
              <w:rPr>
                <w:rFonts w:hint="default" w:ascii="Times New Roman" w:hAnsi="Times New Roman" w:cs="Times New Roman"/>
                <w:color w:val="auto"/>
                <w:highlight w:val="none"/>
              </w:rPr>
            </w:pPr>
          </w:p>
          <w:p w14:paraId="3DF581E8">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480"/>
              <w:jc w:val="center"/>
              <w:textAlignment w:val="auto"/>
              <w:rPr>
                <w:rFonts w:hint="default" w:ascii="Times New Roman" w:hAnsi="Times New Roman" w:cs="Times New Roman"/>
                <w:color w:val="auto"/>
                <w:highlight w:val="none"/>
              </w:rPr>
            </w:pPr>
          </w:p>
          <w:p w14:paraId="1D73520A">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firstLine="480"/>
              <w:jc w:val="center"/>
              <w:textAlignment w:val="auto"/>
              <w:rPr>
                <w:rFonts w:hint="default" w:ascii="Times New Roman" w:hAnsi="Times New Roman" w:cs="Times New Roman"/>
                <w:color w:val="auto"/>
                <w:highlight w:val="none"/>
              </w:rPr>
            </w:pPr>
          </w:p>
          <w:p w14:paraId="15B2220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highlight w:val="none"/>
              </w:rPr>
            </w:pPr>
          </w:p>
          <w:p w14:paraId="2A66A6A5">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jc w:val="center"/>
              <w:textAlignment w:val="auto"/>
              <w:rPr>
                <w:rFonts w:hint="default" w:ascii="Times New Roman" w:hAnsi="Times New Roman" w:cs="Times New Roman"/>
                <w:color w:val="auto"/>
                <w:highlight w:val="none"/>
              </w:rPr>
            </w:pPr>
          </w:p>
          <w:p w14:paraId="661FDD5A">
            <w:pPr>
              <w:pStyle w:val="23"/>
              <w:rPr>
                <w:rFonts w:hint="default" w:ascii="Times New Roman" w:hAnsi="Times New Roman" w:cs="Times New Roman"/>
                <w:color w:val="auto"/>
                <w:highlight w:val="none"/>
              </w:rPr>
            </w:pPr>
          </w:p>
          <w:p w14:paraId="2AF1B6A4">
            <w:pPr>
              <w:pStyle w:val="23"/>
              <w:rPr>
                <w:rFonts w:hint="default" w:ascii="Times New Roman" w:hAnsi="Times New Roman" w:cs="Times New Roman"/>
                <w:color w:val="auto"/>
                <w:highlight w:val="none"/>
              </w:rPr>
            </w:pPr>
          </w:p>
          <w:p w14:paraId="0D0379D8">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jc w:val="center"/>
              <w:textAlignment w:val="auto"/>
              <w:rPr>
                <w:rFonts w:hint="default" w:ascii="Times New Roman" w:hAnsi="Times New Roman" w:cs="Times New Roman"/>
                <w:color w:val="auto"/>
                <w:highlight w:val="none"/>
              </w:rPr>
            </w:pPr>
          </w:p>
          <w:p w14:paraId="0E21E096">
            <w:pPr>
              <w:pStyle w:val="2"/>
              <w:keepNext w:val="0"/>
              <w:keepLines w:val="0"/>
              <w:pageBreakBefore w:val="0"/>
              <w:widowControl w:val="0"/>
              <w:kinsoku/>
              <w:wordWrap/>
              <w:overflowPunct/>
              <w:topLinePunct w:val="0"/>
              <w:autoSpaceDE/>
              <w:autoSpaceDN/>
              <w:bidi w:val="0"/>
              <w:adjustRightInd w:val="0"/>
              <w:snapToGrid w:val="0"/>
              <w:spacing w:after="0" w:afterLines="0" w:line="360" w:lineRule="auto"/>
              <w:ind w:left="0" w:leftChars="0" w:right="0" w:rightChars="0" w:firstLine="480"/>
              <w:jc w:val="center"/>
              <w:textAlignment w:val="auto"/>
              <w:outlineLvl w:val="9"/>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本项目</w:t>
            </w:r>
            <w:r>
              <w:rPr>
                <w:rFonts w:hint="eastAsia" w:cs="Times New Roman"/>
                <w:color w:val="auto"/>
                <w:sz w:val="24"/>
                <w:szCs w:val="24"/>
                <w:highlight w:val="none"/>
                <w:lang w:eastAsia="zh-CN"/>
              </w:rPr>
              <w:t>依托现有本溪大楼</w:t>
            </w:r>
            <w:r>
              <w:rPr>
                <w:rFonts w:hint="eastAsia" w:cs="Times New Roman"/>
                <w:color w:val="auto"/>
                <w:sz w:val="24"/>
                <w:szCs w:val="24"/>
                <w:highlight w:val="none"/>
                <w:lang w:val="en-US" w:eastAsia="zh-CN"/>
              </w:rPr>
              <w:t>3-5层进行建设</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不需新增土地，不会对区域生态环境产生影响。</w:t>
            </w:r>
            <w:r>
              <w:rPr>
                <w:rFonts w:hint="eastAsia" w:ascii="Times New Roman" w:hAnsi="Times New Roman" w:cs="Times New Roman"/>
                <w:color w:val="auto"/>
                <w:sz w:val="24"/>
                <w:szCs w:val="24"/>
                <w:highlight w:val="none"/>
                <w:lang w:eastAsia="zh-CN"/>
              </w:rPr>
              <w:t>运营期间</w:t>
            </w:r>
            <w:r>
              <w:rPr>
                <w:rFonts w:hint="default" w:ascii="Times New Roman" w:hAnsi="Times New Roman" w:cs="Times New Roman"/>
                <w:color w:val="auto"/>
                <w:sz w:val="24"/>
                <w:szCs w:val="24"/>
                <w:highlight w:val="none"/>
              </w:rPr>
              <w:t>在</w:t>
            </w:r>
            <w:r>
              <w:rPr>
                <w:rFonts w:hint="eastAsia" w:ascii="Times New Roman" w:hAnsi="Times New Roman" w:cs="Times New Roman"/>
                <w:color w:val="auto"/>
                <w:sz w:val="24"/>
                <w:szCs w:val="24"/>
                <w:highlight w:val="none"/>
                <w:lang w:eastAsia="zh-CN"/>
              </w:rPr>
              <w:t>污水处理站周边</w:t>
            </w:r>
            <w:r>
              <w:rPr>
                <w:rFonts w:hint="default" w:ascii="Times New Roman" w:hAnsi="Times New Roman" w:cs="Times New Roman"/>
                <w:color w:val="auto"/>
                <w:sz w:val="24"/>
                <w:szCs w:val="24"/>
                <w:highlight w:val="none"/>
              </w:rPr>
              <w:t>进行绿化</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既增加人工植被可使生态</w:t>
            </w:r>
          </w:p>
          <w:p w14:paraId="296BB62C">
            <w:pPr>
              <w:pStyle w:val="2"/>
              <w:keepNext w:val="0"/>
              <w:keepLines w:val="0"/>
              <w:pageBreakBefore w:val="0"/>
              <w:widowControl w:val="0"/>
              <w:kinsoku/>
              <w:wordWrap/>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环境得到一定的弥补，还美化了</w:t>
            </w:r>
            <w:r>
              <w:rPr>
                <w:rFonts w:hint="eastAsia" w:ascii="Times New Roman" w:hAnsi="Times New Roman" w:cs="Times New Roman"/>
                <w:color w:val="auto"/>
                <w:sz w:val="24"/>
                <w:szCs w:val="24"/>
                <w:highlight w:val="none"/>
                <w:lang w:eastAsia="zh-CN"/>
              </w:rPr>
              <w:t>院</w:t>
            </w:r>
            <w:r>
              <w:rPr>
                <w:rFonts w:hint="default" w:ascii="Times New Roman" w:hAnsi="Times New Roman" w:cs="Times New Roman"/>
                <w:color w:val="auto"/>
                <w:sz w:val="24"/>
                <w:szCs w:val="24"/>
                <w:highlight w:val="none"/>
              </w:rPr>
              <w:t>区。</w:t>
            </w:r>
          </w:p>
          <w:p w14:paraId="18550BBD">
            <w:pPr>
              <w:pStyle w:val="23"/>
              <w:rPr>
                <w:rFonts w:hint="default"/>
                <w:highlight w:val="none"/>
              </w:rPr>
            </w:pPr>
          </w:p>
          <w:p w14:paraId="018F6B7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80" w:firstLineChars="200"/>
              <w:jc w:val="center"/>
              <w:textAlignment w:val="auto"/>
              <w:rPr>
                <w:rFonts w:hint="eastAsia" w:ascii="Times New Roman" w:hAnsi="Times New Roman" w:eastAsia="宋体" w:cs="Times New Roman"/>
                <w:color w:val="auto"/>
                <w:sz w:val="24"/>
                <w:highlight w:val="none"/>
                <w:lang w:eastAsia="zh-CN"/>
              </w:rPr>
            </w:pPr>
          </w:p>
          <w:p w14:paraId="5BC61387">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jc w:val="center"/>
              <w:textAlignment w:val="auto"/>
              <w:rPr>
                <w:rFonts w:hint="default"/>
                <w:color w:val="auto"/>
                <w:highlight w:val="none"/>
              </w:rPr>
            </w:pPr>
          </w:p>
          <w:p w14:paraId="2434AA5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color w:val="auto"/>
                <w:highlight w:val="none"/>
              </w:rPr>
            </w:pPr>
          </w:p>
          <w:p w14:paraId="6B5ED99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highlight w:val="none"/>
              </w:rPr>
            </w:pPr>
          </w:p>
          <w:p w14:paraId="2EB612D8">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jc w:val="center"/>
              <w:textAlignment w:val="auto"/>
              <w:rPr>
                <w:rFonts w:hint="default" w:ascii="Times New Roman" w:hAnsi="Times New Roman" w:cs="Times New Roman"/>
                <w:color w:val="auto"/>
                <w:highlight w:val="none"/>
              </w:rPr>
            </w:pPr>
          </w:p>
          <w:p w14:paraId="69DDBE8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cs="Times New Roman"/>
                <w:color w:val="auto"/>
                <w:highlight w:val="none"/>
              </w:rPr>
            </w:pPr>
          </w:p>
          <w:p w14:paraId="624E5D27">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jc w:val="center"/>
              <w:textAlignment w:val="auto"/>
              <w:rPr>
                <w:rFonts w:hint="default" w:ascii="Times New Roman" w:hAnsi="Times New Roman" w:cs="Times New Roman"/>
                <w:color w:val="auto"/>
                <w:highlight w:val="none"/>
              </w:rPr>
            </w:pPr>
          </w:p>
          <w:p w14:paraId="70FC4EE4">
            <w:pPr>
              <w:pStyle w:val="2"/>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right="0" w:rightChars="0"/>
              <w:jc w:val="center"/>
              <w:textAlignment w:val="auto"/>
              <w:rPr>
                <w:rFonts w:hint="default"/>
                <w:color w:val="auto"/>
                <w:highlight w:val="none"/>
              </w:rPr>
            </w:pPr>
          </w:p>
          <w:p w14:paraId="5067A44E">
            <w:pPr>
              <w:pStyle w:val="38"/>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0" w:leftChars="0" w:right="0" w:rightChars="0"/>
              <w:jc w:val="center"/>
              <w:textAlignment w:val="auto"/>
              <w:rPr>
                <w:rFonts w:hint="default" w:ascii="Times New Roman" w:hAnsi="Times New Roman" w:cs="Times New Roman"/>
                <w:b w:val="0"/>
                <w:bCs w:val="0"/>
                <w:color w:val="auto"/>
                <w:sz w:val="24"/>
                <w:szCs w:val="24"/>
                <w:highlight w:val="none"/>
              </w:rPr>
            </w:pPr>
          </w:p>
        </w:tc>
      </w:tr>
    </w:tbl>
    <w:p w14:paraId="2696ACB2">
      <w:pPr>
        <w:adjustRightInd w:val="0"/>
        <w:snapToGrid w:val="0"/>
        <w:spacing w:line="360" w:lineRule="auto"/>
        <w:rPr>
          <w:rFonts w:hint="default" w:ascii="Times New Roman" w:hAnsi="Times New Roman" w:cs="Times New Roman"/>
          <w:color w:val="auto"/>
          <w:sz w:val="24"/>
          <w:szCs w:val="24"/>
          <w:highlight w:val="none"/>
        </w:rPr>
        <w:sectPr>
          <w:pgSz w:w="11906" w:h="16838"/>
          <w:pgMar w:top="1418" w:right="1418" w:bottom="1559" w:left="1418" w:header="907" w:footer="907" w:gutter="0"/>
          <w:pgNumType w:fmt="decimal"/>
          <w:cols w:space="720" w:num="1"/>
          <w:docGrid w:type="lines" w:linePitch="312" w:charSpace="0"/>
        </w:sectPr>
      </w:pPr>
    </w:p>
    <w:p w14:paraId="00DE94F6">
      <w:pPr>
        <w:pStyle w:val="3"/>
        <w:numPr>
          <w:ilvl w:val="0"/>
          <w:numId w:val="0"/>
        </w:numPr>
        <w:adjustRightInd w:val="0"/>
        <w:snapToGrid w:val="0"/>
        <w:spacing w:before="0" w:after="0" w:line="360" w:lineRule="auto"/>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mc:AlternateContent>
          <mc:Choice Requires="wps">
            <w:drawing>
              <wp:anchor distT="0" distB="0" distL="114300" distR="114300" simplePos="0" relativeHeight="251684864" behindDoc="0" locked="0" layoutInCell="1" allowOverlap="1">
                <wp:simplePos x="0" y="0"/>
                <wp:positionH relativeFrom="column">
                  <wp:posOffset>-160655</wp:posOffset>
                </wp:positionH>
                <wp:positionV relativeFrom="paragraph">
                  <wp:posOffset>290195</wp:posOffset>
                </wp:positionV>
                <wp:extent cx="6037580" cy="8557260"/>
                <wp:effectExtent l="4445" t="4445" r="15875" b="10795"/>
                <wp:wrapNone/>
                <wp:docPr id="63" name="矩形 63"/>
                <wp:cNvGraphicFramePr/>
                <a:graphic xmlns:a="http://schemas.openxmlformats.org/drawingml/2006/main">
                  <a:graphicData uri="http://schemas.microsoft.com/office/word/2010/wordprocessingShape">
                    <wps:wsp>
                      <wps:cNvSpPr/>
                      <wps:spPr>
                        <a:xfrm>
                          <a:off x="0" y="0"/>
                          <a:ext cx="6037580" cy="8557260"/>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12.65pt;margin-top:22.85pt;height:673.8pt;width:475.4pt;z-index:251684864;mso-width-relative:page;mso-height-relative:page;" filled="f" stroked="t" coordsize="21600,21600" o:gfxdata="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mkIWDdkAAAALAQAADwAAAAAAAAABACAAAAAiAAAAZHJzL2Rvd25yZXYu&#10;eG1sUEsBAhQAFAAAAAgAh07iQOTWQz76AQAA+AMAAA4AAAAAAAAAAQAgAAAAKAEAAGRycy9lMm9E&#10;b2MueG1sUEsFBgAAAAAGAAYAWQEAAJQFAAAAAA==&#10;">
                <v:fill on="f" focussize="0,0"/>
                <v:stroke color="#000000" joinstyle="miter"/>
                <v:imagedata o:title=""/>
                <o:lock v:ext="edit" aspectratio="f"/>
              </v:rect>
            </w:pict>
          </mc:Fallback>
        </mc:AlternateContent>
      </w:r>
      <w:r>
        <w:rPr>
          <w:rFonts w:hint="default" w:ascii="Times New Roman" w:hAnsi="Times New Roman" w:cs="Times New Roman"/>
          <w:color w:val="auto"/>
          <w:sz w:val="28"/>
          <w:szCs w:val="28"/>
          <w:highlight w:val="none"/>
        </w:rPr>
        <w:t>结论与建议</w:t>
      </w:r>
    </w:p>
    <w:p w14:paraId="0CA2034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1建设项目概况</w:t>
      </w:r>
    </w:p>
    <w:p w14:paraId="676E0CAD">
      <w:pPr>
        <w:pStyle w:val="30"/>
        <w:keepNext w:val="0"/>
        <w:keepLines w:val="0"/>
        <w:pageBreakBefore w:val="0"/>
        <w:widowControl w:val="0"/>
        <w:tabs>
          <w:tab w:val="left" w:pos="720"/>
        </w:tabs>
        <w:kinsoku/>
        <w:wordWrap/>
        <w:overflowPunct/>
        <w:topLinePunct w:val="0"/>
        <w:autoSpaceDE/>
        <w:autoSpaceDN/>
        <w:bidi w:val="0"/>
        <w:adjustRightInd w:val="0"/>
        <w:snapToGrid w:val="0"/>
        <w:spacing w:line="360" w:lineRule="auto"/>
        <w:ind w:left="0" w:leftChars="0" w:right="0" w:firstLine="480" w:firstLineChars="200"/>
        <w:textAlignment w:val="auto"/>
        <w:outlineLvl w:val="9"/>
        <w:rPr>
          <w:rFonts w:hint="default" w:ascii="Times New Roman" w:hAnsi="Times New Roman" w:eastAsia="宋体" w:cs="Times New Roman"/>
          <w:color w:val="auto"/>
          <w:sz w:val="24"/>
          <w:szCs w:val="24"/>
          <w:highlight w:val="none"/>
          <w:lang w:eastAsia="zh-CN"/>
        </w:rPr>
      </w:pPr>
      <w:r>
        <w:rPr>
          <w:rFonts w:hint="eastAsia" w:ascii="Times New Roman" w:eastAsia="宋体"/>
          <w:color w:val="auto"/>
          <w:sz w:val="24"/>
          <w:szCs w:val="24"/>
          <w:highlight w:val="none"/>
          <w:lang w:eastAsia="zh-CN"/>
        </w:rPr>
        <w:t>本溪谦和中医院建设项目</w:t>
      </w:r>
      <w:r>
        <w:rPr>
          <w:rFonts w:hint="default" w:ascii="Times New Roman" w:hAnsi="Times New Roman" w:eastAsia="宋体" w:cs="Times New Roman"/>
          <w:color w:val="auto"/>
          <w:sz w:val="24"/>
          <w:szCs w:val="20"/>
          <w:highlight w:val="none"/>
          <w:lang w:eastAsia="zh-CN"/>
        </w:rPr>
        <w:t>位于</w:t>
      </w:r>
      <w:r>
        <w:rPr>
          <w:rFonts w:hint="eastAsia" w:ascii="Times New Roman" w:eastAsia="宋体"/>
          <w:color w:val="auto"/>
          <w:sz w:val="24"/>
          <w:szCs w:val="24"/>
          <w:highlight w:val="none"/>
          <w:lang w:eastAsia="zh-CN"/>
        </w:rPr>
        <w:t>本溪市溪湖区溪湖东路1栋1号</w:t>
      </w:r>
      <w:r>
        <w:rPr>
          <w:rFonts w:hint="default" w:ascii="Times New Roman" w:hAnsi="Times New Roman" w:eastAsia="宋体" w:cs="Times New Roman"/>
          <w:color w:val="auto"/>
          <w:sz w:val="24"/>
          <w:highlight w:val="none"/>
          <w:lang w:eastAsia="zh-CN"/>
        </w:rPr>
        <w:t>，</w:t>
      </w:r>
      <w:r>
        <w:rPr>
          <w:rFonts w:hint="eastAsia" w:ascii="Times New Roman" w:eastAsia="宋体"/>
          <w:color w:val="auto"/>
          <w:sz w:val="24"/>
          <w:szCs w:val="24"/>
          <w:highlight w:val="none"/>
          <w:lang w:eastAsia="zh-CN"/>
        </w:rPr>
        <w:t>国务院于2015年颁布了第一个关于中医药健康服务发展的五年规划，鼓励社会力量举办中医类专科医院和中医门诊部、中医诊所，加快社会办中医类机构的发展，以满足社会群众对看病就医多样化的医疗服务需求。项目依托现</w:t>
      </w:r>
      <w:r>
        <w:rPr>
          <w:rFonts w:hint="default" w:ascii="Times New Roman" w:hAnsi="Times New Roman" w:eastAsia="宋体" w:cs="Times New Roman"/>
          <w:color w:val="auto"/>
          <w:sz w:val="24"/>
          <w:szCs w:val="24"/>
          <w:highlight w:val="none"/>
          <w:lang w:eastAsia="zh-CN"/>
        </w:rPr>
        <w:t>有</w:t>
      </w:r>
      <w:r>
        <w:rPr>
          <w:rFonts w:hint="eastAsia" w:ascii="Times New Roman" w:eastAsia="宋体" w:cs="Times New Roman"/>
          <w:color w:val="auto"/>
          <w:sz w:val="24"/>
          <w:szCs w:val="24"/>
          <w:highlight w:val="none"/>
          <w:lang w:eastAsia="zh-CN"/>
        </w:rPr>
        <w:t>本溪</w:t>
      </w:r>
      <w:r>
        <w:rPr>
          <w:rFonts w:hint="default" w:ascii="Times New Roman" w:hAnsi="Times New Roman" w:eastAsia="宋体" w:cs="Times New Roman"/>
          <w:color w:val="auto"/>
          <w:sz w:val="24"/>
          <w:szCs w:val="24"/>
          <w:highlight w:val="none"/>
          <w:lang w:eastAsia="zh-CN"/>
        </w:rPr>
        <w:t>大楼</w:t>
      </w:r>
      <w:r>
        <w:rPr>
          <w:rFonts w:hint="default" w:ascii="Times New Roman" w:hAnsi="Times New Roman" w:eastAsia="宋体" w:cs="Times New Roman"/>
          <w:color w:val="auto"/>
          <w:sz w:val="24"/>
          <w:szCs w:val="24"/>
          <w:highlight w:val="none"/>
          <w:lang w:val="en-US" w:eastAsia="zh-CN"/>
        </w:rPr>
        <w:t>3-5层进行建设，</w:t>
      </w:r>
      <w:r>
        <w:rPr>
          <w:rFonts w:hint="default" w:ascii="Times New Roman" w:hAnsi="Times New Roman" w:eastAsia="宋体" w:cs="Times New Roman"/>
          <w:color w:val="auto"/>
          <w:sz w:val="24"/>
          <w:szCs w:val="24"/>
          <w:highlight w:val="none"/>
        </w:rPr>
        <w:t>项目占地面积</w:t>
      </w:r>
      <w:r>
        <w:rPr>
          <w:rFonts w:hint="default" w:ascii="Times New Roman" w:hAnsi="Times New Roman" w:eastAsia="宋体" w:cs="Times New Roman"/>
          <w:color w:val="auto"/>
          <w:sz w:val="24"/>
          <w:szCs w:val="24"/>
          <w:highlight w:val="none"/>
          <w:lang w:val="en-US" w:eastAsia="zh-CN"/>
        </w:rPr>
        <w:t>900</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，总建筑面积</w:t>
      </w:r>
      <w:r>
        <w:rPr>
          <w:rFonts w:hint="default" w:ascii="Times New Roman" w:hAnsi="Times New Roman" w:eastAsia="宋体" w:cs="Times New Roman"/>
          <w:color w:val="auto"/>
          <w:sz w:val="24"/>
          <w:szCs w:val="24"/>
          <w:highlight w:val="none"/>
          <w:lang w:val="en-US" w:eastAsia="zh-CN"/>
        </w:rPr>
        <w:t>2700</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，总投资</w:t>
      </w:r>
      <w:r>
        <w:rPr>
          <w:rFonts w:hint="default" w:ascii="Times New Roman" w:hAnsi="Times New Roman" w:eastAsia="宋体" w:cs="Times New Roman"/>
          <w:color w:val="auto"/>
          <w:sz w:val="24"/>
          <w:szCs w:val="24"/>
          <w:highlight w:val="none"/>
          <w:lang w:val="en-US" w:eastAsia="zh-CN"/>
        </w:rPr>
        <w:t>2000</w:t>
      </w:r>
      <w:r>
        <w:rPr>
          <w:rFonts w:hint="default" w:ascii="Times New Roman" w:hAnsi="Times New Roman" w:eastAsia="宋体" w:cs="Times New Roman"/>
          <w:color w:val="auto"/>
          <w:sz w:val="24"/>
          <w:szCs w:val="24"/>
          <w:highlight w:val="none"/>
        </w:rPr>
        <w:t>万元，</w:t>
      </w:r>
      <w:r>
        <w:rPr>
          <w:rFonts w:hint="default" w:ascii="Times New Roman" w:hAnsi="Times New Roman" w:eastAsia="宋体" w:cs="Times New Roman"/>
          <w:color w:val="auto"/>
          <w:sz w:val="24"/>
          <w:szCs w:val="24"/>
          <w:highlight w:val="none"/>
          <w:lang w:eastAsia="zh-CN"/>
        </w:rPr>
        <w:t>医护人员</w:t>
      </w:r>
      <w:r>
        <w:rPr>
          <w:rFonts w:hint="default" w:ascii="Times New Roman" w:hAnsi="Times New Roman" w:eastAsia="宋体" w:cs="Times New Roman"/>
          <w:color w:val="auto"/>
          <w:sz w:val="24"/>
          <w:szCs w:val="24"/>
          <w:highlight w:val="none"/>
          <w:lang w:val="en-US" w:eastAsia="zh-CN"/>
        </w:rPr>
        <w:t>85</w:t>
      </w:r>
      <w:r>
        <w:rPr>
          <w:rFonts w:hint="default" w:ascii="Times New Roman" w:hAnsi="Times New Roman" w:eastAsia="宋体" w:cs="Times New Roman"/>
          <w:color w:val="auto"/>
          <w:sz w:val="24"/>
          <w:szCs w:val="24"/>
          <w:highlight w:val="none"/>
        </w:rPr>
        <w:t>人，病床</w:t>
      </w:r>
      <w:r>
        <w:rPr>
          <w:rFonts w:hint="default" w:ascii="Times New Roman" w:hAnsi="Times New Roman" w:eastAsia="宋体" w:cs="Times New Roman"/>
          <w:color w:val="auto"/>
          <w:sz w:val="24"/>
          <w:szCs w:val="24"/>
          <w:highlight w:val="none"/>
          <w:lang w:val="en-US" w:eastAsia="zh-CN"/>
        </w:rPr>
        <w:t>80</w:t>
      </w:r>
      <w:r>
        <w:rPr>
          <w:rFonts w:hint="default" w:ascii="Times New Roman" w:hAnsi="Times New Roman" w:eastAsia="宋体" w:cs="Times New Roman"/>
          <w:color w:val="auto"/>
          <w:sz w:val="24"/>
          <w:szCs w:val="24"/>
          <w:highlight w:val="none"/>
        </w:rPr>
        <w:t>张，</w:t>
      </w:r>
      <w:r>
        <w:rPr>
          <w:rFonts w:hint="default" w:ascii="Times New Roman" w:hAnsi="Times New Roman" w:eastAsia="宋体" w:cs="Times New Roman"/>
          <w:color w:val="auto"/>
          <w:sz w:val="24"/>
          <w:szCs w:val="24"/>
          <w:highlight w:val="none"/>
          <w:lang w:eastAsia="zh-CN"/>
        </w:rPr>
        <w:t>是一家依照国家医疗机构管理规定设置的二级中医医院，依靠自主特色的推拿、针灸和中医内科等核心科目，以传统中医疗法为主，面向社会普通群众提供基本的医疗、医保服务，</w:t>
      </w:r>
      <w:r>
        <w:rPr>
          <w:rFonts w:hint="default" w:ascii="Times New Roman" w:hAnsi="Times New Roman" w:eastAsia="宋体" w:cs="Times New Roman"/>
          <w:color w:val="auto"/>
          <w:sz w:val="24"/>
          <w:szCs w:val="24"/>
          <w:highlight w:val="none"/>
        </w:rPr>
        <w:t>本项目不接收传染病患者，如门诊发现疑似传染病患者，立即转院。</w:t>
      </w:r>
    </w:p>
    <w:p w14:paraId="29B31C56">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textAlignment w:val="auto"/>
        <w:outlineLvl w:val="9"/>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rPr>
        <w:t xml:space="preserve">产业政策符合性分析 </w:t>
      </w:r>
    </w:p>
    <w:p w14:paraId="2F9CAB58">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outlineLvl w:val="9"/>
        <w:rPr>
          <w:rFonts w:hint="eastAsia" w:ascii="Times New Roman" w:hAnsi="Times New Roman" w:eastAsia="宋体" w:cs="Times New Roman"/>
          <w:color w:val="auto"/>
          <w:kern w:val="2"/>
          <w:sz w:val="24"/>
          <w:szCs w:val="21"/>
          <w:highlight w:val="none"/>
          <w:lang w:val="en-US" w:eastAsia="zh-CN" w:bidi="ar-SA"/>
        </w:rPr>
      </w:pPr>
      <w:r>
        <w:rPr>
          <w:rFonts w:hint="eastAsia" w:ascii="Times New Roman" w:hAnsi="Times New Roman" w:eastAsia="宋体" w:cs="Times New Roman"/>
          <w:color w:val="auto"/>
          <w:kern w:val="2"/>
          <w:sz w:val="24"/>
          <w:szCs w:val="21"/>
          <w:highlight w:val="none"/>
          <w:lang w:val="en-US" w:eastAsia="zh-CN" w:bidi="ar-SA"/>
        </w:rPr>
        <w:t>本项目</w:t>
      </w:r>
      <w:r>
        <w:rPr>
          <w:rFonts w:hint="eastAsia" w:cs="Times New Roman"/>
          <w:color w:val="auto"/>
          <w:kern w:val="2"/>
          <w:sz w:val="24"/>
          <w:szCs w:val="21"/>
          <w:highlight w:val="none"/>
          <w:lang w:val="en-US" w:eastAsia="zh-CN" w:bidi="ar-SA"/>
        </w:rPr>
        <w:t>为</w:t>
      </w:r>
      <w:r>
        <w:rPr>
          <w:rFonts w:hint="eastAsia" w:ascii="宋体" w:hAnsi="宋体" w:cs="宋体"/>
          <w:color w:val="auto"/>
          <w:sz w:val="24"/>
          <w:szCs w:val="24"/>
          <w:highlight w:val="none"/>
          <w:lang w:eastAsia="zh-CN"/>
        </w:rPr>
        <w:t>中医医院建设项目，</w:t>
      </w:r>
      <w:r>
        <w:rPr>
          <w:rFonts w:hint="eastAsia" w:ascii="Times New Roman" w:hAnsi="Times New Roman" w:eastAsia="宋体" w:cs="Times New Roman"/>
          <w:color w:val="auto"/>
          <w:kern w:val="2"/>
          <w:sz w:val="24"/>
          <w:szCs w:val="21"/>
          <w:highlight w:val="none"/>
          <w:lang w:val="en-US" w:eastAsia="zh-CN" w:bidi="ar-SA"/>
        </w:rPr>
        <w:t>属于</w:t>
      </w:r>
      <w:r>
        <w:rPr>
          <w:rFonts w:hint="eastAsia" w:cs="Times New Roman"/>
          <w:color w:val="auto"/>
          <w:kern w:val="2"/>
          <w:sz w:val="24"/>
          <w:szCs w:val="21"/>
          <w:highlight w:val="none"/>
          <w:lang w:val="en-US" w:eastAsia="zh-CN" w:bidi="ar-SA"/>
        </w:rPr>
        <w:t>《产业结构调整指导目录》（2019年本）中的鼓励类三十七、卫生健康8、中医养生保健服务，因此本项目为国家产业政策中鼓励类产业类别，</w:t>
      </w:r>
      <w:r>
        <w:rPr>
          <w:rFonts w:hint="eastAsia" w:ascii="宋体" w:hAnsi="宋体" w:eastAsia="宋体" w:cs="宋体"/>
          <w:i w:val="0"/>
          <w:caps w:val="0"/>
          <w:color w:val="auto"/>
          <w:spacing w:val="0"/>
          <w:sz w:val="24"/>
          <w:szCs w:val="24"/>
          <w:highlight w:val="none"/>
          <w:lang w:val="en-US" w:eastAsia="zh-CN"/>
        </w:rPr>
        <w:t>符合国家产业政策。</w:t>
      </w:r>
    </w:p>
    <w:p w14:paraId="321A4B41">
      <w:pPr>
        <w:pStyle w:val="31"/>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textAlignment w:val="auto"/>
        <w:outlineLvl w:val="9"/>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rPr>
        <w:t>规划及选址合理性分析</w:t>
      </w:r>
    </w:p>
    <w:p w14:paraId="174B8A7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cs="Times New Roman"/>
          <w:color w:val="auto"/>
          <w:kern w:val="2"/>
          <w:sz w:val="24"/>
          <w:szCs w:val="21"/>
          <w:highlight w:val="none"/>
          <w:lang w:val="en-US" w:eastAsia="zh-CN" w:bidi="ar-SA"/>
        </w:rPr>
      </w:pPr>
      <w:r>
        <w:rPr>
          <w:rFonts w:hint="eastAsia" w:cs="Times New Roman"/>
          <w:color w:val="auto"/>
          <w:kern w:val="2"/>
          <w:sz w:val="24"/>
          <w:szCs w:val="21"/>
          <w:highlight w:val="none"/>
          <w:lang w:val="en-US" w:eastAsia="zh-CN" w:bidi="ar-SA"/>
        </w:rPr>
        <w:t>本项目拟选址本溪市溪湖区溪湖东路1栋1号。依托现有本溪大楼3-5层进行建设，不新增占地，根据企业提供的不动产登记证，本项目为其他商服用地</w:t>
      </w:r>
      <w:r>
        <w:rPr>
          <w:rFonts w:hint="default" w:cs="Times New Roman"/>
          <w:color w:val="auto"/>
          <w:kern w:val="2"/>
          <w:sz w:val="24"/>
          <w:szCs w:val="21"/>
          <w:highlight w:val="none"/>
          <w:lang w:val="en-US" w:eastAsia="zh-CN" w:bidi="ar-SA"/>
        </w:rPr>
        <w:t>/</w:t>
      </w:r>
      <w:r>
        <w:rPr>
          <w:rFonts w:hint="eastAsia" w:cs="Times New Roman"/>
          <w:color w:val="auto"/>
          <w:kern w:val="2"/>
          <w:sz w:val="24"/>
          <w:szCs w:val="21"/>
          <w:highlight w:val="none"/>
          <w:lang w:val="en-US" w:eastAsia="zh-CN" w:bidi="ar-SA"/>
        </w:rPr>
        <w:t>商业用房，</w:t>
      </w:r>
      <w:r>
        <w:rPr>
          <w:rFonts w:hint="default" w:ascii="Times New Roman" w:hAnsi="Times New Roman" w:cs="Times New Roman"/>
          <w:bCs/>
          <w:color w:val="auto"/>
          <w:sz w:val="24"/>
          <w:highlight w:val="none"/>
        </w:rPr>
        <w:t>故本项目用地性质与规划相符</w:t>
      </w:r>
      <w:r>
        <w:rPr>
          <w:rFonts w:hint="eastAsia" w:ascii="Times New Roman"/>
          <w:bCs/>
          <w:color w:val="auto"/>
          <w:sz w:val="24"/>
          <w:szCs w:val="24"/>
          <w:highlight w:val="none"/>
        </w:rPr>
        <w:t>，</w:t>
      </w:r>
      <w:r>
        <w:rPr>
          <w:rFonts w:hint="eastAsia" w:ascii="Times New Roman"/>
          <w:bCs/>
          <w:color w:val="auto"/>
          <w:sz w:val="24"/>
          <w:szCs w:val="24"/>
          <w:highlight w:val="none"/>
          <w:lang w:eastAsia="zh-CN"/>
        </w:rPr>
        <w:t>规划</w:t>
      </w:r>
      <w:r>
        <w:rPr>
          <w:rFonts w:hint="eastAsia" w:ascii="Times New Roman"/>
          <w:bCs/>
          <w:color w:val="auto"/>
          <w:sz w:val="24"/>
          <w:szCs w:val="24"/>
          <w:highlight w:val="none"/>
        </w:rPr>
        <w:t>合理。</w:t>
      </w:r>
    </w:p>
    <w:p w14:paraId="38A941E8">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outlineLvl w:val="9"/>
        <w:rPr>
          <w:rFonts w:hint="eastAsia"/>
          <w:color w:val="auto"/>
          <w:sz w:val="24"/>
          <w:highlight w:val="none"/>
        </w:rPr>
      </w:pPr>
      <w:r>
        <w:rPr>
          <w:rFonts w:hint="eastAsia"/>
          <w:color w:val="auto"/>
          <w:sz w:val="24"/>
          <w:highlight w:val="none"/>
        </w:rPr>
        <w:t>本项目区域内的交通也能够满足人流、车流及消防通道的要求。项目</w:t>
      </w:r>
      <w:r>
        <w:rPr>
          <w:rFonts w:hint="eastAsia"/>
          <w:color w:val="auto"/>
          <w:sz w:val="24"/>
          <w:highlight w:val="none"/>
          <w:lang w:eastAsia="zh-CN"/>
        </w:rPr>
        <w:t>位于</w:t>
      </w:r>
      <w:r>
        <w:rPr>
          <w:rFonts w:hint="eastAsia"/>
          <w:color w:val="auto"/>
          <w:sz w:val="24"/>
          <w:highlight w:val="none"/>
        </w:rPr>
        <w:t>本溪市城市建成区内，</w:t>
      </w:r>
      <w:r>
        <w:rPr>
          <w:rFonts w:hint="eastAsia"/>
          <w:color w:val="auto"/>
          <w:sz w:val="24"/>
          <w:highlight w:val="none"/>
          <w:lang w:eastAsia="zh-CN"/>
        </w:rPr>
        <w:t>不涉及自然保护区、风景名胜区、生态保护区、饮用水源保护区等环境敏感区，</w:t>
      </w:r>
      <w:r>
        <w:rPr>
          <w:rFonts w:hint="eastAsia"/>
          <w:color w:val="auto"/>
          <w:sz w:val="24"/>
          <w:highlight w:val="none"/>
        </w:rPr>
        <w:t>供水、供暖、排水管线，供电、有线及通讯等基础设施十分齐全，可为本项目配套。</w:t>
      </w:r>
    </w:p>
    <w:p w14:paraId="455A9904">
      <w:pPr>
        <w:pStyle w:val="3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textAlignment w:val="auto"/>
        <w:rPr>
          <w:rFonts w:hint="eastAsia" w:ascii="Times New Roman" w:hAnsi="Times New Roman" w:eastAsia="宋体" w:cs="Times New Roman"/>
          <w:color w:val="auto"/>
          <w:kern w:val="2"/>
          <w:sz w:val="24"/>
          <w:szCs w:val="21"/>
          <w:highlight w:val="none"/>
          <w:lang w:val="en-US" w:eastAsia="zh-CN" w:bidi="ar-SA"/>
        </w:rPr>
      </w:pPr>
      <w:r>
        <w:rPr>
          <w:rFonts w:hint="eastAsia" w:ascii="Times New Roman" w:hAnsi="Times New Roman" w:eastAsia="宋体" w:cs="Times New Roman"/>
          <w:color w:val="auto"/>
          <w:kern w:val="2"/>
          <w:sz w:val="24"/>
          <w:szCs w:val="21"/>
          <w:highlight w:val="none"/>
          <w:lang w:val="en-US" w:eastAsia="zh-CN" w:bidi="ar-SA"/>
        </w:rPr>
        <w:t>由上可知，本项目规划、选址合理。</w:t>
      </w:r>
    </w:p>
    <w:p w14:paraId="6462A15C">
      <w:pPr>
        <w:pStyle w:val="31"/>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textAlignment w:val="auto"/>
        <w:outlineLvl w:val="9"/>
        <w:rPr>
          <w:rFonts w:hint="default" w:ascii="Times New Roman" w:hAnsi="Times New Roman" w:eastAsia="宋体" w:cs="Times New Roman"/>
          <w:b/>
          <w:bCs/>
          <w:color w:val="auto"/>
          <w:sz w:val="28"/>
          <w:szCs w:val="28"/>
          <w:highlight w:val="none"/>
        </w:rPr>
      </w:pPr>
      <w:r>
        <w:rPr>
          <w:rFonts w:hint="eastAsia" w:eastAsia="宋体" w:cs="Times New Roman"/>
          <w:b/>
          <w:bCs/>
          <w:color w:val="auto"/>
          <w:sz w:val="28"/>
          <w:szCs w:val="28"/>
          <w:highlight w:val="none"/>
          <w:lang w:eastAsia="zh-CN"/>
        </w:rPr>
        <w:t>环境质量现状</w:t>
      </w:r>
    </w:p>
    <w:p w14:paraId="537553C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 xml:space="preserve">    （1）</w:t>
      </w:r>
      <w:r>
        <w:rPr>
          <w:rFonts w:hint="default" w:ascii="Times New Roman" w:hAnsi="Times New Roman" w:eastAsia="宋体" w:cs="Times New Roman"/>
          <w:color w:val="auto"/>
          <w:kern w:val="2"/>
          <w:sz w:val="24"/>
          <w:szCs w:val="24"/>
          <w:highlight w:val="none"/>
          <w:lang w:val="en-US" w:eastAsia="zh-CN" w:bidi="ar-SA"/>
        </w:rPr>
        <w:t>环境</w:t>
      </w:r>
      <w:r>
        <w:rPr>
          <w:rFonts w:hint="eastAsia" w:ascii="Times New Roman" w:hAnsi="Times New Roman" w:eastAsia="宋体" w:cs="Times New Roman"/>
          <w:color w:val="auto"/>
          <w:kern w:val="2"/>
          <w:sz w:val="24"/>
          <w:szCs w:val="24"/>
          <w:highlight w:val="none"/>
          <w:lang w:val="en-US" w:eastAsia="zh-CN" w:bidi="ar-SA"/>
        </w:rPr>
        <w:t>空气</w:t>
      </w:r>
      <w:r>
        <w:rPr>
          <w:rFonts w:hint="default" w:ascii="Times New Roman" w:hAnsi="Times New Roman" w:eastAsia="宋体" w:cs="Times New Roman"/>
          <w:color w:val="auto"/>
          <w:kern w:val="2"/>
          <w:sz w:val="24"/>
          <w:szCs w:val="24"/>
          <w:highlight w:val="none"/>
          <w:lang w:val="en-US" w:eastAsia="zh-CN" w:bidi="ar-SA"/>
        </w:rPr>
        <w:t>质量现状</w:t>
      </w:r>
    </w:p>
    <w:p w14:paraId="43CBDEF6">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480" w:firstLineChars="200"/>
        <w:jc w:val="both"/>
        <w:textAlignment w:val="auto"/>
        <w:outlineLvl w:val="9"/>
        <w:rPr>
          <w:rFonts w:hint="eastAsia" w:ascii="Times New Roman" w:eastAsia="宋体"/>
          <w:color w:val="auto"/>
          <w:kern w:val="2"/>
          <w:sz w:val="24"/>
          <w:szCs w:val="24"/>
          <w:highlight w:val="none"/>
          <w:lang w:val="en-US" w:eastAsia="zh-CN" w:bidi="ar-SA"/>
        </w:rPr>
      </w:pPr>
      <w:r>
        <w:rPr>
          <w:rFonts w:hint="eastAsia"/>
          <w:color w:val="auto"/>
          <w:spacing w:val="0"/>
          <w:sz w:val="24"/>
          <w:highlight w:val="none"/>
          <w:lang w:eastAsia="zh-CN"/>
        </w:rPr>
        <w:t>根据本溪市环境质量监测中心站编制的《本溪市环境质量简报（</w:t>
      </w:r>
      <w:r>
        <w:rPr>
          <w:rFonts w:hint="eastAsia"/>
          <w:color w:val="auto"/>
          <w:spacing w:val="0"/>
          <w:sz w:val="24"/>
          <w:highlight w:val="none"/>
          <w:lang w:val="en-US" w:eastAsia="zh-CN"/>
        </w:rPr>
        <w:t>2020年度</w:t>
      </w:r>
      <w:r>
        <w:rPr>
          <w:rFonts w:hint="eastAsia"/>
          <w:color w:val="auto"/>
          <w:spacing w:val="0"/>
          <w:sz w:val="24"/>
          <w:highlight w:val="none"/>
          <w:lang w:eastAsia="zh-CN"/>
        </w:rPr>
        <w:t>）》，</w:t>
      </w:r>
      <w:r>
        <w:rPr>
          <w:rFonts w:hint="eastAsia" w:ascii="Times New Roman" w:hAnsi="Times New Roman" w:eastAsia="宋体" w:cs="Times New Roman"/>
          <w:color w:val="auto"/>
          <w:spacing w:val="0"/>
          <w:kern w:val="2"/>
          <w:sz w:val="24"/>
          <w:szCs w:val="21"/>
          <w:highlight w:val="none"/>
          <w:lang w:val="en-US" w:eastAsia="zh-CN" w:bidi="ar-SA"/>
        </w:rPr>
        <w:t>6项基本污染物年均浓度均达标，项目所在评价区域为达标区。</w:t>
      </w:r>
    </w:p>
    <w:p w14:paraId="1EE94C4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default" w:ascii="Times New Roman" w:hAnsi="Times New Roman" w:eastAsia="宋体" w:cs="Times New Roman"/>
          <w:color w:val="auto"/>
          <w:sz w:val="24"/>
          <w:szCs w:val="24"/>
          <w:highlight w:val="none"/>
        </w:rPr>
      </w:pPr>
      <w:r>
        <w:rPr>
          <w:rFonts w:hint="eastAsia"/>
          <w:color w:val="auto"/>
          <w:sz w:val="24"/>
          <w:szCs w:val="24"/>
          <w:highlight w:val="none"/>
          <w:lang w:eastAsia="zh-CN"/>
        </w:rPr>
        <w:t>对</w:t>
      </w:r>
      <w:r>
        <w:rPr>
          <w:rFonts w:hint="eastAsia"/>
          <w:color w:val="auto"/>
          <w:sz w:val="24"/>
          <w:szCs w:val="24"/>
          <w:highlight w:val="none"/>
          <w:lang w:val="en-US" w:eastAsia="zh-CN"/>
        </w:rPr>
        <w:t>NH</w:t>
      </w:r>
      <w:r>
        <w:rPr>
          <w:rFonts w:hint="eastAsia"/>
          <w:color w:val="auto"/>
          <w:sz w:val="24"/>
          <w:szCs w:val="24"/>
          <w:highlight w:val="none"/>
          <w:vertAlign w:val="subscript"/>
          <w:lang w:val="en-US" w:eastAsia="zh-CN"/>
        </w:rPr>
        <w:t>3</w:t>
      </w:r>
      <w:r>
        <w:rPr>
          <w:rFonts w:hint="eastAsia"/>
          <w:color w:val="auto"/>
          <w:sz w:val="24"/>
          <w:szCs w:val="24"/>
          <w:highlight w:val="none"/>
          <w:lang w:val="en-US" w:eastAsia="zh-CN"/>
        </w:rPr>
        <w:t>、H</w:t>
      </w:r>
      <w:r>
        <w:rPr>
          <w:rFonts w:hint="eastAsia"/>
          <w:color w:val="auto"/>
          <w:sz w:val="24"/>
          <w:szCs w:val="24"/>
          <w:highlight w:val="none"/>
          <w:vertAlign w:val="subscript"/>
          <w:lang w:val="en-US" w:eastAsia="zh-CN"/>
        </w:rPr>
        <w:t>2</w:t>
      </w:r>
      <w:r>
        <w:rPr>
          <w:rFonts w:hint="eastAsia"/>
          <w:color w:val="auto"/>
          <w:sz w:val="24"/>
          <w:szCs w:val="24"/>
          <w:highlight w:val="none"/>
          <w:lang w:val="en-US" w:eastAsia="zh-CN"/>
        </w:rPr>
        <w:t>S进行补充监测，由监测结果可知，项目所在区域NH</w:t>
      </w:r>
      <w:r>
        <w:rPr>
          <w:rFonts w:hint="eastAsia"/>
          <w:color w:val="auto"/>
          <w:sz w:val="24"/>
          <w:szCs w:val="24"/>
          <w:highlight w:val="none"/>
          <w:vertAlign w:val="subscript"/>
          <w:lang w:val="en-US" w:eastAsia="zh-CN"/>
        </w:rPr>
        <w:t>3</w:t>
      </w:r>
      <w:r>
        <w:rPr>
          <w:rFonts w:hint="eastAsia"/>
          <w:color w:val="auto"/>
          <w:sz w:val="24"/>
          <w:szCs w:val="24"/>
          <w:highlight w:val="none"/>
          <w:lang w:val="en-US" w:eastAsia="zh-CN"/>
        </w:rPr>
        <w:t>、H</w:t>
      </w:r>
      <w:r>
        <w:rPr>
          <w:rFonts w:hint="eastAsia"/>
          <w:color w:val="auto"/>
          <w:sz w:val="24"/>
          <w:szCs w:val="24"/>
          <w:highlight w:val="none"/>
          <w:vertAlign w:val="subscript"/>
          <w:lang w:val="en-US" w:eastAsia="zh-CN"/>
        </w:rPr>
        <w:t>2</w:t>
      </w:r>
      <w:r>
        <w:rPr>
          <w:rFonts w:hint="eastAsia"/>
          <w:color w:val="auto"/>
          <w:sz w:val="24"/>
          <w:szCs w:val="24"/>
          <w:highlight w:val="none"/>
          <w:lang w:val="en-US" w:eastAsia="zh-CN"/>
        </w:rPr>
        <w:t>S满足</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eastAsia="zh-CN"/>
        </w:rPr>
        <w:t>环境影响评价技术导则大气环境</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HJ2.2-2018</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eastAsia="zh-CN"/>
        </w:rPr>
        <w:t>附录</w:t>
      </w:r>
      <w:r>
        <w:rPr>
          <w:rFonts w:hint="eastAsia" w:ascii="Times New Roman" w:hAnsi="Times New Roman" w:eastAsia="宋体" w:cs="Times New Roman"/>
          <w:color w:val="auto"/>
          <w:sz w:val="24"/>
          <w:szCs w:val="24"/>
          <w:highlight w:val="none"/>
          <w:lang w:val="en-US" w:eastAsia="zh-CN"/>
        </w:rPr>
        <w:t>D其他污染物空气质量浓度参考限值，</w:t>
      </w:r>
      <w:r>
        <w:rPr>
          <w:rFonts w:hint="default" w:ascii="Times New Roman" w:hAnsi="Times New Roman" w:eastAsia="宋体" w:cs="Times New Roman"/>
          <w:color w:val="auto"/>
          <w:sz w:val="24"/>
          <w:szCs w:val="24"/>
          <w:highlight w:val="none"/>
        </w:rPr>
        <w:t>说明</w:t>
      </w:r>
      <w:r>
        <w:rPr>
          <w:rFonts w:hint="eastAsia"/>
          <w:color w:val="auto"/>
          <w:sz w:val="24"/>
          <w:szCs w:val="24"/>
          <w:highlight w:val="none"/>
          <w:lang w:eastAsia="zh-CN"/>
        </w:rPr>
        <w:t>针对本项目排放的大气特征污染因子，所在区域尚有一定的环境容量</w:t>
      </w:r>
      <w:r>
        <w:rPr>
          <w:rFonts w:hint="default" w:ascii="Times New Roman" w:hAnsi="Times New Roman" w:eastAsia="宋体" w:cs="Times New Roman"/>
          <w:color w:val="auto"/>
          <w:sz w:val="24"/>
          <w:szCs w:val="24"/>
          <w:highlight w:val="none"/>
        </w:rPr>
        <w:t>。</w:t>
      </w:r>
    </w:p>
    <w:p w14:paraId="726F892D">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outlineLvl w:val="9"/>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（2）</w:t>
      </w:r>
      <w:r>
        <w:rPr>
          <w:rFonts w:hint="default" w:ascii="Times New Roman" w:hAnsi="Times New Roman" w:eastAsia="宋体" w:cs="Times New Roman"/>
          <w:color w:val="auto"/>
          <w:kern w:val="2"/>
          <w:sz w:val="24"/>
          <w:szCs w:val="24"/>
          <w:highlight w:val="none"/>
          <w:lang w:val="en-US" w:eastAsia="zh-CN" w:bidi="ar-SA"/>
        </w:rPr>
        <w:t>声环境</w:t>
      </w:r>
    </w:p>
    <w:p w14:paraId="1AD0C6E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olor w:val="auto"/>
          <w:highlight w:val="none"/>
        </w:rPr>
      </w:pPr>
      <w:r>
        <w:rPr>
          <w:rFonts w:hint="eastAsia" w:ascii="Times New Roman" w:hAnsi="Times New Roman" w:cs="Times New Roman"/>
          <w:b w:val="0"/>
          <w:bCs w:val="0"/>
          <w:color w:val="auto"/>
          <w:sz w:val="24"/>
          <w:szCs w:val="24"/>
          <w:highlight w:val="none"/>
          <w:lang w:eastAsia="zh-CN"/>
        </w:rPr>
        <w:t>根据</w:t>
      </w:r>
      <w:r>
        <w:rPr>
          <w:rFonts w:hint="eastAsia" w:cs="Times New Roman"/>
          <w:color w:val="auto"/>
          <w:sz w:val="24"/>
          <w:szCs w:val="24"/>
          <w:highlight w:val="none"/>
          <w:lang w:eastAsia="zh-CN"/>
        </w:rPr>
        <w:t>沈阳中正检测</w:t>
      </w:r>
      <w:r>
        <w:rPr>
          <w:rFonts w:hint="eastAsia" w:ascii="宋体" w:hAnsi="宋体"/>
          <w:color w:val="auto"/>
          <w:sz w:val="24"/>
          <w:szCs w:val="24"/>
          <w:highlight w:val="none"/>
        </w:rPr>
        <w:t>有限公司</w:t>
      </w:r>
      <w:r>
        <w:rPr>
          <w:rFonts w:hint="eastAsia" w:ascii="Times New Roman" w:hAnsi="Times New Roman" w:cs="Times New Roman"/>
          <w:b w:val="0"/>
          <w:bCs w:val="0"/>
          <w:color w:val="auto"/>
          <w:sz w:val="24"/>
          <w:szCs w:val="24"/>
          <w:highlight w:val="none"/>
          <w:lang w:eastAsia="zh-CN"/>
        </w:rPr>
        <w:t>对本项目声环境质量的监测结果</w:t>
      </w:r>
      <w:r>
        <w:rPr>
          <w:rFonts w:hint="default" w:ascii="Times New Roman" w:hAnsi="Times New Roman" w:cs="Times New Roman"/>
          <w:color w:val="auto"/>
          <w:kern w:val="28"/>
          <w:sz w:val="24"/>
          <w:szCs w:val="24"/>
          <w:highlight w:val="none"/>
        </w:rPr>
        <w:t>，</w:t>
      </w:r>
      <w:r>
        <w:rPr>
          <w:rFonts w:hint="default" w:ascii="Times New Roman" w:hAnsi="Times New Roman" w:cs="Times New Roman"/>
          <w:color w:val="auto"/>
          <w:sz w:val="24"/>
          <w:szCs w:val="24"/>
          <w:highlight w:val="none"/>
        </w:rPr>
        <w:t>项目所在区域声环境质量满足《声环境质量标准》（GB3096-2008）中</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类、4a类标准要求。</w:t>
      </w:r>
    </w:p>
    <w:p w14:paraId="69E48F3F">
      <w:pPr>
        <w:pStyle w:val="17"/>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lang w:val="en-US" w:eastAsia="zh-CN"/>
        </w:rPr>
        <w:t>5</w:t>
      </w:r>
      <w:r>
        <w:rPr>
          <w:rFonts w:hint="default" w:ascii="Times New Roman" w:hAnsi="Times New Roman" w:cs="Times New Roman"/>
          <w:b/>
          <w:bCs/>
          <w:color w:val="auto"/>
          <w:sz w:val="28"/>
          <w:szCs w:val="28"/>
          <w:highlight w:val="none"/>
        </w:rPr>
        <w:t>环境影响预测</w:t>
      </w:r>
    </w:p>
    <w:p w14:paraId="13A3422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（1）废气</w:t>
      </w:r>
    </w:p>
    <w:p w14:paraId="4710D29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本项目</w:t>
      </w:r>
      <w:r>
        <w:rPr>
          <w:rFonts w:hint="eastAsia" w:ascii="Times New Roman" w:hAnsi="Times New Roman" w:cs="Times New Roman"/>
          <w:color w:val="auto"/>
          <w:sz w:val="24"/>
          <w:szCs w:val="24"/>
          <w:highlight w:val="none"/>
          <w:lang w:eastAsia="zh-CN"/>
        </w:rPr>
        <w:t>废气</w:t>
      </w:r>
      <w:r>
        <w:rPr>
          <w:rFonts w:hint="eastAsia" w:ascii="Times New Roman" w:hAnsi="Times New Roman" w:cs="Times New Roman"/>
          <w:color w:val="auto"/>
          <w:sz w:val="24"/>
          <w:szCs w:val="24"/>
          <w:highlight w:val="none"/>
        </w:rPr>
        <w:t>主要为污水处理设施排放的</w:t>
      </w:r>
      <w:r>
        <w:rPr>
          <w:rFonts w:hint="eastAsia" w:ascii="Times New Roman" w:hAnsi="Times New Roman" w:cs="Times New Roman"/>
          <w:color w:val="auto"/>
          <w:sz w:val="24"/>
          <w:szCs w:val="24"/>
          <w:highlight w:val="none"/>
          <w:lang w:eastAsia="zh-CN"/>
        </w:rPr>
        <w:t>恶臭气体、</w:t>
      </w:r>
      <w:r>
        <w:rPr>
          <w:rFonts w:hint="eastAsia" w:cs="Times New Roman"/>
          <w:color w:val="auto"/>
          <w:sz w:val="24"/>
          <w:szCs w:val="24"/>
          <w:highlight w:val="none"/>
          <w:lang w:eastAsia="zh-CN"/>
        </w:rPr>
        <w:t>中药异味</w:t>
      </w:r>
      <w:r>
        <w:rPr>
          <w:rFonts w:hint="eastAsia" w:ascii="Times New Roman" w:hAnsi="Times New Roman" w:cs="Times New Roman"/>
          <w:color w:val="auto"/>
          <w:sz w:val="24"/>
          <w:szCs w:val="24"/>
          <w:highlight w:val="none"/>
        </w:rPr>
        <w:t>。</w:t>
      </w:r>
      <w:r>
        <w:rPr>
          <w:rFonts w:hint="eastAsia" w:cs="Times New Roman"/>
          <w:color w:val="auto"/>
          <w:sz w:val="24"/>
          <w:szCs w:val="24"/>
          <w:highlight w:val="none"/>
          <w:lang w:eastAsia="zh-CN"/>
        </w:rPr>
        <w:t>本项目</w:t>
      </w:r>
      <w:r>
        <w:rPr>
          <w:rFonts w:hint="eastAsia" w:ascii="Times New Roman" w:hAnsi="Times New Roman" w:cs="Times New Roman"/>
          <w:i w:val="0"/>
          <w:caps w:val="0"/>
          <w:color w:val="auto"/>
          <w:spacing w:val="0"/>
          <w:sz w:val="24"/>
          <w:szCs w:val="24"/>
          <w:highlight w:val="none"/>
          <w:shd w:val="clear" w:fill="FFFFFF"/>
          <w:lang w:val="en-US" w:eastAsia="zh-CN"/>
        </w:rPr>
        <w:t>污水处理</w:t>
      </w:r>
      <w:r>
        <w:rPr>
          <w:rFonts w:hint="eastAsia" w:cs="Times New Roman"/>
          <w:i w:val="0"/>
          <w:caps w:val="0"/>
          <w:color w:val="auto"/>
          <w:spacing w:val="0"/>
          <w:sz w:val="24"/>
          <w:szCs w:val="24"/>
          <w:highlight w:val="none"/>
          <w:shd w:val="clear" w:fill="FFFFFF"/>
          <w:lang w:val="en-US" w:eastAsia="zh-CN"/>
        </w:rPr>
        <w:t>设施加盖</w:t>
      </w:r>
      <w:r>
        <w:rPr>
          <w:rFonts w:hint="eastAsia" w:ascii="Times New Roman" w:hAnsi="Times New Roman" w:cs="Times New Roman"/>
          <w:i w:val="0"/>
          <w:caps w:val="0"/>
          <w:color w:val="auto"/>
          <w:spacing w:val="0"/>
          <w:sz w:val="24"/>
          <w:szCs w:val="24"/>
          <w:highlight w:val="none"/>
          <w:shd w:val="clear" w:fill="FFFFFF"/>
          <w:lang w:val="en-US" w:eastAsia="zh-CN"/>
        </w:rPr>
        <w:t>封闭</w:t>
      </w:r>
      <w:r>
        <w:rPr>
          <w:rFonts w:hint="eastAsia" w:cs="Times New Roman"/>
          <w:i w:val="0"/>
          <w:caps w:val="0"/>
          <w:color w:val="auto"/>
          <w:spacing w:val="0"/>
          <w:sz w:val="24"/>
          <w:szCs w:val="24"/>
          <w:highlight w:val="none"/>
          <w:shd w:val="clear" w:fill="FFFFFF"/>
          <w:lang w:val="en-US" w:eastAsia="zh-CN"/>
        </w:rPr>
        <w:t>，投放除臭剂，同时</w:t>
      </w:r>
      <w:r>
        <w:rPr>
          <w:rFonts w:hint="eastAsia" w:ascii="宋体" w:hAnsi="宋体" w:cs="宋体"/>
          <w:color w:val="auto"/>
          <w:sz w:val="24"/>
          <w:szCs w:val="24"/>
          <w:highlight w:val="none"/>
        </w:rPr>
        <w:t>在</w:t>
      </w:r>
      <w:r>
        <w:rPr>
          <w:rFonts w:hint="eastAsia" w:ascii="宋体" w:hAnsi="宋体" w:cs="宋体"/>
          <w:color w:val="auto"/>
          <w:sz w:val="24"/>
          <w:szCs w:val="24"/>
          <w:highlight w:val="none"/>
          <w:lang w:eastAsia="zh-CN"/>
        </w:rPr>
        <w:t>污水站周边</w:t>
      </w:r>
      <w:r>
        <w:rPr>
          <w:rFonts w:hint="eastAsia" w:ascii="宋体" w:hAnsi="宋体" w:cs="宋体"/>
          <w:color w:val="auto"/>
          <w:sz w:val="24"/>
          <w:szCs w:val="24"/>
          <w:highlight w:val="none"/>
        </w:rPr>
        <w:t>放置</w:t>
      </w:r>
      <w:r>
        <w:rPr>
          <w:rFonts w:hint="eastAsia" w:ascii="宋体" w:hAnsi="宋体" w:cs="宋体"/>
          <w:color w:val="auto"/>
          <w:sz w:val="24"/>
          <w:szCs w:val="24"/>
          <w:highlight w:val="none"/>
          <w:lang w:eastAsia="zh-CN"/>
        </w:rPr>
        <w:t>吸附恶臭气体较强的</w:t>
      </w:r>
      <w:r>
        <w:rPr>
          <w:rFonts w:hint="eastAsia" w:ascii="宋体" w:hAnsi="宋体" w:cs="宋体"/>
          <w:color w:val="auto"/>
          <w:sz w:val="24"/>
          <w:szCs w:val="24"/>
          <w:highlight w:val="none"/>
        </w:rPr>
        <w:t>盆栽植物进行绿化吸收</w:t>
      </w:r>
      <w:r>
        <w:rPr>
          <w:rFonts w:hint="eastAsia" w:ascii="宋体" w:hAnsi="宋体" w:cs="宋体"/>
          <w:color w:val="auto"/>
          <w:sz w:val="24"/>
          <w:szCs w:val="24"/>
          <w:highlight w:val="none"/>
          <w:lang w:eastAsia="zh-CN"/>
        </w:rPr>
        <w:t>；中药异味采取通风、自然扩散措施。</w:t>
      </w:r>
      <w:r>
        <w:rPr>
          <w:rFonts w:hint="eastAsia" w:ascii="Times New Roman" w:hAnsi="Times New Roman" w:cs="Times New Roman"/>
          <w:color w:val="auto"/>
          <w:sz w:val="24"/>
          <w:szCs w:val="24"/>
          <w:highlight w:val="none"/>
          <w:lang w:val="en-US" w:eastAsia="zh-CN"/>
        </w:rPr>
        <w:t>采取上述措施后，恶臭气体可以满足</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rPr>
        <w:t>医疗机构水污染物排放</w:t>
      </w:r>
      <w:r>
        <w:rPr>
          <w:rFonts w:hint="default" w:ascii="Times New Roman" w:hAnsi="Times New Roman" w:cs="Times New Roman"/>
          <w:color w:val="auto"/>
          <w:sz w:val="24"/>
          <w:szCs w:val="24"/>
          <w:highlight w:val="none"/>
        </w:rPr>
        <w:t>标准》（</w:t>
      </w:r>
      <w:r>
        <w:rPr>
          <w:rFonts w:hint="eastAsia" w:ascii="Times New Roman" w:hAnsi="Times New Roman" w:cs="Times New Roman"/>
          <w:color w:val="auto"/>
          <w:sz w:val="24"/>
          <w:szCs w:val="24"/>
          <w:highlight w:val="none"/>
        </w:rPr>
        <w:t>GB18466-2005</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rPr>
        <w:t>要求中“污水处理站周边大气污染物最高允许浓度”标准</w:t>
      </w:r>
      <w:r>
        <w:rPr>
          <w:rFonts w:hint="eastAsia" w:ascii="Times New Roman" w:hAnsi="Times New Roman" w:cs="Times New Roman"/>
          <w:color w:val="auto"/>
          <w:sz w:val="24"/>
          <w:szCs w:val="24"/>
          <w:highlight w:val="none"/>
          <w:lang w:eastAsia="zh-CN"/>
        </w:rPr>
        <w:t>，</w:t>
      </w:r>
      <w:r>
        <w:rPr>
          <w:rFonts w:hint="eastAsia" w:ascii="宋体" w:hAnsi="宋体" w:cs="宋体"/>
          <w:color w:val="auto"/>
          <w:sz w:val="24"/>
          <w:szCs w:val="24"/>
          <w:highlight w:val="none"/>
          <w:lang w:eastAsia="zh-CN"/>
        </w:rPr>
        <w:t>中药异味满足</w:t>
      </w:r>
      <w:r>
        <w:rPr>
          <w:rFonts w:hint="eastAsia"/>
          <w:color w:val="auto"/>
          <w:sz w:val="24"/>
          <w:szCs w:val="24"/>
          <w:highlight w:val="none"/>
          <w:lang w:val="en-US" w:eastAsia="zh-CN"/>
        </w:rPr>
        <w:t>《恶臭污染物排放标准》（GB14554-93）表1要求</w:t>
      </w:r>
      <w:r>
        <w:rPr>
          <w:rFonts w:hint="eastAsia"/>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大气污染物</w:t>
      </w:r>
      <w:r>
        <w:rPr>
          <w:rFonts w:hint="eastAsia" w:ascii="Times New Roman" w:hAnsi="Times New Roman" w:cs="Times New Roman"/>
          <w:color w:val="auto"/>
          <w:sz w:val="24"/>
          <w:szCs w:val="24"/>
          <w:highlight w:val="none"/>
        </w:rPr>
        <w:t>对外界环境影响很小。</w:t>
      </w:r>
    </w:p>
    <w:p w14:paraId="259A384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（2）废水</w:t>
      </w:r>
    </w:p>
    <w:p w14:paraId="3EA88CC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医疗废水经</w:t>
      </w:r>
      <w:r>
        <w:rPr>
          <w:rFonts w:ascii="Times New Roman" w:hAnsi="Times New Roman" w:cs="Times New Roman"/>
          <w:color w:val="auto"/>
          <w:sz w:val="24"/>
          <w:szCs w:val="24"/>
          <w:highlight w:val="none"/>
        </w:rPr>
        <w:t>一体化污水处理</w:t>
      </w:r>
      <w:r>
        <w:rPr>
          <w:rFonts w:hint="eastAsia" w:ascii="Times New Roman" w:hAnsi="Times New Roman" w:cs="Times New Roman"/>
          <w:color w:val="auto"/>
          <w:sz w:val="24"/>
          <w:szCs w:val="24"/>
          <w:highlight w:val="none"/>
        </w:rPr>
        <w:t>设施</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rPr>
        <w:t>格栅+调节池+絮凝沉淀+消毒</w:t>
      </w:r>
      <w:r>
        <w:rPr>
          <w:rFonts w:hint="eastAsia" w:cs="Times New Roman"/>
          <w:color w:val="auto"/>
          <w:sz w:val="24"/>
          <w:szCs w:val="24"/>
          <w:highlight w:val="none"/>
          <w:lang w:val="en-US" w:eastAsia="zh-CN"/>
        </w:rPr>
        <w:t>工艺</w:t>
      </w:r>
      <w:r>
        <w:rPr>
          <w:rFonts w:hint="eastAsia" w:ascii="Times New Roman" w:hAnsi="Times New Roman" w:cs="Times New Roman"/>
          <w:color w:val="auto"/>
          <w:sz w:val="24"/>
          <w:szCs w:val="24"/>
          <w:highlight w:val="none"/>
          <w:lang w:eastAsia="zh-CN"/>
        </w:rPr>
        <w:t>）处理后排入市政管网，污染物排放浓度满足</w:t>
      </w:r>
      <w:r>
        <w:rPr>
          <w:rFonts w:hint="default" w:ascii="Times New Roman" w:hAnsi="Times New Roman" w:cs="Times New Roman"/>
          <w:color w:val="auto"/>
          <w:sz w:val="24"/>
          <w:szCs w:val="24"/>
          <w:highlight w:val="none"/>
        </w:rPr>
        <w:t>《医疗机构水污染物排放标准》（GB18466-2005）中</w:t>
      </w:r>
      <w:r>
        <w:rPr>
          <w:rFonts w:hint="eastAsia" w:cs="Times New Roman"/>
          <w:color w:val="auto"/>
          <w:sz w:val="24"/>
          <w:szCs w:val="24"/>
          <w:highlight w:val="none"/>
          <w:lang w:eastAsia="zh-CN"/>
        </w:rPr>
        <w:t>表</w:t>
      </w:r>
      <w:r>
        <w:rPr>
          <w:rFonts w:hint="eastAsia" w:cs="Times New Roman"/>
          <w:color w:val="auto"/>
          <w:sz w:val="24"/>
          <w:szCs w:val="24"/>
          <w:highlight w:val="none"/>
          <w:lang w:val="en-US" w:eastAsia="zh-CN"/>
        </w:rPr>
        <w:t>2预处理</w:t>
      </w:r>
      <w:r>
        <w:rPr>
          <w:rFonts w:hint="default" w:ascii="Times New Roman" w:hAnsi="Times New Roman" w:cs="Times New Roman"/>
          <w:color w:val="auto"/>
          <w:sz w:val="24"/>
          <w:szCs w:val="24"/>
          <w:highlight w:val="none"/>
        </w:rPr>
        <w:t>标准</w:t>
      </w:r>
      <w:r>
        <w:rPr>
          <w:rFonts w:hint="eastAsia" w:cs="Times New Roman"/>
          <w:color w:val="auto"/>
          <w:sz w:val="24"/>
          <w:szCs w:val="24"/>
          <w:highlight w:val="none"/>
          <w:lang w:eastAsia="zh-CN"/>
        </w:rPr>
        <w:t>；生活污水经小区化粪池预处理后排入市政管网，</w:t>
      </w:r>
      <w:r>
        <w:rPr>
          <w:rFonts w:hint="eastAsia" w:ascii="Times New Roman" w:hAnsi="Times New Roman" w:cs="Times New Roman"/>
          <w:color w:val="auto"/>
          <w:sz w:val="24"/>
          <w:szCs w:val="24"/>
          <w:highlight w:val="none"/>
          <w:lang w:eastAsia="zh-CN"/>
        </w:rPr>
        <w:t>污染物排放浓度</w:t>
      </w:r>
      <w:r>
        <w:rPr>
          <w:rFonts w:hint="default" w:ascii="Times New Roman" w:hAnsi="Times New Roman" w:cs="Times New Roman"/>
          <w:color w:val="auto"/>
          <w:sz w:val="24"/>
          <w:szCs w:val="24"/>
          <w:highlight w:val="none"/>
        </w:rPr>
        <w:t>满足</w:t>
      </w:r>
      <w:r>
        <w:rPr>
          <w:rFonts w:hint="default" w:ascii="Times New Roman" w:hAnsi="Times New Roman" w:cs="Times New Roman"/>
          <w:smallCaps/>
          <w:color w:val="auto"/>
          <w:sz w:val="24"/>
          <w:szCs w:val="24"/>
          <w:highlight w:val="none"/>
        </w:rPr>
        <w:t>《辽宁省污水综合排放标准》(DB21/1627-2008)表2标准</w:t>
      </w:r>
      <w:r>
        <w:rPr>
          <w:rFonts w:hint="eastAsia" w:ascii="Times New Roman" w:hAnsi="Times New Roman" w:cs="Times New Roman"/>
          <w:smallCaps/>
          <w:color w:val="auto"/>
          <w:sz w:val="24"/>
          <w:szCs w:val="24"/>
          <w:highlight w:val="none"/>
          <w:lang w:eastAsia="zh-CN"/>
        </w:rPr>
        <w:t>，</w:t>
      </w:r>
      <w:r>
        <w:rPr>
          <w:rFonts w:hint="default" w:ascii="Times New Roman" w:hAnsi="Times New Roman" w:cs="Times New Roman"/>
          <w:color w:val="auto"/>
          <w:sz w:val="24"/>
          <w:szCs w:val="24"/>
          <w:highlight w:val="none"/>
        </w:rPr>
        <w:t>对水环境影响较小。</w:t>
      </w:r>
    </w:p>
    <w:p w14:paraId="629D146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（3）噪声</w:t>
      </w:r>
    </w:p>
    <w:p w14:paraId="50ABD31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项目主要噪声源是</w:t>
      </w:r>
      <w:r>
        <w:rPr>
          <w:rFonts w:hint="eastAsia" w:ascii="宋体" w:hAnsi="宋体"/>
          <w:color w:val="auto"/>
          <w:sz w:val="24"/>
          <w:szCs w:val="24"/>
          <w:highlight w:val="none"/>
          <w:lang w:eastAsia="zh-CN"/>
        </w:rPr>
        <w:t>水泵、冷却机组</w:t>
      </w:r>
      <w:r>
        <w:rPr>
          <w:rFonts w:hint="eastAsia" w:cs="Times New Roman"/>
          <w:color w:val="auto"/>
          <w:sz w:val="24"/>
          <w:szCs w:val="24"/>
          <w:highlight w:val="none"/>
          <w:lang w:eastAsia="zh-CN"/>
        </w:rPr>
        <w:t>等</w:t>
      </w:r>
      <w:r>
        <w:rPr>
          <w:rFonts w:hint="default" w:ascii="Times New Roman" w:hAnsi="Times New Roman" w:cs="Times New Roman"/>
          <w:color w:val="auto"/>
          <w:sz w:val="24"/>
          <w:szCs w:val="24"/>
          <w:highlight w:val="none"/>
        </w:rPr>
        <w:t>设备运行</w:t>
      </w:r>
      <w:r>
        <w:rPr>
          <w:rFonts w:hint="eastAsia" w:cs="Times New Roman"/>
          <w:color w:val="auto"/>
          <w:sz w:val="24"/>
          <w:szCs w:val="24"/>
          <w:highlight w:val="none"/>
          <w:lang w:eastAsia="zh-CN"/>
        </w:rPr>
        <w:t>产生的噪声</w:t>
      </w:r>
      <w:r>
        <w:rPr>
          <w:rFonts w:hint="default" w:ascii="Times New Roman" w:hAnsi="Times New Roman" w:cs="Times New Roman"/>
          <w:color w:val="auto"/>
          <w:sz w:val="24"/>
          <w:szCs w:val="24"/>
          <w:highlight w:val="none"/>
        </w:rPr>
        <w:t>以及门诊部社会噪声。通过</w:t>
      </w:r>
      <w:r>
        <w:rPr>
          <w:rFonts w:hint="eastAsia" w:cs="Times New Roman"/>
          <w:color w:val="auto"/>
          <w:sz w:val="24"/>
          <w:szCs w:val="24"/>
          <w:highlight w:val="none"/>
          <w:lang w:eastAsia="zh-CN"/>
        </w:rPr>
        <w:t>基础减振、管道柔性连接、隔声、禁止鸣笛</w:t>
      </w:r>
      <w:r>
        <w:rPr>
          <w:rFonts w:hint="default" w:ascii="Times New Roman" w:hAnsi="Times New Roman" w:cs="Times New Roman"/>
          <w:color w:val="auto"/>
          <w:sz w:val="24"/>
          <w:szCs w:val="24"/>
          <w:highlight w:val="none"/>
        </w:rPr>
        <w:t>等降噪措施后，各噪声源对声环境影响较小。各病房采用隔声性能好的窗户，</w:t>
      </w:r>
      <w:r>
        <w:rPr>
          <w:rFonts w:hint="eastAsia" w:cs="Times New Roman"/>
          <w:color w:val="auto"/>
          <w:sz w:val="24"/>
          <w:szCs w:val="24"/>
          <w:highlight w:val="none"/>
          <w:lang w:eastAsia="zh-CN"/>
        </w:rPr>
        <w:t>可以</w:t>
      </w:r>
      <w:r>
        <w:rPr>
          <w:rFonts w:hint="default" w:ascii="Times New Roman" w:hAnsi="Times New Roman" w:cs="Times New Roman"/>
          <w:color w:val="auto"/>
          <w:sz w:val="24"/>
          <w:szCs w:val="24"/>
          <w:highlight w:val="none"/>
        </w:rPr>
        <w:t>降低交通噪声对</w:t>
      </w:r>
      <w:r>
        <w:rPr>
          <w:rFonts w:hint="eastAsia" w:cs="Times New Roman"/>
          <w:color w:val="auto"/>
          <w:sz w:val="24"/>
          <w:szCs w:val="24"/>
          <w:highlight w:val="none"/>
          <w:lang w:eastAsia="zh-CN"/>
        </w:rPr>
        <w:t>病房</w:t>
      </w:r>
      <w:r>
        <w:rPr>
          <w:rFonts w:hint="default" w:ascii="Times New Roman" w:hAnsi="Times New Roman" w:cs="Times New Roman"/>
          <w:color w:val="auto"/>
          <w:sz w:val="24"/>
          <w:szCs w:val="24"/>
          <w:highlight w:val="none"/>
        </w:rPr>
        <w:t>的影响</w:t>
      </w:r>
      <w:r>
        <w:rPr>
          <w:rFonts w:hint="eastAsia" w:cs="Times New Roman"/>
          <w:color w:val="auto"/>
          <w:sz w:val="24"/>
          <w:szCs w:val="24"/>
          <w:highlight w:val="none"/>
          <w:lang w:eastAsia="zh-CN"/>
        </w:rPr>
        <w:t>，外环境对本项目影响不大。</w:t>
      </w:r>
    </w:p>
    <w:p w14:paraId="082CC33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（4）固体废物</w:t>
      </w:r>
    </w:p>
    <w:p w14:paraId="0E4260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本项目营运期产生的固体废弃物主要有生活垃圾</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医疗</w:t>
      </w:r>
      <w:r>
        <w:rPr>
          <w:rFonts w:hint="eastAsia" w:cs="Times New Roman"/>
          <w:color w:val="auto"/>
          <w:sz w:val="24"/>
          <w:szCs w:val="24"/>
          <w:highlight w:val="none"/>
          <w:lang w:eastAsia="zh-CN"/>
        </w:rPr>
        <w:t>废物、煎药药渣及</w:t>
      </w:r>
      <w:r>
        <w:rPr>
          <w:rFonts w:hint="eastAsia" w:ascii="Times New Roman" w:hAnsi="Times New Roman" w:cs="Times New Roman"/>
          <w:b w:val="0"/>
          <w:bCs w:val="0"/>
          <w:color w:val="auto"/>
          <w:sz w:val="24"/>
          <w:szCs w:val="24"/>
          <w:highlight w:val="none"/>
          <w:lang w:val="en-US" w:eastAsia="zh-CN"/>
        </w:rPr>
        <w:t>废弃中药材</w:t>
      </w:r>
      <w:r>
        <w:rPr>
          <w:rFonts w:hint="eastAsia" w:cs="Times New Roman"/>
          <w:color w:val="auto"/>
          <w:sz w:val="24"/>
          <w:szCs w:val="24"/>
          <w:highlight w:val="none"/>
          <w:lang w:eastAsia="zh-CN"/>
        </w:rPr>
        <w:t>和污水处理设施污泥及栅渣</w:t>
      </w:r>
      <w:r>
        <w:rPr>
          <w:rFonts w:hint="default" w:ascii="Times New Roman" w:hAnsi="Times New Roman" w:cs="Times New Roman"/>
          <w:color w:val="auto"/>
          <w:sz w:val="24"/>
          <w:szCs w:val="24"/>
          <w:highlight w:val="none"/>
        </w:rPr>
        <w:t>。</w:t>
      </w:r>
    </w:p>
    <w:p w14:paraId="39F7392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highlight w:val="none"/>
          <w:lang w:val="en-US" w:eastAsia="zh-CN"/>
        </w:rPr>
      </w:pPr>
      <w:r>
        <w:rPr>
          <w:rFonts w:hint="default" w:ascii="Times New Roman" w:hAnsi="Times New Roman" w:cs="Times New Roman"/>
          <w:color w:val="auto"/>
          <w:sz w:val="24"/>
          <w:szCs w:val="24"/>
          <w:highlight w:val="none"/>
        </w:rPr>
        <w:t>本项目共产生生活垃圾</w:t>
      </w:r>
      <w:r>
        <w:rPr>
          <w:rFonts w:hint="eastAsia" w:cs="Times New Roman"/>
          <w:color w:val="auto"/>
          <w:sz w:val="24"/>
          <w:szCs w:val="24"/>
          <w:highlight w:val="none"/>
          <w:lang w:val="en-US" w:eastAsia="zh-CN"/>
        </w:rPr>
        <w:t>37.41</w:t>
      </w:r>
      <w:r>
        <w:rPr>
          <w:rFonts w:hint="default" w:ascii="Times New Roman" w:hAnsi="Times New Roman" w:cs="Times New Roman"/>
          <w:color w:val="auto"/>
          <w:sz w:val="24"/>
          <w:szCs w:val="24"/>
          <w:highlight w:val="none"/>
        </w:rPr>
        <w:t>t/a</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生活垃圾集中收集，由当地环卫部门统一清运处理；</w:t>
      </w:r>
      <w:r>
        <w:rPr>
          <w:rFonts w:hint="eastAsia" w:cs="Times New Roman"/>
          <w:color w:val="auto"/>
          <w:sz w:val="24"/>
          <w:szCs w:val="24"/>
          <w:highlight w:val="none"/>
          <w:lang w:val="en-US" w:eastAsia="zh-CN"/>
        </w:rPr>
        <w:t>煎药药渣及废弃中药材产生量为6.8t/a，与生活垃圾一同</w:t>
      </w:r>
      <w:r>
        <w:rPr>
          <w:rFonts w:hint="eastAsia" w:cs="Times New Roman"/>
          <w:color w:val="auto"/>
          <w:sz w:val="24"/>
          <w:highlight w:val="none"/>
          <w:lang w:eastAsia="zh-CN"/>
        </w:rPr>
        <w:t>交由环卫部门统一清运处理；</w:t>
      </w:r>
      <w:r>
        <w:rPr>
          <w:rFonts w:hint="eastAsia" w:cs="宋体"/>
          <w:color w:val="auto"/>
          <w:sz w:val="24"/>
          <w:szCs w:val="24"/>
          <w:highlight w:val="none"/>
        </w:rPr>
        <w:t>污泥</w:t>
      </w:r>
      <w:r>
        <w:rPr>
          <w:rFonts w:hint="eastAsia" w:cs="宋体"/>
          <w:color w:val="auto"/>
          <w:sz w:val="24"/>
          <w:szCs w:val="24"/>
          <w:highlight w:val="none"/>
          <w:lang w:eastAsia="zh-CN"/>
        </w:rPr>
        <w:t>及栅渣</w:t>
      </w:r>
      <w:r>
        <w:rPr>
          <w:rFonts w:hint="eastAsia" w:cs="宋体"/>
          <w:color w:val="auto"/>
          <w:sz w:val="24"/>
          <w:szCs w:val="24"/>
          <w:highlight w:val="none"/>
        </w:rPr>
        <w:t>产生量为</w:t>
      </w:r>
      <w:r>
        <w:rPr>
          <w:rFonts w:hint="eastAsia"/>
          <w:color w:val="auto"/>
          <w:sz w:val="24"/>
          <w:szCs w:val="24"/>
          <w:highlight w:val="none"/>
          <w:lang w:val="en-US" w:eastAsia="zh-CN"/>
        </w:rPr>
        <w:t>0.15</w:t>
      </w:r>
      <w:r>
        <w:rPr>
          <w:color w:val="auto"/>
          <w:sz w:val="24"/>
          <w:szCs w:val="24"/>
          <w:highlight w:val="none"/>
        </w:rPr>
        <w:t>t/a</w:t>
      </w:r>
      <w:r>
        <w:rPr>
          <w:rFonts w:hint="eastAsia" w:cs="宋体"/>
          <w:color w:val="auto"/>
          <w:sz w:val="24"/>
          <w:szCs w:val="24"/>
          <w:highlight w:val="none"/>
        </w:rPr>
        <w:t>，</w:t>
      </w:r>
      <w:r>
        <w:rPr>
          <w:rFonts w:hint="eastAsia" w:cs="Times New Roman"/>
          <w:color w:val="auto"/>
          <w:sz w:val="24"/>
          <w:szCs w:val="24"/>
          <w:highlight w:val="none"/>
          <w:lang w:eastAsia="zh-CN"/>
        </w:rPr>
        <w:t>经消毒后</w:t>
      </w:r>
      <w:r>
        <w:rPr>
          <w:rFonts w:hint="default" w:ascii="Times New Roman" w:hAnsi="Times New Roman" w:cs="Times New Roman"/>
          <w:color w:val="auto"/>
          <w:sz w:val="24"/>
          <w:szCs w:val="24"/>
          <w:highlight w:val="none"/>
        </w:rPr>
        <w:t>委托有资质单位处理</w:t>
      </w:r>
      <w:r>
        <w:rPr>
          <w:rFonts w:hint="eastAsia"/>
          <w:color w:val="auto"/>
          <w:sz w:val="24"/>
          <w:szCs w:val="24"/>
          <w:highlight w:val="none"/>
          <w:lang w:val="en-US" w:eastAsia="zh-CN"/>
        </w:rPr>
        <w:t>；</w:t>
      </w:r>
      <w:r>
        <w:rPr>
          <w:rFonts w:hint="default" w:ascii="Times New Roman" w:hAnsi="Times New Roman" w:cs="Times New Roman"/>
          <w:color w:val="auto"/>
          <w:sz w:val="24"/>
          <w:szCs w:val="24"/>
          <w:highlight w:val="none"/>
        </w:rPr>
        <w:t>医疗废弃物产生量为</w:t>
      </w:r>
      <w:r>
        <w:rPr>
          <w:rFonts w:hint="eastAsia" w:cs="Times New Roman"/>
          <w:color w:val="auto"/>
          <w:sz w:val="24"/>
          <w:szCs w:val="24"/>
          <w:highlight w:val="none"/>
          <w:lang w:val="en-US" w:eastAsia="zh-CN"/>
        </w:rPr>
        <w:t>9.64</w:t>
      </w:r>
      <w:r>
        <w:rPr>
          <w:rFonts w:hint="default" w:ascii="Times New Roman" w:hAnsi="Times New Roman" w:cs="Times New Roman"/>
          <w:color w:val="auto"/>
          <w:sz w:val="24"/>
          <w:szCs w:val="24"/>
          <w:highlight w:val="none"/>
        </w:rPr>
        <w:t>t/a，</w:t>
      </w:r>
      <w:r>
        <w:rPr>
          <w:rFonts w:hint="eastAsia" w:ascii="Calibri" w:hAnsi="Calibri" w:cs="Calibri"/>
          <w:bCs/>
          <w:color w:val="auto"/>
          <w:sz w:val="24"/>
          <w:szCs w:val="24"/>
          <w:highlight w:val="none"/>
          <w:lang w:val="en-US" w:eastAsia="zh-CN"/>
        </w:rPr>
        <w:t>分类收集后暂存于</w:t>
      </w:r>
      <w:r>
        <w:rPr>
          <w:rFonts w:hint="eastAsia" w:cs="Times New Roman"/>
          <w:color w:val="auto"/>
          <w:sz w:val="24"/>
          <w:highlight w:val="none"/>
          <w:lang w:eastAsia="zh-CN"/>
        </w:rPr>
        <w:t>医疗废物</w:t>
      </w:r>
      <w:r>
        <w:rPr>
          <w:rFonts w:hint="eastAsia" w:ascii="Calibri" w:hAnsi="Calibri" w:cs="Calibri"/>
          <w:bCs/>
          <w:color w:val="auto"/>
          <w:sz w:val="24"/>
          <w:szCs w:val="24"/>
          <w:highlight w:val="none"/>
          <w:lang w:val="en-US" w:eastAsia="zh-CN"/>
        </w:rPr>
        <w:t>暂存间，定期委托有资质单位处理。</w:t>
      </w:r>
    </w:p>
    <w:p w14:paraId="29E9702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因此，本项目营运期固体废物</w:t>
      </w:r>
      <w:r>
        <w:rPr>
          <w:rFonts w:hint="eastAsia" w:cs="Times New Roman"/>
          <w:color w:val="auto"/>
          <w:sz w:val="24"/>
          <w:szCs w:val="24"/>
          <w:highlight w:val="none"/>
          <w:lang w:eastAsia="zh-CN"/>
        </w:rPr>
        <w:t>均得到合理处置，</w:t>
      </w:r>
      <w:r>
        <w:rPr>
          <w:rFonts w:hint="default" w:ascii="Times New Roman" w:hAnsi="Times New Roman" w:cs="Times New Roman"/>
          <w:color w:val="auto"/>
          <w:sz w:val="24"/>
          <w:szCs w:val="24"/>
          <w:highlight w:val="none"/>
        </w:rPr>
        <w:t>对周围环境影响较小。</w:t>
      </w:r>
    </w:p>
    <w:p w14:paraId="3485F25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color w:val="auto"/>
          <w:sz w:val="28"/>
          <w:szCs w:val="28"/>
          <w:highlight w:val="none"/>
        </w:rPr>
      </w:pPr>
      <w:r>
        <w:rPr>
          <w:rFonts w:hint="eastAsia" w:cs="Times New Roman"/>
          <w:b/>
          <w:bCs/>
          <w:color w:val="auto"/>
          <w:sz w:val="28"/>
          <w:szCs w:val="28"/>
          <w:highlight w:val="none"/>
          <w:lang w:val="en-US" w:eastAsia="zh-CN"/>
        </w:rPr>
        <w:t>6</w:t>
      </w:r>
      <w:r>
        <w:rPr>
          <w:rFonts w:hint="default" w:ascii="Times New Roman" w:hAnsi="Times New Roman" w:cs="Times New Roman"/>
          <w:b/>
          <w:bCs/>
          <w:color w:val="auto"/>
          <w:sz w:val="28"/>
          <w:szCs w:val="28"/>
          <w:highlight w:val="none"/>
        </w:rPr>
        <w:t>总量控制</w:t>
      </w:r>
    </w:p>
    <w:p w14:paraId="593DB1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通过本次环评，对水污染物总量控制指标提出建议值。</w:t>
      </w:r>
      <w:r>
        <w:rPr>
          <w:rFonts w:ascii="Times New Roman" w:hAnsi="Times New Roman" w:cs="Times New Roman"/>
          <w:color w:val="auto"/>
          <w:sz w:val="24"/>
          <w:szCs w:val="24"/>
          <w:highlight w:val="none"/>
          <w:lang w:eastAsia="zh-CN"/>
        </w:rPr>
        <w:t>本项目总量控制因子</w:t>
      </w:r>
      <w:r>
        <w:rPr>
          <w:rFonts w:hint="eastAsia" w:ascii="Times New Roman" w:hAnsi="Times New Roman" w:cs="Times New Roman"/>
          <w:color w:val="auto"/>
          <w:sz w:val="24"/>
          <w:szCs w:val="24"/>
          <w:highlight w:val="none"/>
          <w:lang w:eastAsia="zh-CN"/>
        </w:rPr>
        <w:t>为</w:t>
      </w:r>
      <w:r>
        <w:rPr>
          <w:rFonts w:hint="eastAsia" w:ascii="Times New Roman" w:hAnsi="Times New Roman" w:cs="Times New Roman"/>
          <w:color w:val="auto"/>
          <w:sz w:val="24"/>
          <w:szCs w:val="24"/>
          <w:highlight w:val="none"/>
          <w:lang w:val="en-US" w:eastAsia="zh-CN"/>
        </w:rPr>
        <w:t>COD、NH</w:t>
      </w:r>
      <w:r>
        <w:rPr>
          <w:rFonts w:hint="eastAsia" w:ascii="Times New Roman" w:hAnsi="Times New Roman" w:cs="Times New Roman"/>
          <w:color w:val="auto"/>
          <w:sz w:val="24"/>
          <w:szCs w:val="24"/>
          <w:highlight w:val="none"/>
          <w:vertAlign w:val="subscript"/>
          <w:lang w:val="en-US" w:eastAsia="zh-CN"/>
        </w:rPr>
        <w:t>3</w:t>
      </w:r>
      <w:r>
        <w:rPr>
          <w:rFonts w:hint="eastAsia" w:ascii="Times New Roman" w:hAnsi="Times New Roman" w:cs="Times New Roman"/>
          <w:color w:val="auto"/>
          <w:sz w:val="24"/>
          <w:szCs w:val="24"/>
          <w:highlight w:val="none"/>
          <w:lang w:val="en-US" w:eastAsia="zh-CN"/>
        </w:rPr>
        <w:t>-N</w:t>
      </w:r>
      <w:r>
        <w:rPr>
          <w:rFonts w:hint="eastAsia" w:ascii="Times New Roman" w:hAnsi="Times New Roman" w:cs="Times New Roman"/>
          <w:color w:val="auto"/>
          <w:sz w:val="24"/>
          <w:szCs w:val="24"/>
          <w:highlight w:val="none"/>
          <w:vertAlign w:val="baseline"/>
          <w:lang w:val="en-US" w:eastAsia="zh-CN"/>
        </w:rPr>
        <w:t>。</w:t>
      </w:r>
    </w:p>
    <w:p w14:paraId="37ED79C7">
      <w:pPr>
        <w:pStyle w:val="2"/>
        <w:keepNext w:val="0"/>
        <w:keepLines w:val="0"/>
        <w:pageBreakBefore w:val="0"/>
        <w:widowControl w:val="0"/>
        <w:kinsoku/>
        <w:wordWrap/>
        <w:overflowPunct/>
        <w:topLinePunct w:val="0"/>
        <w:autoSpaceDE/>
        <w:autoSpaceDN/>
        <w:bidi w:val="0"/>
        <w:adjustRightInd w:val="0"/>
        <w:snapToGrid w:val="0"/>
        <w:spacing w:after="0" w:afterLines="0" w:line="360" w:lineRule="auto"/>
        <w:ind w:left="0" w:leftChars="0" w:firstLine="480" w:firstLineChars="200"/>
        <w:textAlignment w:val="auto"/>
        <w:outlineLvl w:val="9"/>
        <w:rPr>
          <w:rFonts w:hint="eastAsia" w:ascii="Times New Roman" w:hAnsi="Times New Roman" w:cs="Times New Roman"/>
          <w:color w:val="auto"/>
          <w:sz w:val="24"/>
          <w:szCs w:val="24"/>
          <w:highlight w:val="none"/>
          <w:vertAlign w:val="baseline"/>
          <w:lang w:val="en-US" w:eastAsia="zh-CN"/>
        </w:rPr>
      </w:pPr>
      <w:r>
        <w:rPr>
          <w:rFonts w:hint="eastAsia" w:ascii="Times New Roman" w:hAnsi="Times New Roman" w:cs="Times New Roman"/>
          <w:color w:val="auto"/>
          <w:sz w:val="24"/>
          <w:szCs w:val="24"/>
          <w:highlight w:val="none"/>
          <w:vertAlign w:val="baseline"/>
          <w:lang w:val="en-US" w:eastAsia="zh-CN"/>
        </w:rPr>
        <w:t>根据工程分析，本项目废水污染物企业排口COD排放量为</w:t>
      </w:r>
      <w:r>
        <w:rPr>
          <w:rFonts w:hint="eastAsia" w:cs="Times New Roman"/>
          <w:color w:val="auto"/>
          <w:sz w:val="24"/>
          <w:szCs w:val="24"/>
          <w:highlight w:val="none"/>
          <w:vertAlign w:val="baseline"/>
          <w:lang w:val="en-US" w:eastAsia="zh-CN"/>
        </w:rPr>
        <w:t>2.43</w:t>
      </w:r>
      <w:r>
        <w:rPr>
          <w:rFonts w:hint="eastAsia" w:ascii="Times New Roman" w:hAnsi="Times New Roman" w:cs="Times New Roman"/>
          <w:color w:val="auto"/>
          <w:sz w:val="24"/>
          <w:szCs w:val="24"/>
          <w:highlight w:val="none"/>
          <w:vertAlign w:val="baseline"/>
          <w:lang w:val="en-US" w:eastAsia="zh-CN"/>
        </w:rPr>
        <w:t>t/a，</w:t>
      </w:r>
      <w:r>
        <w:rPr>
          <w:rFonts w:hint="eastAsia" w:ascii="Times New Roman" w:hAnsi="Times New Roman" w:cs="Times New Roman"/>
          <w:color w:val="auto"/>
          <w:sz w:val="24"/>
          <w:szCs w:val="24"/>
          <w:highlight w:val="none"/>
          <w:lang w:val="en-US" w:eastAsia="zh-CN"/>
        </w:rPr>
        <w:t>NH</w:t>
      </w:r>
      <w:r>
        <w:rPr>
          <w:rFonts w:hint="eastAsia" w:ascii="Times New Roman" w:hAnsi="Times New Roman" w:cs="Times New Roman"/>
          <w:color w:val="auto"/>
          <w:sz w:val="24"/>
          <w:szCs w:val="24"/>
          <w:highlight w:val="none"/>
          <w:vertAlign w:val="subscript"/>
          <w:lang w:val="en-US" w:eastAsia="zh-CN"/>
        </w:rPr>
        <w:t>3</w:t>
      </w:r>
      <w:r>
        <w:rPr>
          <w:rFonts w:hint="eastAsia" w:ascii="Times New Roman" w:hAnsi="Times New Roman" w:cs="Times New Roman"/>
          <w:color w:val="auto"/>
          <w:sz w:val="24"/>
          <w:szCs w:val="24"/>
          <w:highlight w:val="none"/>
          <w:lang w:val="en-US" w:eastAsia="zh-CN"/>
        </w:rPr>
        <w:t>-N</w:t>
      </w:r>
      <w:r>
        <w:rPr>
          <w:rFonts w:hint="eastAsia" w:ascii="Times New Roman" w:hAnsi="Times New Roman" w:cs="Times New Roman"/>
          <w:color w:val="auto"/>
          <w:sz w:val="24"/>
          <w:szCs w:val="24"/>
          <w:highlight w:val="none"/>
          <w:vertAlign w:val="baseline"/>
          <w:lang w:val="en-US" w:eastAsia="zh-CN"/>
        </w:rPr>
        <w:t>排放量为0.</w:t>
      </w:r>
      <w:r>
        <w:rPr>
          <w:rFonts w:hint="eastAsia" w:cs="Times New Roman"/>
          <w:color w:val="auto"/>
          <w:sz w:val="24"/>
          <w:szCs w:val="24"/>
          <w:highlight w:val="none"/>
          <w:vertAlign w:val="baseline"/>
          <w:lang w:val="en-US" w:eastAsia="zh-CN"/>
        </w:rPr>
        <w:t>306</w:t>
      </w:r>
      <w:r>
        <w:rPr>
          <w:rFonts w:hint="eastAsia" w:ascii="Times New Roman" w:hAnsi="Times New Roman" w:cs="Times New Roman"/>
          <w:color w:val="auto"/>
          <w:sz w:val="24"/>
          <w:szCs w:val="24"/>
          <w:highlight w:val="none"/>
          <w:vertAlign w:val="baseline"/>
          <w:lang w:val="en-US" w:eastAsia="zh-CN"/>
        </w:rPr>
        <w:t>t/a；</w:t>
      </w:r>
      <w:r>
        <w:rPr>
          <w:rFonts w:hint="default" w:ascii="Times New Roman" w:hAnsi="Times New Roman" w:cs="Times New Roman"/>
          <w:color w:val="auto"/>
          <w:sz w:val="24"/>
          <w:szCs w:val="24"/>
          <w:highlight w:val="none"/>
          <w:lang w:val="en-US" w:eastAsia="zh-CN"/>
        </w:rPr>
        <w:t>污水处理厂执行《城镇污水处理厂污染物排放标准》（GB18918-2002）中的一级A标准,</w:t>
      </w:r>
      <w:r>
        <w:rPr>
          <w:rFonts w:hint="eastAsia" w:ascii="Times New Roman" w:hAnsi="Times New Roman" w:cs="Times New Roman"/>
          <w:color w:val="auto"/>
          <w:sz w:val="24"/>
          <w:szCs w:val="24"/>
          <w:highlight w:val="none"/>
          <w:lang w:val="en-US" w:eastAsia="zh-CN"/>
        </w:rPr>
        <w:t>则污水处理厂</w:t>
      </w:r>
      <w:r>
        <w:rPr>
          <w:rFonts w:hint="eastAsia" w:ascii="Times New Roman" w:hAnsi="Times New Roman" w:cs="Times New Roman"/>
          <w:color w:val="auto"/>
          <w:sz w:val="24"/>
          <w:szCs w:val="24"/>
          <w:highlight w:val="none"/>
          <w:vertAlign w:val="baseline"/>
          <w:lang w:val="en-US" w:eastAsia="zh-CN"/>
        </w:rPr>
        <w:t>排口COD排放量为</w:t>
      </w:r>
      <w:r>
        <w:rPr>
          <w:rFonts w:hint="eastAsia" w:cs="Times New Roman"/>
          <w:color w:val="auto"/>
          <w:sz w:val="24"/>
          <w:szCs w:val="24"/>
          <w:highlight w:val="none"/>
          <w:vertAlign w:val="baseline"/>
          <w:lang w:val="en-US" w:eastAsia="zh-CN"/>
        </w:rPr>
        <w:t>0.56</w:t>
      </w:r>
      <w:r>
        <w:rPr>
          <w:rFonts w:hint="eastAsia" w:ascii="Times New Roman" w:hAnsi="Times New Roman" w:cs="Times New Roman"/>
          <w:color w:val="auto"/>
          <w:sz w:val="24"/>
          <w:szCs w:val="24"/>
          <w:highlight w:val="none"/>
          <w:vertAlign w:val="baseline"/>
          <w:lang w:val="en-US" w:eastAsia="zh-CN"/>
        </w:rPr>
        <w:t>t/a，</w:t>
      </w:r>
      <w:r>
        <w:rPr>
          <w:rFonts w:hint="eastAsia" w:ascii="Times New Roman" w:hAnsi="Times New Roman" w:cs="Times New Roman"/>
          <w:color w:val="auto"/>
          <w:sz w:val="24"/>
          <w:szCs w:val="24"/>
          <w:highlight w:val="none"/>
          <w:lang w:val="en-US" w:eastAsia="zh-CN"/>
        </w:rPr>
        <w:t>NH</w:t>
      </w:r>
      <w:r>
        <w:rPr>
          <w:rFonts w:hint="eastAsia" w:ascii="Times New Roman" w:hAnsi="Times New Roman" w:cs="Times New Roman"/>
          <w:color w:val="auto"/>
          <w:sz w:val="24"/>
          <w:szCs w:val="24"/>
          <w:highlight w:val="none"/>
          <w:vertAlign w:val="subscript"/>
          <w:lang w:val="en-US" w:eastAsia="zh-CN"/>
        </w:rPr>
        <w:t>3</w:t>
      </w:r>
      <w:r>
        <w:rPr>
          <w:rFonts w:hint="eastAsia" w:ascii="Times New Roman" w:hAnsi="Times New Roman" w:cs="Times New Roman"/>
          <w:color w:val="auto"/>
          <w:sz w:val="24"/>
          <w:szCs w:val="24"/>
          <w:highlight w:val="none"/>
          <w:lang w:val="en-US" w:eastAsia="zh-CN"/>
        </w:rPr>
        <w:t>-N</w:t>
      </w:r>
      <w:r>
        <w:rPr>
          <w:rFonts w:hint="eastAsia" w:ascii="Times New Roman" w:hAnsi="Times New Roman" w:cs="Times New Roman"/>
          <w:color w:val="auto"/>
          <w:sz w:val="24"/>
          <w:szCs w:val="24"/>
          <w:highlight w:val="none"/>
          <w:vertAlign w:val="baseline"/>
          <w:lang w:val="en-US" w:eastAsia="zh-CN"/>
        </w:rPr>
        <w:t>排放量为</w:t>
      </w:r>
      <w:r>
        <w:rPr>
          <w:rFonts w:hint="eastAsia" w:cs="Times New Roman"/>
          <w:color w:val="auto"/>
          <w:sz w:val="24"/>
          <w:szCs w:val="24"/>
          <w:highlight w:val="none"/>
          <w:vertAlign w:val="baseline"/>
          <w:lang w:val="en-US" w:eastAsia="zh-CN"/>
        </w:rPr>
        <w:t>0.06</w:t>
      </w:r>
      <w:r>
        <w:rPr>
          <w:rFonts w:hint="eastAsia" w:ascii="Times New Roman" w:hAnsi="Times New Roman" w:cs="Times New Roman"/>
          <w:color w:val="auto"/>
          <w:sz w:val="24"/>
          <w:szCs w:val="24"/>
          <w:highlight w:val="none"/>
          <w:vertAlign w:val="baseline"/>
          <w:lang w:val="en-US" w:eastAsia="zh-CN"/>
        </w:rPr>
        <w:t>t/a。</w:t>
      </w:r>
    </w:p>
    <w:p w14:paraId="3051455A">
      <w:pPr>
        <w:pStyle w:val="2"/>
        <w:keepNext w:val="0"/>
        <w:keepLines w:val="0"/>
        <w:pageBreakBefore w:val="0"/>
        <w:widowControl w:val="0"/>
        <w:kinsoku/>
        <w:wordWrap/>
        <w:overflowPunct/>
        <w:topLinePunct w:val="0"/>
        <w:autoSpaceDE/>
        <w:autoSpaceDN/>
        <w:bidi w:val="0"/>
        <w:adjustRightInd w:val="0"/>
        <w:snapToGrid w:val="0"/>
        <w:spacing w:after="0" w:afterLines="0" w:line="360" w:lineRule="auto"/>
        <w:ind w:left="0" w:leftChars="0" w:firstLine="480" w:firstLineChars="200"/>
        <w:textAlignment w:val="auto"/>
        <w:outlineLvl w:val="9"/>
        <w:rPr>
          <w:rFonts w:hint="eastAsia"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本项目污水排入本溪市污水处理厂，废水污染物总量计入本溪市污水处理厂总量，</w:t>
      </w:r>
      <w:r>
        <w:rPr>
          <w:rFonts w:hint="eastAsia" w:ascii="Times New Roman" w:hAnsi="Times New Roman" w:cs="Times New Roman"/>
          <w:color w:val="auto"/>
          <w:sz w:val="24"/>
          <w:szCs w:val="24"/>
          <w:highlight w:val="none"/>
          <w:lang w:val="en-US" w:eastAsia="zh-CN"/>
        </w:rPr>
        <w:t>无需新申请总量，</w:t>
      </w:r>
      <w:r>
        <w:rPr>
          <w:rFonts w:hint="eastAsia" w:cs="Times New Roman"/>
          <w:color w:val="auto"/>
          <w:sz w:val="24"/>
          <w:szCs w:val="24"/>
          <w:highlight w:val="none"/>
          <w:lang w:val="en-US" w:eastAsia="zh-CN"/>
        </w:rPr>
        <w:t>故本项目总量控制指标为COD：0</w:t>
      </w:r>
      <w:r>
        <w:rPr>
          <w:rFonts w:hint="default" w:ascii="Times New Roman" w:hAnsi="Times New Roman" w:cs="Times New Roman"/>
          <w:color w:val="auto"/>
          <w:sz w:val="24"/>
          <w:szCs w:val="24"/>
          <w:highlight w:val="none"/>
        </w:rPr>
        <w:t>t/a</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NH</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-N</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t/a</w:t>
      </w:r>
      <w:r>
        <w:rPr>
          <w:rFonts w:hint="eastAsia" w:cs="Times New Roman"/>
          <w:color w:val="auto"/>
          <w:sz w:val="24"/>
          <w:szCs w:val="24"/>
          <w:highlight w:val="none"/>
          <w:lang w:eastAsia="zh-CN"/>
        </w:rPr>
        <w:t>。</w:t>
      </w:r>
    </w:p>
    <w:p w14:paraId="3B489EC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color w:val="auto"/>
          <w:sz w:val="28"/>
          <w:szCs w:val="28"/>
          <w:highlight w:val="none"/>
        </w:rPr>
      </w:pPr>
      <w:r>
        <w:rPr>
          <w:rFonts w:hint="eastAsia" w:cs="Times New Roman"/>
          <w:b/>
          <w:bCs/>
          <w:color w:val="auto"/>
          <w:sz w:val="28"/>
          <w:szCs w:val="28"/>
          <w:highlight w:val="none"/>
          <w:lang w:val="en-US" w:eastAsia="zh-CN"/>
        </w:rPr>
        <w:t>7</w:t>
      </w:r>
      <w:r>
        <w:rPr>
          <w:rFonts w:hint="default" w:ascii="Times New Roman" w:hAnsi="Times New Roman" w:cs="Times New Roman"/>
          <w:b/>
          <w:bCs/>
          <w:color w:val="auto"/>
          <w:sz w:val="28"/>
          <w:szCs w:val="28"/>
          <w:highlight w:val="none"/>
        </w:rPr>
        <w:t>环保投资</w:t>
      </w:r>
    </w:p>
    <w:p w14:paraId="422E67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该项目总投资</w:t>
      </w:r>
      <w:r>
        <w:rPr>
          <w:rFonts w:hint="eastAsia" w:cs="Times New Roman"/>
          <w:color w:val="auto"/>
          <w:sz w:val="24"/>
          <w:szCs w:val="24"/>
          <w:highlight w:val="none"/>
          <w:lang w:val="en-US" w:eastAsia="zh-CN"/>
        </w:rPr>
        <w:t>2000</w:t>
      </w:r>
      <w:r>
        <w:rPr>
          <w:rFonts w:hint="default" w:ascii="Times New Roman" w:hAnsi="Times New Roman" w:cs="Times New Roman"/>
          <w:color w:val="auto"/>
          <w:sz w:val="24"/>
          <w:szCs w:val="24"/>
          <w:highlight w:val="none"/>
        </w:rPr>
        <w:t>万元，其中环保投资</w:t>
      </w:r>
      <w:r>
        <w:rPr>
          <w:rFonts w:hint="eastAsia" w:cs="Times New Roman"/>
          <w:color w:val="auto"/>
          <w:sz w:val="24"/>
          <w:szCs w:val="24"/>
          <w:highlight w:val="none"/>
          <w:lang w:val="en-US" w:eastAsia="zh-CN"/>
        </w:rPr>
        <w:t>11.1</w:t>
      </w:r>
      <w:r>
        <w:rPr>
          <w:rFonts w:hint="default" w:ascii="Times New Roman" w:hAnsi="Times New Roman" w:cs="Times New Roman"/>
          <w:color w:val="auto"/>
          <w:sz w:val="24"/>
          <w:szCs w:val="24"/>
          <w:highlight w:val="none"/>
        </w:rPr>
        <w:t>万元，占总投资的</w:t>
      </w:r>
      <w:r>
        <w:rPr>
          <w:rFonts w:hint="eastAsia" w:cs="Times New Roman"/>
          <w:color w:val="auto"/>
          <w:sz w:val="24"/>
          <w:szCs w:val="24"/>
          <w:highlight w:val="none"/>
          <w:lang w:val="en-US" w:eastAsia="zh-CN"/>
        </w:rPr>
        <w:t>0.56%</w:t>
      </w:r>
      <w:r>
        <w:rPr>
          <w:rFonts w:hint="default" w:ascii="Times New Roman" w:hAnsi="Times New Roman" w:cs="Times New Roman"/>
          <w:color w:val="auto"/>
          <w:sz w:val="24"/>
          <w:szCs w:val="24"/>
          <w:highlight w:val="none"/>
        </w:rPr>
        <w:t>。</w:t>
      </w:r>
    </w:p>
    <w:p w14:paraId="78EFB57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color w:val="auto"/>
          <w:sz w:val="28"/>
          <w:szCs w:val="28"/>
          <w:highlight w:val="none"/>
        </w:rPr>
      </w:pPr>
      <w:r>
        <w:rPr>
          <w:rFonts w:hint="eastAsia" w:cs="Times New Roman"/>
          <w:b/>
          <w:bCs/>
          <w:color w:val="auto"/>
          <w:sz w:val="28"/>
          <w:szCs w:val="28"/>
          <w:highlight w:val="none"/>
          <w:lang w:val="en-US" w:eastAsia="zh-CN"/>
        </w:rPr>
        <w:t>8</w:t>
      </w:r>
      <w:r>
        <w:rPr>
          <w:rFonts w:hint="default" w:ascii="Times New Roman" w:hAnsi="Times New Roman" w:cs="Times New Roman"/>
          <w:b/>
          <w:bCs/>
          <w:color w:val="auto"/>
          <w:sz w:val="28"/>
          <w:szCs w:val="28"/>
          <w:highlight w:val="none"/>
        </w:rPr>
        <w:t>总结论</w:t>
      </w:r>
    </w:p>
    <w:p w14:paraId="6571239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该项目在认真落实“三同时”的前提下，运营过程中只要认真贯彻执行国家的环保法律、法规，切实落实本次环评提出的各项环保措施，对污染源采取各项治理措施后</w:t>
      </w:r>
      <w:r>
        <w:rPr>
          <w:rFonts w:hint="eastAsia" w:cs="Times New Roman"/>
          <w:color w:val="auto"/>
          <w:sz w:val="24"/>
          <w:szCs w:val="24"/>
          <w:highlight w:val="none"/>
          <w:lang w:eastAsia="zh-CN"/>
        </w:rPr>
        <w:t>废气、</w:t>
      </w:r>
      <w:r>
        <w:rPr>
          <w:rFonts w:hint="default" w:ascii="Times New Roman" w:hAnsi="Times New Roman" w:cs="Times New Roman"/>
          <w:color w:val="auto"/>
          <w:sz w:val="24"/>
          <w:szCs w:val="24"/>
          <w:highlight w:val="none"/>
        </w:rPr>
        <w:t>废水、噪声可达标排放，固体废物合理处置，对周围环境影响较小。从环保角度出发，该项目的建设是可行的。</w:t>
      </w:r>
    </w:p>
    <w:p w14:paraId="42CB8AD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color w:val="auto"/>
          <w:sz w:val="28"/>
          <w:szCs w:val="28"/>
          <w:highlight w:val="none"/>
        </w:rPr>
      </w:pPr>
      <w:r>
        <w:rPr>
          <w:rFonts w:hint="eastAsia" w:cs="Times New Roman"/>
          <w:b/>
          <w:bCs/>
          <w:color w:val="auto"/>
          <w:sz w:val="28"/>
          <w:szCs w:val="28"/>
          <w:highlight w:val="none"/>
          <w:lang w:val="en-US" w:eastAsia="zh-CN"/>
        </w:rPr>
        <w:t>9</w:t>
      </w:r>
      <w:r>
        <w:rPr>
          <w:rFonts w:hint="default" w:ascii="Times New Roman" w:hAnsi="Times New Roman" w:cs="Times New Roman"/>
          <w:b/>
          <w:bCs/>
          <w:color w:val="auto"/>
          <w:sz w:val="28"/>
          <w:szCs w:val="28"/>
          <w:highlight w:val="none"/>
        </w:rPr>
        <w:t>建议</w:t>
      </w:r>
    </w:p>
    <w:p w14:paraId="6DC12CCE">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1、必须确保项目各类</w:t>
      </w:r>
      <w:r>
        <w:rPr>
          <w:rFonts w:hint="eastAsia" w:cs="Times New Roman"/>
          <w:color w:val="auto"/>
          <w:sz w:val="24"/>
          <w:szCs w:val="24"/>
          <w:highlight w:val="none"/>
          <w:lang w:eastAsia="zh-CN"/>
        </w:rPr>
        <w:t>医疗</w:t>
      </w:r>
      <w:r>
        <w:rPr>
          <w:rFonts w:hint="default" w:ascii="Times New Roman" w:hAnsi="Times New Roman" w:cs="Times New Roman"/>
          <w:color w:val="auto"/>
          <w:sz w:val="24"/>
          <w:szCs w:val="24"/>
          <w:highlight w:val="none"/>
        </w:rPr>
        <w:t>废物实现无害化处置。</w:t>
      </w:r>
    </w:p>
    <w:p w14:paraId="59ABBDE2">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2、尊重附近群众意见，协调处理好与附近群众的关系。</w:t>
      </w:r>
    </w:p>
    <w:p w14:paraId="3F7E67E3">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3、项目在建设过程中应确保足够的环保资金，以实施污染物治理措施，做好建设项目的“三同时”工作，在确保污染物处理设施和处理效果达到相应环保要求后，方可投产。</w:t>
      </w:r>
    </w:p>
    <w:p w14:paraId="5C523C16">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认真贯彻执行国家和地方的各项环保法规和方针政策，建立一套完善的“环境管理手册”，落实环境管理规章制度，强化管理，确定专门的环境管理人员，落实专人负责环保处理设施的运行和维护，接受当地环保部门的监督和管理。在当地环保部门的指导下，定期对污染物进行监测，并建立污染物管理档案。</w:t>
      </w:r>
    </w:p>
    <w:p w14:paraId="0E22F4F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color w:val="auto"/>
          <w:sz w:val="24"/>
          <w:szCs w:val="24"/>
          <w:highlight w:val="none"/>
        </w:rPr>
        <w:t>5、建立健全安全环境管理体系，加强“三废”排放监测和管理。</w:t>
      </w:r>
    </w:p>
    <w:p w14:paraId="43BFDAE7">
      <w:pPr>
        <w:spacing w:line="360" w:lineRule="auto"/>
        <w:jc w:val="center"/>
        <w:rPr>
          <w:rFonts w:hint="default" w:ascii="Times New Roman" w:hAnsi="Times New Roman" w:cs="Times New Roman"/>
          <w:b/>
          <w:bCs/>
          <w:color w:val="auto"/>
          <w:highlight w:val="none"/>
        </w:rPr>
      </w:pPr>
      <w:r>
        <w:rPr>
          <w:rFonts w:hint="default" w:ascii="Times New Roman" w:hAnsi="Times New Roman" w:cs="Times New Roman"/>
          <w:b/>
          <w:bCs/>
          <w:color w:val="auto"/>
          <w:sz w:val="28"/>
          <w:szCs w:val="28"/>
          <w:highlight w:val="none"/>
        </w:rPr>
        <w:br w:type="page"/>
      </w:r>
      <w:r>
        <w:rPr>
          <w:rFonts w:hint="default" w:ascii="Times New Roman" w:hAnsi="Times New Roman" w:cs="Times New Roman"/>
          <w:b/>
          <w:bCs/>
          <w:color w:val="auto"/>
          <w:sz w:val="28"/>
          <w:szCs w:val="28"/>
          <w:highlight w:val="none"/>
        </w:rPr>
        <w:t>注释</w:t>
      </w:r>
    </w:p>
    <w:p w14:paraId="299BEF8C">
      <w:pPr>
        <w:keepNext w:val="0"/>
        <w:keepLines w:val="0"/>
        <w:pageBreakBefore w:val="0"/>
        <w:widowControl w:val="0"/>
        <w:kinsoku/>
        <w:wordWrap/>
        <w:overflowPunct/>
        <w:topLinePunct w:val="0"/>
        <w:autoSpaceDE/>
        <w:autoSpaceDN/>
        <w:bidi w:val="0"/>
        <w:adjustRightInd w:val="0"/>
        <w:snapToGrid w:val="0"/>
        <w:spacing w:line="312" w:lineRule="auto"/>
        <w:ind w:left="0" w:leftChars="0" w:right="0" w:rightChars="0" w:firstLine="0" w:firstLineChars="0"/>
        <w:jc w:val="both"/>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一、本报告表应附以下附件、附图：</w:t>
      </w:r>
    </w:p>
    <w:p w14:paraId="532516FA">
      <w:pPr>
        <w:keepNext w:val="0"/>
        <w:keepLines w:val="0"/>
        <w:pageBreakBefore w:val="0"/>
        <w:widowControl w:val="0"/>
        <w:kinsoku/>
        <w:wordWrap/>
        <w:overflowPunct/>
        <w:topLinePunct w:val="0"/>
        <w:autoSpaceDE/>
        <w:autoSpaceDN/>
        <w:bidi w:val="0"/>
        <w:adjustRightInd w:val="0"/>
        <w:snapToGrid w:val="0"/>
        <w:spacing w:line="312" w:lineRule="auto"/>
        <w:ind w:left="0" w:leftChars="0" w:right="0" w:rightChars="0" w:firstLine="0" w:firstLineChars="0"/>
        <w:jc w:val="both"/>
        <w:textAlignment w:val="auto"/>
        <w:outlineLvl w:val="9"/>
        <w:rPr>
          <w:rFonts w:hint="eastAsia"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附件</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val="en-US" w:eastAsia="zh-CN"/>
        </w:rPr>
        <w:t xml:space="preserve">   </w:t>
      </w:r>
      <w:r>
        <w:rPr>
          <w:rFonts w:hint="eastAsia" w:cs="Times New Roman"/>
          <w:color w:val="auto"/>
          <w:sz w:val="24"/>
          <w:szCs w:val="24"/>
          <w:highlight w:val="none"/>
          <w:lang w:val="en-US" w:eastAsia="zh-CN"/>
        </w:rPr>
        <w:t>监测报告</w:t>
      </w:r>
    </w:p>
    <w:p w14:paraId="37761953">
      <w:pPr>
        <w:keepNext w:val="0"/>
        <w:keepLines w:val="0"/>
        <w:pageBreakBefore w:val="0"/>
        <w:widowControl w:val="0"/>
        <w:kinsoku/>
        <w:wordWrap/>
        <w:overflowPunct/>
        <w:topLinePunct w:val="0"/>
        <w:autoSpaceDE/>
        <w:autoSpaceDN/>
        <w:bidi w:val="0"/>
        <w:adjustRightInd w:val="0"/>
        <w:snapToGrid w:val="0"/>
        <w:spacing w:line="312" w:lineRule="auto"/>
        <w:ind w:left="0" w:leftChars="0" w:right="0" w:rightChars="0" w:firstLine="0" w:firstLineChars="0"/>
        <w:jc w:val="both"/>
        <w:textAlignment w:val="auto"/>
        <w:outlineLvl w:val="9"/>
        <w:rPr>
          <w:rFonts w:hint="eastAsia" w:cs="Times New Roman"/>
          <w:color w:val="auto"/>
          <w:sz w:val="24"/>
          <w:szCs w:val="24"/>
          <w:highlight w:val="none"/>
          <w:lang w:eastAsia="zh-CN"/>
        </w:rPr>
      </w:pPr>
      <w:r>
        <w:rPr>
          <w:rFonts w:hint="default" w:ascii="Times New Roman" w:hAnsi="Times New Roman" w:cs="Times New Roman"/>
          <w:color w:val="auto"/>
          <w:sz w:val="24"/>
          <w:szCs w:val="24"/>
          <w:highlight w:val="none"/>
        </w:rPr>
        <w:t>附件</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 xml:space="preserve">   </w:t>
      </w:r>
      <w:r>
        <w:rPr>
          <w:rFonts w:hint="eastAsia" w:cs="Times New Roman"/>
          <w:color w:val="auto"/>
          <w:sz w:val="24"/>
          <w:szCs w:val="24"/>
          <w:highlight w:val="none"/>
          <w:lang w:eastAsia="zh-CN"/>
        </w:rPr>
        <w:t>不动产权证</w:t>
      </w:r>
    </w:p>
    <w:p w14:paraId="2DC277CD">
      <w:pPr>
        <w:pStyle w:val="2"/>
        <w:keepNext w:val="0"/>
        <w:keepLines w:val="0"/>
        <w:pageBreakBefore w:val="0"/>
        <w:widowControl w:val="0"/>
        <w:kinsoku/>
        <w:wordWrap/>
        <w:overflowPunct/>
        <w:topLinePunct w:val="0"/>
        <w:autoSpaceDE/>
        <w:autoSpaceDN/>
        <w:bidi w:val="0"/>
        <w:adjustRightInd w:val="0"/>
        <w:snapToGrid w:val="0"/>
        <w:spacing w:after="0" w:afterLines="0" w:line="312" w:lineRule="auto"/>
        <w:ind w:left="0" w:leftChars="0" w:firstLine="0" w:firstLineChars="0"/>
        <w:textAlignment w:val="auto"/>
        <w:outlineLvl w:val="9"/>
        <w:rPr>
          <w:rFonts w:hint="eastAsia"/>
          <w:highlight w:val="none"/>
          <w:lang w:val="en-US" w:eastAsia="zh-CN"/>
        </w:rPr>
      </w:pPr>
      <w:r>
        <w:rPr>
          <w:rFonts w:hint="eastAsia" w:cs="Times New Roman"/>
          <w:color w:val="auto"/>
          <w:sz w:val="24"/>
          <w:szCs w:val="24"/>
          <w:highlight w:val="none"/>
          <w:lang w:eastAsia="zh-CN"/>
        </w:rPr>
        <w:t>附件</w:t>
      </w:r>
      <w:r>
        <w:rPr>
          <w:rFonts w:hint="eastAsia" w:cs="Times New Roman"/>
          <w:color w:val="auto"/>
          <w:sz w:val="24"/>
          <w:szCs w:val="24"/>
          <w:highlight w:val="none"/>
          <w:lang w:val="en-US" w:eastAsia="zh-CN"/>
        </w:rPr>
        <w:t>3   营业执照</w:t>
      </w:r>
    </w:p>
    <w:p w14:paraId="6E5DC085">
      <w:pPr>
        <w:keepNext w:val="0"/>
        <w:keepLines w:val="0"/>
        <w:pageBreakBefore w:val="0"/>
        <w:widowControl w:val="0"/>
        <w:kinsoku/>
        <w:wordWrap/>
        <w:overflowPunct/>
        <w:topLinePunct w:val="0"/>
        <w:autoSpaceDE/>
        <w:autoSpaceDN/>
        <w:bidi w:val="0"/>
        <w:adjustRightInd w:val="0"/>
        <w:snapToGrid w:val="0"/>
        <w:spacing w:line="312" w:lineRule="auto"/>
        <w:ind w:left="0" w:leftChars="0" w:right="0" w:rightChars="0" w:firstLine="0" w:firstLineChars="0"/>
        <w:jc w:val="both"/>
        <w:textAlignment w:val="auto"/>
        <w:outlineLvl w:val="9"/>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附件</w:t>
      </w:r>
      <w:r>
        <w:rPr>
          <w:rFonts w:hint="eastAsia" w:cs="Times New Roman"/>
          <w:color w:val="auto"/>
          <w:sz w:val="24"/>
          <w:szCs w:val="24"/>
          <w:highlight w:val="none"/>
          <w:lang w:val="en-US" w:eastAsia="zh-CN"/>
        </w:rPr>
        <w:t>4</w:t>
      </w:r>
      <w:r>
        <w:rPr>
          <w:rFonts w:hint="eastAsia" w:ascii="Times New Roman" w:hAnsi="Times New Roman" w:cs="Times New Roman"/>
          <w:color w:val="auto"/>
          <w:sz w:val="24"/>
          <w:szCs w:val="24"/>
          <w:highlight w:val="none"/>
          <w:lang w:val="en-US" w:eastAsia="zh-CN"/>
        </w:rPr>
        <w:t xml:space="preserve">  </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en-US" w:eastAsia="zh-CN"/>
        </w:rPr>
        <w:t>建设项目大气环境</w:t>
      </w:r>
      <w:r>
        <w:rPr>
          <w:rFonts w:hint="eastAsia" w:ascii="Times New Roman" w:hAnsi="Times New Roman" w:cs="Times New Roman"/>
          <w:color w:val="auto"/>
          <w:sz w:val="24"/>
          <w:szCs w:val="24"/>
          <w:highlight w:val="none"/>
          <w:lang w:val="en-US" w:eastAsia="zh-CN"/>
        </w:rPr>
        <w:t>影响评价</w:t>
      </w:r>
      <w:r>
        <w:rPr>
          <w:rFonts w:hint="default" w:ascii="Times New Roman" w:hAnsi="Times New Roman" w:cs="Times New Roman"/>
          <w:color w:val="auto"/>
          <w:sz w:val="24"/>
          <w:szCs w:val="24"/>
          <w:highlight w:val="none"/>
          <w:lang w:val="en-US" w:eastAsia="zh-CN"/>
        </w:rPr>
        <w:t>自查表</w:t>
      </w:r>
    </w:p>
    <w:p w14:paraId="6DA9E615">
      <w:pPr>
        <w:keepNext w:val="0"/>
        <w:keepLines w:val="0"/>
        <w:pageBreakBefore w:val="0"/>
        <w:widowControl w:val="0"/>
        <w:kinsoku/>
        <w:wordWrap/>
        <w:overflowPunct/>
        <w:topLinePunct w:val="0"/>
        <w:autoSpaceDE/>
        <w:autoSpaceDN/>
        <w:bidi w:val="0"/>
        <w:adjustRightInd w:val="0"/>
        <w:snapToGrid w:val="0"/>
        <w:spacing w:line="312" w:lineRule="auto"/>
        <w:ind w:left="0" w:leftChars="0" w:right="0" w:rightChars="0" w:firstLine="0" w:firstLineChars="0"/>
        <w:jc w:val="both"/>
        <w:textAlignment w:val="auto"/>
        <w:outlineLvl w:val="9"/>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附件</w:t>
      </w:r>
      <w:r>
        <w:rPr>
          <w:rFonts w:hint="eastAsia" w:cs="Times New Roman"/>
          <w:color w:val="auto"/>
          <w:sz w:val="24"/>
          <w:szCs w:val="24"/>
          <w:highlight w:val="none"/>
          <w:lang w:val="en-US" w:eastAsia="zh-CN"/>
        </w:rPr>
        <w:t>5</w:t>
      </w:r>
      <w:r>
        <w:rPr>
          <w:rFonts w:hint="eastAsia" w:ascii="Times New Roman" w:hAnsi="Times New Roman" w:cs="Times New Roman"/>
          <w:color w:val="auto"/>
          <w:sz w:val="24"/>
          <w:szCs w:val="24"/>
          <w:highlight w:val="none"/>
          <w:lang w:val="en-US" w:eastAsia="zh-CN"/>
        </w:rPr>
        <w:t xml:space="preserve">  </w:t>
      </w:r>
      <w:r>
        <w:rPr>
          <w:rFonts w:hint="eastAsia" w:cs="Times New Roman"/>
          <w:color w:val="auto"/>
          <w:sz w:val="24"/>
          <w:szCs w:val="24"/>
          <w:highlight w:val="none"/>
          <w:lang w:val="en-US" w:eastAsia="zh-CN"/>
        </w:rPr>
        <w:t xml:space="preserve"> </w:t>
      </w:r>
      <w:r>
        <w:rPr>
          <w:rFonts w:hint="eastAsia" w:ascii="Times New Roman" w:hAnsi="Times New Roman" w:cs="Times New Roman"/>
          <w:color w:val="auto"/>
          <w:sz w:val="24"/>
          <w:szCs w:val="24"/>
          <w:highlight w:val="none"/>
          <w:lang w:val="en-US" w:eastAsia="zh-CN"/>
        </w:rPr>
        <w:t>环境风险评价</w:t>
      </w:r>
      <w:r>
        <w:rPr>
          <w:rFonts w:hint="default" w:ascii="Times New Roman" w:hAnsi="Times New Roman" w:cs="Times New Roman"/>
          <w:color w:val="auto"/>
          <w:sz w:val="24"/>
          <w:szCs w:val="24"/>
          <w:highlight w:val="none"/>
          <w:lang w:val="en-US" w:eastAsia="zh-CN"/>
        </w:rPr>
        <w:t>自查表</w:t>
      </w:r>
    </w:p>
    <w:p w14:paraId="11E5B9ED">
      <w:pPr>
        <w:keepNext w:val="0"/>
        <w:keepLines w:val="0"/>
        <w:pageBreakBefore w:val="0"/>
        <w:widowControl w:val="0"/>
        <w:kinsoku/>
        <w:wordWrap/>
        <w:overflowPunct/>
        <w:topLinePunct w:val="0"/>
        <w:autoSpaceDE/>
        <w:autoSpaceDN/>
        <w:bidi w:val="0"/>
        <w:adjustRightInd w:val="0"/>
        <w:snapToGrid w:val="0"/>
        <w:spacing w:line="312" w:lineRule="auto"/>
        <w:ind w:left="0" w:leftChars="0" w:right="0" w:rightChars="0" w:firstLine="0" w:firstLineChars="0"/>
        <w:jc w:val="both"/>
        <w:textAlignment w:val="auto"/>
        <w:outlineLvl w:val="9"/>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附件</w:t>
      </w:r>
      <w:r>
        <w:rPr>
          <w:rFonts w:hint="eastAsia" w:cs="Times New Roman"/>
          <w:color w:val="auto"/>
          <w:sz w:val="24"/>
          <w:szCs w:val="24"/>
          <w:highlight w:val="none"/>
          <w:lang w:val="en-US" w:eastAsia="zh-CN"/>
        </w:rPr>
        <w:t xml:space="preserve">6   </w:t>
      </w:r>
      <w:r>
        <w:rPr>
          <w:rFonts w:hint="eastAsia" w:ascii="Times New Roman" w:hAnsi="Times New Roman" w:cs="Times New Roman"/>
          <w:color w:val="auto"/>
          <w:sz w:val="24"/>
          <w:szCs w:val="24"/>
          <w:highlight w:val="none"/>
          <w:lang w:val="en-US" w:eastAsia="zh-CN"/>
        </w:rPr>
        <w:t>地表水环境影响评价自查表</w:t>
      </w:r>
    </w:p>
    <w:p w14:paraId="7B10F0A2">
      <w:pPr>
        <w:keepNext w:val="0"/>
        <w:keepLines w:val="0"/>
        <w:pageBreakBefore w:val="0"/>
        <w:widowControl w:val="0"/>
        <w:kinsoku/>
        <w:wordWrap/>
        <w:overflowPunct/>
        <w:topLinePunct w:val="0"/>
        <w:autoSpaceDE/>
        <w:autoSpaceDN/>
        <w:bidi w:val="0"/>
        <w:adjustRightInd w:val="0"/>
        <w:snapToGrid w:val="0"/>
        <w:spacing w:line="312" w:lineRule="auto"/>
        <w:ind w:left="0" w:leftChars="0" w:right="0" w:rightChars="0" w:firstLine="0" w:firstLineChars="0"/>
        <w:jc w:val="both"/>
        <w:textAlignment w:val="auto"/>
        <w:outlineLvl w:val="9"/>
        <w:rPr>
          <w:rFonts w:hint="eastAsia" w:cs="Times New Roman"/>
          <w:color w:val="auto"/>
          <w:sz w:val="24"/>
          <w:szCs w:val="24"/>
          <w:highlight w:val="none"/>
          <w:lang w:val="en-US" w:eastAsia="zh-CN"/>
        </w:rPr>
      </w:pPr>
      <w:r>
        <w:rPr>
          <w:rFonts w:hint="eastAsia" w:cs="Times New Roman"/>
          <w:color w:val="auto"/>
          <w:sz w:val="24"/>
          <w:szCs w:val="24"/>
          <w:highlight w:val="none"/>
          <w:lang w:eastAsia="zh-CN"/>
        </w:rPr>
        <w:t>附图</w:t>
      </w:r>
      <w:r>
        <w:rPr>
          <w:rFonts w:hint="eastAsia" w:cs="Times New Roman"/>
          <w:color w:val="auto"/>
          <w:sz w:val="24"/>
          <w:szCs w:val="24"/>
          <w:highlight w:val="none"/>
          <w:lang w:val="en-US" w:eastAsia="zh-CN"/>
        </w:rPr>
        <w:t>1   地理位置图</w:t>
      </w:r>
    </w:p>
    <w:p w14:paraId="389590A7">
      <w:pPr>
        <w:pStyle w:val="31"/>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附图2   平面布置图</w:t>
      </w:r>
    </w:p>
    <w:p w14:paraId="3745B029">
      <w:pPr>
        <w:keepNext w:val="0"/>
        <w:keepLines w:val="0"/>
        <w:pageBreakBefore w:val="0"/>
        <w:widowControl w:val="0"/>
        <w:kinsoku/>
        <w:wordWrap/>
        <w:overflowPunct/>
        <w:topLinePunct w:val="0"/>
        <w:autoSpaceDE/>
        <w:autoSpaceDN/>
        <w:bidi w:val="0"/>
        <w:adjustRightInd w:val="0"/>
        <w:snapToGrid w:val="0"/>
        <w:spacing w:line="312" w:lineRule="auto"/>
        <w:ind w:left="0" w:leftChars="0" w:right="0" w:rightChars="0" w:firstLine="0" w:firstLineChars="0"/>
        <w:jc w:val="both"/>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附图</w:t>
      </w:r>
      <w:r>
        <w:rPr>
          <w:rFonts w:hint="eastAsia" w:cs="Times New Roman"/>
          <w:color w:val="auto"/>
          <w:sz w:val="24"/>
          <w:szCs w:val="24"/>
          <w:highlight w:val="none"/>
          <w:lang w:val="en-US" w:eastAsia="zh-CN"/>
        </w:rPr>
        <w:t>3</w:t>
      </w:r>
      <w:r>
        <w:rPr>
          <w:rFonts w:hint="eastAsia"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 xml:space="preserve">5 </w:t>
      </w:r>
      <w:r>
        <w:rPr>
          <w:rFonts w:hint="eastAsia" w:ascii="Times New Roman" w:hAnsi="Times New Roman" w:cs="Times New Roman"/>
          <w:color w:val="auto"/>
          <w:sz w:val="24"/>
          <w:szCs w:val="24"/>
          <w:highlight w:val="none"/>
          <w:lang w:eastAsia="zh-CN"/>
        </w:rPr>
        <w:t>本</w:t>
      </w:r>
      <w:r>
        <w:rPr>
          <w:rFonts w:hint="default" w:ascii="Times New Roman" w:hAnsi="Times New Roman" w:cs="Times New Roman"/>
          <w:color w:val="auto"/>
          <w:sz w:val="24"/>
          <w:szCs w:val="24"/>
          <w:highlight w:val="none"/>
        </w:rPr>
        <w:t>项目</w:t>
      </w:r>
      <w:r>
        <w:rPr>
          <w:rFonts w:hint="eastAsia" w:ascii="Times New Roman" w:hAnsi="Times New Roman" w:cs="Times New Roman"/>
          <w:color w:val="auto"/>
          <w:sz w:val="24"/>
          <w:szCs w:val="24"/>
          <w:highlight w:val="none"/>
          <w:lang w:eastAsia="zh-CN"/>
        </w:rPr>
        <w:t>各楼层平面布置</w:t>
      </w:r>
      <w:r>
        <w:rPr>
          <w:rFonts w:hint="default" w:ascii="Times New Roman" w:hAnsi="Times New Roman" w:cs="Times New Roman"/>
          <w:color w:val="auto"/>
          <w:sz w:val="24"/>
          <w:szCs w:val="24"/>
          <w:highlight w:val="none"/>
        </w:rPr>
        <w:t>图</w:t>
      </w:r>
    </w:p>
    <w:p w14:paraId="4C89DB1C">
      <w:pPr>
        <w:pStyle w:val="2"/>
        <w:keepNext w:val="0"/>
        <w:keepLines w:val="0"/>
        <w:pageBreakBefore w:val="0"/>
        <w:widowControl w:val="0"/>
        <w:kinsoku/>
        <w:wordWrap/>
        <w:overflowPunct/>
        <w:topLinePunct w:val="0"/>
        <w:autoSpaceDE/>
        <w:autoSpaceDN/>
        <w:bidi w:val="0"/>
        <w:adjustRightInd w:val="0"/>
        <w:snapToGrid w:val="0"/>
        <w:spacing w:after="0" w:line="312" w:lineRule="auto"/>
        <w:ind w:left="0" w:leftChars="0" w:firstLine="0" w:firstLineChars="0"/>
        <w:textAlignment w:val="auto"/>
        <w:outlineLvl w:val="9"/>
        <w:rPr>
          <w:rFonts w:hint="eastAsia" w:cs="Times New Roman"/>
          <w:color w:val="auto"/>
          <w:sz w:val="24"/>
          <w:szCs w:val="24"/>
          <w:highlight w:val="none"/>
          <w:lang w:val="en-US" w:eastAsia="zh-CN"/>
        </w:rPr>
      </w:pPr>
      <w:r>
        <w:rPr>
          <w:rFonts w:hint="eastAsia" w:cs="Times New Roman"/>
          <w:color w:val="auto"/>
          <w:sz w:val="24"/>
          <w:szCs w:val="24"/>
          <w:highlight w:val="none"/>
          <w:lang w:eastAsia="zh-CN"/>
        </w:rPr>
        <w:t>附图</w:t>
      </w:r>
      <w:r>
        <w:rPr>
          <w:rFonts w:hint="eastAsia" w:cs="Times New Roman"/>
          <w:color w:val="auto"/>
          <w:sz w:val="24"/>
          <w:szCs w:val="24"/>
          <w:highlight w:val="none"/>
          <w:lang w:val="en-US" w:eastAsia="zh-CN"/>
        </w:rPr>
        <w:t xml:space="preserve">6   </w:t>
      </w:r>
      <w:r>
        <w:rPr>
          <w:rFonts w:hint="default" w:ascii="Times New Roman" w:hAnsi="Times New Roman" w:eastAsia="宋体" w:cs="Times New Roman"/>
          <w:color w:val="auto"/>
          <w:kern w:val="2"/>
          <w:sz w:val="24"/>
          <w:szCs w:val="24"/>
          <w:highlight w:val="none"/>
          <w:lang w:val="en-US" w:eastAsia="zh-CN" w:bidi="ar-SA"/>
        </w:rPr>
        <w:t>项目周边关系图</w:t>
      </w:r>
    </w:p>
    <w:p w14:paraId="0D6041A4">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eastAsia"/>
          <w:color w:val="auto"/>
          <w:highlight w:val="none"/>
          <w:lang w:val="en-US" w:eastAsia="zh-CN"/>
        </w:rPr>
      </w:pPr>
      <w:r>
        <w:rPr>
          <w:rFonts w:hint="eastAsia" w:cs="Times New Roman"/>
          <w:color w:val="auto"/>
          <w:sz w:val="24"/>
          <w:szCs w:val="24"/>
          <w:highlight w:val="none"/>
          <w:lang w:val="en-US" w:eastAsia="zh-CN"/>
        </w:rPr>
        <w:t>附图7   监测点位图</w:t>
      </w:r>
    </w:p>
    <w:p w14:paraId="49C583A9">
      <w:pPr>
        <w:pStyle w:val="2"/>
        <w:keepNext w:val="0"/>
        <w:keepLines w:val="0"/>
        <w:pageBreakBefore w:val="0"/>
        <w:widowControl w:val="0"/>
        <w:kinsoku/>
        <w:wordWrap/>
        <w:overflowPunct/>
        <w:topLinePunct w:val="0"/>
        <w:autoSpaceDE/>
        <w:autoSpaceDN/>
        <w:bidi w:val="0"/>
        <w:adjustRightInd w:val="0"/>
        <w:snapToGrid w:val="0"/>
        <w:spacing w:after="0" w:line="312" w:lineRule="auto"/>
        <w:ind w:left="0" w:leftChars="0" w:firstLine="0" w:firstLineChars="0"/>
        <w:textAlignment w:val="auto"/>
        <w:outlineLvl w:val="9"/>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附图8   保护目标图</w:t>
      </w:r>
    </w:p>
    <w:p w14:paraId="11CFD1E3">
      <w:pPr>
        <w:pStyle w:val="31"/>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 xml:space="preserve">附图9  </w:t>
      </w:r>
      <w:r>
        <w:rPr>
          <w:rFonts w:hint="eastAsia" w:eastAsia="宋体" w:cs="Times New Roman"/>
          <w:color w:val="auto"/>
          <w:kern w:val="2"/>
          <w:sz w:val="24"/>
          <w:szCs w:val="24"/>
          <w:highlight w:val="none"/>
          <w:lang w:val="en-US" w:eastAsia="zh-CN" w:bidi="ar-SA"/>
        </w:rPr>
        <w:t xml:space="preserve"> </w:t>
      </w:r>
      <w:r>
        <w:rPr>
          <w:rFonts w:hint="eastAsia" w:ascii="Times New Roman" w:hAnsi="Times New Roman" w:eastAsia="宋体" w:cs="Times New Roman"/>
          <w:color w:val="auto"/>
          <w:kern w:val="2"/>
          <w:sz w:val="24"/>
          <w:szCs w:val="24"/>
          <w:highlight w:val="none"/>
          <w:lang w:val="en-US" w:eastAsia="zh-CN" w:bidi="ar-SA"/>
        </w:rPr>
        <w:t>评价范围图</w:t>
      </w:r>
    </w:p>
    <w:p w14:paraId="1DFBC88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二、如果本报告表不能说明项目产生的污染及对环境造成的影响，应进行专项评价。根据建设项目的特点和当地环境特征，应选下列1--2项进行专项评价。</w:t>
      </w:r>
    </w:p>
    <w:p w14:paraId="538F1D1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1.大气环境影响专项评价</w:t>
      </w:r>
    </w:p>
    <w:p w14:paraId="0C58146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2.水环境影响专项评价（包括地表水和地下水）</w:t>
      </w:r>
    </w:p>
    <w:p w14:paraId="09487F1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3.生态影响专项评价</w:t>
      </w:r>
    </w:p>
    <w:p w14:paraId="5EB4C69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4.声影响专项评价</w:t>
      </w:r>
    </w:p>
    <w:p w14:paraId="03FD911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5.土壤影响专项评价</w:t>
      </w:r>
    </w:p>
    <w:p w14:paraId="406B073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6.固体废弃物影响专项评价</w:t>
      </w:r>
    </w:p>
    <w:p w14:paraId="12940478">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以上专项评价未包括的可另列专项，专项评价按照《环境影响评价技术导则》中的要求进行。</w:t>
      </w:r>
    </w:p>
    <w:p w14:paraId="22693F61">
      <w:pPr>
        <w:rPr>
          <w:rFonts w:hint="default" w:ascii="Times New Roman" w:hAnsi="Times New Roman" w:cs="Times New Roman"/>
          <w:color w:val="auto"/>
          <w:highlight w:val="none"/>
        </w:rPr>
      </w:pPr>
    </w:p>
    <w:p w14:paraId="7A8D304B">
      <w:pPr>
        <w:rPr>
          <w:rFonts w:hint="default" w:ascii="Times New Roman" w:hAnsi="Times New Roman" w:cs="Times New Roman"/>
          <w:color w:val="auto"/>
          <w:highlight w:val="none"/>
        </w:rPr>
      </w:pPr>
    </w:p>
    <w:p w14:paraId="0EE530DD">
      <w:pPr>
        <w:rPr>
          <w:rFonts w:hint="default" w:ascii="Times New Roman" w:hAnsi="Times New Roman" w:cs="Times New Roman"/>
          <w:color w:val="auto"/>
          <w:highlight w:val="none"/>
        </w:rPr>
      </w:pPr>
    </w:p>
    <w:p w14:paraId="0AB2BB6A">
      <w:pPr>
        <w:rPr>
          <w:rFonts w:hint="default" w:ascii="Times New Roman" w:hAnsi="Times New Roman" w:cs="Times New Roman"/>
          <w:color w:val="auto"/>
          <w:highlight w:val="none"/>
        </w:rPr>
      </w:pPr>
    </w:p>
    <w:p w14:paraId="49E04AC7">
      <w:pPr>
        <w:rPr>
          <w:rFonts w:hint="default" w:ascii="Times New Roman" w:hAnsi="Times New Roman" w:cs="Times New Roman"/>
          <w:color w:val="auto"/>
          <w:highlight w:val="none"/>
        </w:rPr>
      </w:pPr>
    </w:p>
    <w:p w14:paraId="1F2973AE">
      <w:pPr>
        <w:spacing w:line="360" w:lineRule="auto"/>
        <w:ind w:firstLine="482"/>
        <w:rPr>
          <w:rFonts w:hint="default" w:ascii="Times New Roman" w:hAnsi="Times New Roman" w:cs="Times New Roman"/>
          <w:color w:val="auto"/>
          <w:sz w:val="24"/>
          <w:szCs w:val="24"/>
          <w:highlight w:val="none"/>
        </w:rPr>
        <w:sectPr>
          <w:pgSz w:w="11906" w:h="16838"/>
          <w:pgMar w:top="1418" w:right="1418" w:bottom="1559" w:left="1418" w:header="907" w:footer="907" w:gutter="0"/>
          <w:pgBorders w:display="notFirstPage">
            <w:top w:val="single" w:color="auto" w:sz="4" w:space="4"/>
            <w:left w:val="single" w:color="auto" w:sz="4" w:space="10"/>
            <w:bottom w:val="single" w:color="auto" w:sz="4" w:space="4"/>
            <w:right w:val="single" w:color="auto" w:sz="4" w:space="10"/>
          </w:pgBorders>
          <w:pgNumType w:fmt="decimal"/>
          <w:cols w:space="720" w:num="1"/>
          <w:docGrid w:type="lines" w:linePitch="312" w:charSpace="0"/>
        </w:sectPr>
      </w:pPr>
    </w:p>
    <w:tbl>
      <w:tblPr>
        <w:tblStyle w:val="24"/>
        <w:tblW w:w="9135"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5"/>
      </w:tblGrid>
      <w:tr w14:paraId="5EEE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8" w:hRule="atLeast"/>
        </w:trPr>
        <w:tc>
          <w:tcPr>
            <w:tcW w:w="9135" w:type="dxa"/>
          </w:tcPr>
          <w:p w14:paraId="5116A2D5">
            <w:pPr>
              <w:spacing w:before="240" w:after="12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预审意见：</w:t>
            </w:r>
          </w:p>
          <w:p w14:paraId="0B2BAAFE">
            <w:pPr>
              <w:spacing w:before="240" w:after="120"/>
              <w:rPr>
                <w:rFonts w:hint="default" w:ascii="Times New Roman" w:hAnsi="Times New Roman" w:cs="Times New Roman"/>
                <w:color w:val="auto"/>
                <w:sz w:val="28"/>
                <w:szCs w:val="28"/>
                <w:highlight w:val="none"/>
              </w:rPr>
            </w:pPr>
          </w:p>
          <w:p w14:paraId="12FA4F4A">
            <w:pPr>
              <w:spacing w:before="240" w:after="120"/>
              <w:rPr>
                <w:rFonts w:hint="default" w:ascii="Times New Roman" w:hAnsi="Times New Roman" w:cs="Times New Roman"/>
                <w:color w:val="auto"/>
                <w:sz w:val="28"/>
                <w:szCs w:val="28"/>
                <w:highlight w:val="none"/>
              </w:rPr>
            </w:pPr>
          </w:p>
          <w:p w14:paraId="6C38C3E6">
            <w:pPr>
              <w:spacing w:before="240" w:after="120"/>
              <w:rPr>
                <w:rFonts w:hint="default" w:ascii="Times New Roman" w:hAnsi="Times New Roman" w:cs="Times New Roman"/>
                <w:color w:val="auto"/>
                <w:sz w:val="28"/>
                <w:szCs w:val="28"/>
                <w:highlight w:val="none"/>
              </w:rPr>
            </w:pPr>
          </w:p>
          <w:p w14:paraId="4C0123C4">
            <w:pPr>
              <w:spacing w:before="240" w:after="120"/>
              <w:rPr>
                <w:rFonts w:hint="default" w:ascii="Times New Roman" w:hAnsi="Times New Roman" w:cs="Times New Roman"/>
                <w:color w:val="auto"/>
                <w:sz w:val="28"/>
                <w:szCs w:val="28"/>
                <w:highlight w:val="none"/>
              </w:rPr>
            </w:pPr>
          </w:p>
          <w:p w14:paraId="5DAB3546">
            <w:pPr>
              <w:spacing w:before="240" w:after="120"/>
              <w:rPr>
                <w:rFonts w:hint="default" w:ascii="Times New Roman" w:hAnsi="Times New Roman" w:cs="Times New Roman"/>
                <w:color w:val="auto"/>
                <w:sz w:val="28"/>
                <w:szCs w:val="28"/>
                <w:highlight w:val="none"/>
              </w:rPr>
            </w:pPr>
          </w:p>
          <w:p w14:paraId="3438D127">
            <w:pPr>
              <w:spacing w:before="240" w:after="12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公章</w:t>
            </w:r>
          </w:p>
          <w:p w14:paraId="14E42BBA">
            <w:pPr>
              <w:spacing w:before="240" w:after="12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经办人：</w:t>
            </w:r>
            <w:r>
              <w:rPr>
                <w:rFonts w:hint="eastAsia"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年</w:t>
            </w:r>
            <w:r>
              <w:rPr>
                <w:rFonts w:hint="eastAsia"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月</w:t>
            </w:r>
            <w:r>
              <w:rPr>
                <w:rFonts w:hint="eastAsia"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日</w:t>
            </w:r>
          </w:p>
        </w:tc>
      </w:tr>
      <w:tr w14:paraId="1B8C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8" w:hRule="atLeast"/>
        </w:trPr>
        <w:tc>
          <w:tcPr>
            <w:tcW w:w="9135" w:type="dxa"/>
          </w:tcPr>
          <w:p w14:paraId="16A1130B">
            <w:pPr>
              <w:spacing w:before="240" w:after="12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下一级环境保护行政主管部门审查意见：</w:t>
            </w:r>
          </w:p>
          <w:p w14:paraId="3D3C852B">
            <w:pPr>
              <w:spacing w:before="240" w:after="120"/>
              <w:rPr>
                <w:rFonts w:hint="default" w:ascii="Times New Roman" w:hAnsi="Times New Roman" w:cs="Times New Roman"/>
                <w:color w:val="auto"/>
                <w:sz w:val="28"/>
                <w:szCs w:val="28"/>
                <w:highlight w:val="none"/>
              </w:rPr>
            </w:pPr>
          </w:p>
          <w:p w14:paraId="2FCB0E8D">
            <w:pPr>
              <w:spacing w:before="240" w:after="120"/>
              <w:rPr>
                <w:rFonts w:hint="default" w:ascii="Times New Roman" w:hAnsi="Times New Roman" w:cs="Times New Roman"/>
                <w:color w:val="auto"/>
                <w:sz w:val="28"/>
                <w:szCs w:val="28"/>
                <w:highlight w:val="none"/>
              </w:rPr>
            </w:pPr>
          </w:p>
          <w:p w14:paraId="31FA84BB">
            <w:pPr>
              <w:spacing w:before="240" w:after="120"/>
              <w:rPr>
                <w:rFonts w:hint="default" w:ascii="Times New Roman" w:hAnsi="Times New Roman" w:cs="Times New Roman"/>
                <w:color w:val="auto"/>
                <w:sz w:val="28"/>
                <w:szCs w:val="28"/>
                <w:highlight w:val="none"/>
              </w:rPr>
            </w:pPr>
          </w:p>
          <w:p w14:paraId="31DB6BAC">
            <w:pPr>
              <w:pStyle w:val="2"/>
              <w:rPr>
                <w:rFonts w:hint="default"/>
                <w:color w:val="auto"/>
                <w:highlight w:val="none"/>
              </w:rPr>
            </w:pPr>
          </w:p>
          <w:p w14:paraId="6565656F">
            <w:pPr>
              <w:pStyle w:val="23"/>
              <w:rPr>
                <w:rFonts w:hint="default"/>
                <w:color w:val="auto"/>
                <w:highlight w:val="none"/>
              </w:rPr>
            </w:pPr>
          </w:p>
          <w:p w14:paraId="5F3686DD">
            <w:pPr>
              <w:spacing w:before="240" w:after="12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公章</w:t>
            </w:r>
          </w:p>
          <w:p w14:paraId="2943C495">
            <w:pPr>
              <w:spacing w:before="240" w:after="12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经办人：</w:t>
            </w:r>
            <w:r>
              <w:rPr>
                <w:rFonts w:hint="eastAsia"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年</w:t>
            </w:r>
            <w:r>
              <w:rPr>
                <w:rFonts w:hint="eastAsia"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月</w:t>
            </w:r>
            <w:r>
              <w:rPr>
                <w:rFonts w:hint="eastAsia"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日</w:t>
            </w:r>
          </w:p>
        </w:tc>
      </w:tr>
    </w:tbl>
    <w:p w14:paraId="0293599A">
      <w:pPr>
        <w:spacing w:before="240" w:after="12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审批意见：</w:t>
      </w:r>
    </w:p>
    <w:p w14:paraId="174F9D25">
      <w:pPr>
        <w:spacing w:before="240" w:after="120"/>
        <w:rPr>
          <w:rFonts w:hint="default" w:ascii="Times New Roman" w:hAnsi="Times New Roman" w:cs="Times New Roman"/>
          <w:color w:val="auto"/>
          <w:sz w:val="28"/>
          <w:szCs w:val="28"/>
          <w:highlight w:val="none"/>
        </w:rPr>
      </w:pPr>
    </w:p>
    <w:p w14:paraId="6A4B0002">
      <w:pPr>
        <w:spacing w:before="240" w:after="120"/>
        <w:rPr>
          <w:rFonts w:hint="default" w:ascii="Times New Roman" w:hAnsi="Times New Roman" w:cs="Times New Roman"/>
          <w:color w:val="auto"/>
          <w:sz w:val="28"/>
          <w:szCs w:val="28"/>
          <w:highlight w:val="none"/>
        </w:rPr>
      </w:pPr>
    </w:p>
    <w:p w14:paraId="376D5EFD">
      <w:pPr>
        <w:spacing w:before="240" w:after="120"/>
        <w:rPr>
          <w:rFonts w:hint="default" w:ascii="Times New Roman" w:hAnsi="Times New Roman" w:cs="Times New Roman"/>
          <w:color w:val="auto"/>
          <w:sz w:val="28"/>
          <w:szCs w:val="28"/>
          <w:highlight w:val="none"/>
        </w:rPr>
      </w:pPr>
    </w:p>
    <w:p w14:paraId="3A4FB310">
      <w:pPr>
        <w:spacing w:before="240" w:after="120"/>
        <w:rPr>
          <w:rFonts w:hint="default" w:ascii="Times New Roman" w:hAnsi="Times New Roman" w:cs="Times New Roman"/>
          <w:color w:val="auto"/>
          <w:sz w:val="28"/>
          <w:szCs w:val="28"/>
          <w:highlight w:val="none"/>
        </w:rPr>
      </w:pPr>
    </w:p>
    <w:p w14:paraId="75F8AF93">
      <w:pPr>
        <w:spacing w:before="240" w:after="120"/>
        <w:rPr>
          <w:rFonts w:hint="default" w:ascii="Times New Roman" w:hAnsi="Times New Roman" w:cs="Times New Roman"/>
          <w:color w:val="auto"/>
          <w:sz w:val="28"/>
          <w:szCs w:val="28"/>
          <w:highlight w:val="none"/>
        </w:rPr>
      </w:pPr>
    </w:p>
    <w:p w14:paraId="74668A22">
      <w:pPr>
        <w:spacing w:before="240" w:after="120"/>
        <w:rPr>
          <w:rFonts w:hint="default" w:ascii="Times New Roman" w:hAnsi="Times New Roman" w:cs="Times New Roman"/>
          <w:color w:val="auto"/>
          <w:sz w:val="28"/>
          <w:szCs w:val="28"/>
          <w:highlight w:val="none"/>
        </w:rPr>
      </w:pPr>
    </w:p>
    <w:p w14:paraId="54DE92A2">
      <w:pPr>
        <w:spacing w:before="240" w:after="120"/>
        <w:rPr>
          <w:rFonts w:hint="default" w:ascii="Times New Roman" w:hAnsi="Times New Roman" w:cs="Times New Roman"/>
          <w:color w:val="auto"/>
          <w:sz w:val="28"/>
          <w:szCs w:val="28"/>
          <w:highlight w:val="none"/>
        </w:rPr>
      </w:pPr>
    </w:p>
    <w:p w14:paraId="05C964FE">
      <w:pPr>
        <w:spacing w:before="240" w:after="120"/>
        <w:rPr>
          <w:rFonts w:hint="default" w:ascii="Times New Roman" w:hAnsi="Times New Roman" w:cs="Times New Roman"/>
          <w:color w:val="auto"/>
          <w:sz w:val="28"/>
          <w:szCs w:val="28"/>
          <w:highlight w:val="none"/>
        </w:rPr>
      </w:pPr>
    </w:p>
    <w:p w14:paraId="4680AC75">
      <w:pPr>
        <w:spacing w:before="240" w:after="120"/>
        <w:rPr>
          <w:rFonts w:hint="default" w:ascii="Times New Roman" w:hAnsi="Times New Roman" w:cs="Times New Roman"/>
          <w:color w:val="auto"/>
          <w:sz w:val="28"/>
          <w:szCs w:val="28"/>
          <w:highlight w:val="none"/>
        </w:rPr>
      </w:pPr>
    </w:p>
    <w:p w14:paraId="5B253286">
      <w:pPr>
        <w:spacing w:before="240" w:after="120"/>
        <w:rPr>
          <w:rFonts w:hint="default" w:ascii="Times New Roman" w:hAnsi="Times New Roman" w:cs="Times New Roman"/>
          <w:color w:val="auto"/>
          <w:sz w:val="28"/>
          <w:szCs w:val="28"/>
          <w:highlight w:val="none"/>
        </w:rPr>
      </w:pPr>
    </w:p>
    <w:p w14:paraId="7E30F148">
      <w:pPr>
        <w:spacing w:before="240" w:after="120"/>
        <w:rPr>
          <w:rFonts w:hint="default" w:ascii="Times New Roman" w:hAnsi="Times New Roman" w:cs="Times New Roman"/>
          <w:color w:val="auto"/>
          <w:sz w:val="28"/>
          <w:szCs w:val="28"/>
          <w:highlight w:val="none"/>
        </w:rPr>
      </w:pPr>
    </w:p>
    <w:p w14:paraId="1BCE1CDD">
      <w:pPr>
        <w:spacing w:before="240" w:after="120"/>
        <w:rPr>
          <w:rFonts w:hint="default" w:ascii="Times New Roman" w:hAnsi="Times New Roman" w:cs="Times New Roman"/>
          <w:color w:val="auto"/>
          <w:sz w:val="28"/>
          <w:szCs w:val="28"/>
          <w:highlight w:val="none"/>
        </w:rPr>
      </w:pPr>
    </w:p>
    <w:p w14:paraId="521EC0E2">
      <w:pPr>
        <w:spacing w:before="240" w:after="120"/>
        <w:rPr>
          <w:rFonts w:hint="default" w:ascii="Times New Roman" w:hAnsi="Times New Roman" w:cs="Times New Roman"/>
          <w:color w:val="auto"/>
          <w:sz w:val="28"/>
          <w:szCs w:val="28"/>
          <w:highlight w:val="none"/>
        </w:rPr>
      </w:pPr>
    </w:p>
    <w:p w14:paraId="4A8E3CAE">
      <w:pPr>
        <w:spacing w:before="240" w:after="12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公章</w:t>
      </w:r>
    </w:p>
    <w:p w14:paraId="7AF057D7">
      <w:pPr>
        <w:spacing w:line="360" w:lineRule="auto"/>
        <w:rPr>
          <w:rFonts w:hint="eastAsia" w:ascii="Times New Roman" w:hAnsi="Times New Roman" w:eastAsia="宋体" w:cs="Times New Roman"/>
          <w:color w:val="auto"/>
          <w:sz w:val="24"/>
          <w:szCs w:val="24"/>
          <w:highlight w:val="none"/>
          <w:lang w:eastAsia="zh-CN"/>
        </w:rPr>
        <w:sectPr>
          <w:pgSz w:w="11906" w:h="16838"/>
          <w:pgMar w:top="1418" w:right="1418" w:bottom="1559" w:left="1418" w:header="907" w:footer="907" w:gutter="0"/>
          <w:pgBorders w:display="notFirstPage">
            <w:top w:val="single" w:color="auto" w:sz="4" w:space="4"/>
            <w:left w:val="single" w:color="auto" w:sz="4" w:space="10"/>
            <w:bottom w:val="single" w:color="auto" w:sz="4" w:space="4"/>
            <w:right w:val="single" w:color="auto" w:sz="4" w:space="10"/>
          </w:pgBorders>
          <w:pgNumType w:fmt="decimal"/>
          <w:cols w:space="720" w:num="1"/>
          <w:docGrid w:type="lines" w:linePitch="312" w:charSpace="0"/>
        </w:sectPr>
      </w:pPr>
      <w:r>
        <w:rPr>
          <w:rFonts w:hint="default" w:ascii="Times New Roman" w:hAnsi="Times New Roman" w:cs="Times New Roman"/>
          <w:color w:val="auto"/>
          <w:sz w:val="28"/>
          <w:szCs w:val="28"/>
          <w:highlight w:val="none"/>
        </w:rPr>
        <w:t>经办人：</w:t>
      </w:r>
      <w:r>
        <w:rPr>
          <w:rFonts w:hint="eastAsia"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年</w:t>
      </w:r>
      <w:r>
        <w:rPr>
          <w:rFonts w:hint="eastAsia"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月</w:t>
      </w:r>
      <w:r>
        <w:rPr>
          <w:rFonts w:hint="eastAsia" w:cs="Times New Roman"/>
          <w:color w:val="auto"/>
          <w:sz w:val="28"/>
          <w:szCs w:val="28"/>
          <w:highlight w:val="none"/>
          <w:lang w:val="en-US" w:eastAsia="zh-CN"/>
        </w:rPr>
        <w:t xml:space="preserve">  </w:t>
      </w:r>
      <w:r>
        <w:rPr>
          <w:rFonts w:hint="eastAsia" w:cs="Times New Roman"/>
          <w:color w:val="auto"/>
          <w:sz w:val="28"/>
          <w:szCs w:val="28"/>
          <w:highlight w:val="none"/>
          <w:lang w:eastAsia="zh-CN"/>
        </w:rPr>
        <w:t>日</w:t>
      </w:r>
    </w:p>
    <w:p w14:paraId="58A8CE08">
      <w:pPr>
        <w:spacing w:line="360" w:lineRule="auto"/>
        <w:jc w:val="center"/>
        <w:rPr>
          <w:highlight w:val="none"/>
        </w:rPr>
      </w:pPr>
      <w:r>
        <w:rPr>
          <w:highlight w:val="none"/>
        </w:rPr>
        <w:drawing>
          <wp:inline distT="0" distB="0" distL="114300" distR="114300">
            <wp:extent cx="5704205" cy="8080375"/>
            <wp:effectExtent l="0" t="0" r="10795" b="15875"/>
            <wp:docPr id="9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
                    <pic:cNvPicPr>
                      <a:picLocks noChangeAspect="1"/>
                    </pic:cNvPicPr>
                  </pic:nvPicPr>
                  <pic:blipFill>
                    <a:blip r:embed="rId22"/>
                    <a:stretch>
                      <a:fillRect/>
                    </a:stretch>
                  </pic:blipFill>
                  <pic:spPr>
                    <a:xfrm>
                      <a:off x="0" y="0"/>
                      <a:ext cx="5704205" cy="8080375"/>
                    </a:xfrm>
                    <a:prstGeom prst="rect">
                      <a:avLst/>
                    </a:prstGeom>
                    <a:noFill/>
                    <a:ln w="9525">
                      <a:noFill/>
                    </a:ln>
                  </pic:spPr>
                </pic:pic>
              </a:graphicData>
            </a:graphic>
          </wp:inline>
        </w:drawing>
      </w:r>
    </w:p>
    <w:p w14:paraId="703DBD0C">
      <w:pPr>
        <w:spacing w:line="360" w:lineRule="auto"/>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附件</w:t>
      </w:r>
      <w:r>
        <w:rPr>
          <w:rFonts w:hint="eastAsia" w:cs="Times New Roman"/>
          <w:b/>
          <w:bCs/>
          <w:color w:val="auto"/>
          <w:sz w:val="24"/>
          <w:szCs w:val="24"/>
          <w:highlight w:val="none"/>
          <w:lang w:val="en-US" w:eastAsia="zh-CN"/>
        </w:rPr>
        <w:t>1</w:t>
      </w:r>
      <w:r>
        <w:rPr>
          <w:rFonts w:hint="eastAsia" w:cs="Times New Roman"/>
          <w:b/>
          <w:bCs/>
          <w:color w:val="auto"/>
          <w:sz w:val="24"/>
          <w:szCs w:val="24"/>
          <w:highlight w:val="none"/>
          <w:lang w:eastAsia="zh-CN"/>
        </w:rPr>
        <w:t>监测</w:t>
      </w:r>
      <w:r>
        <w:rPr>
          <w:rFonts w:hint="default" w:ascii="Times New Roman" w:hAnsi="Times New Roman" w:cs="Times New Roman"/>
          <w:b/>
          <w:bCs/>
          <w:color w:val="auto"/>
          <w:sz w:val="24"/>
          <w:szCs w:val="24"/>
          <w:highlight w:val="none"/>
        </w:rPr>
        <w:t>报告</w:t>
      </w:r>
    </w:p>
    <w:p w14:paraId="1F5C67D0">
      <w:pPr>
        <w:pStyle w:val="2"/>
        <w:ind w:left="0" w:leftChars="0" w:firstLine="0" w:firstLineChars="0"/>
        <w:jc w:val="center"/>
        <w:rPr>
          <w:rFonts w:hint="default"/>
          <w:color w:val="auto"/>
          <w:highlight w:val="none"/>
        </w:rPr>
      </w:pPr>
      <w:r>
        <w:rPr>
          <w:highlight w:val="none"/>
        </w:rPr>
        <w:drawing>
          <wp:inline distT="0" distB="0" distL="114300" distR="114300">
            <wp:extent cx="5716905" cy="8086090"/>
            <wp:effectExtent l="0" t="0" r="17145" b="10160"/>
            <wp:docPr id="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
                    <pic:cNvPicPr>
                      <a:picLocks noChangeAspect="1"/>
                    </pic:cNvPicPr>
                  </pic:nvPicPr>
                  <pic:blipFill>
                    <a:blip r:embed="rId23"/>
                    <a:stretch>
                      <a:fillRect/>
                    </a:stretch>
                  </pic:blipFill>
                  <pic:spPr>
                    <a:xfrm>
                      <a:off x="0" y="0"/>
                      <a:ext cx="5716905" cy="8086090"/>
                    </a:xfrm>
                    <a:prstGeom prst="rect">
                      <a:avLst/>
                    </a:prstGeom>
                    <a:noFill/>
                    <a:ln w="9525">
                      <a:noFill/>
                    </a:ln>
                  </pic:spPr>
                </pic:pic>
              </a:graphicData>
            </a:graphic>
          </wp:inline>
        </w:drawing>
      </w:r>
    </w:p>
    <w:p w14:paraId="68EF624E">
      <w:pPr>
        <w:spacing w:line="360" w:lineRule="auto"/>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附件</w:t>
      </w:r>
      <w:r>
        <w:rPr>
          <w:rFonts w:hint="eastAsia" w:cs="Times New Roman"/>
          <w:b/>
          <w:bCs/>
          <w:color w:val="auto"/>
          <w:sz w:val="24"/>
          <w:szCs w:val="24"/>
          <w:highlight w:val="none"/>
          <w:lang w:val="en-US" w:eastAsia="zh-CN"/>
        </w:rPr>
        <w:t>1</w:t>
      </w:r>
      <w:r>
        <w:rPr>
          <w:rFonts w:hint="eastAsia" w:cs="Times New Roman"/>
          <w:b/>
          <w:bCs/>
          <w:color w:val="auto"/>
          <w:sz w:val="24"/>
          <w:szCs w:val="24"/>
          <w:highlight w:val="none"/>
          <w:lang w:eastAsia="zh-CN"/>
        </w:rPr>
        <w:t>监测</w:t>
      </w:r>
      <w:r>
        <w:rPr>
          <w:rFonts w:hint="default" w:ascii="Times New Roman" w:hAnsi="Times New Roman" w:cs="Times New Roman"/>
          <w:b/>
          <w:bCs/>
          <w:color w:val="auto"/>
          <w:sz w:val="24"/>
          <w:szCs w:val="24"/>
          <w:highlight w:val="none"/>
        </w:rPr>
        <w:t>报告</w:t>
      </w:r>
    </w:p>
    <w:p w14:paraId="6D3D13A6">
      <w:pPr>
        <w:pStyle w:val="23"/>
        <w:ind w:left="0" w:leftChars="0" w:firstLine="0" w:firstLineChars="0"/>
        <w:jc w:val="center"/>
        <w:rPr>
          <w:color w:val="auto"/>
          <w:highlight w:val="none"/>
        </w:rPr>
      </w:pPr>
      <w:r>
        <w:rPr>
          <w:highlight w:val="none"/>
        </w:rPr>
        <w:drawing>
          <wp:inline distT="0" distB="0" distL="114300" distR="114300">
            <wp:extent cx="5739765" cy="8087360"/>
            <wp:effectExtent l="0" t="0" r="13335" b="8890"/>
            <wp:docPr id="1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4"/>
                    <pic:cNvPicPr>
                      <a:picLocks noChangeAspect="1"/>
                    </pic:cNvPicPr>
                  </pic:nvPicPr>
                  <pic:blipFill>
                    <a:blip r:embed="rId24"/>
                    <a:stretch>
                      <a:fillRect/>
                    </a:stretch>
                  </pic:blipFill>
                  <pic:spPr>
                    <a:xfrm>
                      <a:off x="0" y="0"/>
                      <a:ext cx="5739765" cy="8087360"/>
                    </a:xfrm>
                    <a:prstGeom prst="rect">
                      <a:avLst/>
                    </a:prstGeom>
                    <a:noFill/>
                    <a:ln w="9525">
                      <a:noFill/>
                    </a:ln>
                  </pic:spPr>
                </pic:pic>
              </a:graphicData>
            </a:graphic>
          </wp:inline>
        </w:drawing>
      </w:r>
    </w:p>
    <w:p w14:paraId="21B712B0">
      <w:pPr>
        <w:pStyle w:val="23"/>
        <w:ind w:left="0" w:leftChars="0" w:firstLine="0" w:firstLineChars="0"/>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附件</w:t>
      </w:r>
      <w:r>
        <w:rPr>
          <w:rFonts w:hint="eastAsia" w:cs="Times New Roman"/>
          <w:b/>
          <w:bCs/>
          <w:color w:val="auto"/>
          <w:sz w:val="24"/>
          <w:szCs w:val="24"/>
          <w:highlight w:val="none"/>
          <w:lang w:val="en-US" w:eastAsia="zh-CN"/>
        </w:rPr>
        <w:t>1</w:t>
      </w:r>
      <w:r>
        <w:rPr>
          <w:rFonts w:hint="eastAsia" w:cs="Times New Roman"/>
          <w:b/>
          <w:bCs/>
          <w:color w:val="auto"/>
          <w:sz w:val="24"/>
          <w:szCs w:val="24"/>
          <w:highlight w:val="none"/>
          <w:lang w:eastAsia="zh-CN"/>
        </w:rPr>
        <w:t>监测</w:t>
      </w:r>
      <w:r>
        <w:rPr>
          <w:rFonts w:hint="default" w:ascii="Times New Roman" w:hAnsi="Times New Roman" w:cs="Times New Roman"/>
          <w:b/>
          <w:bCs/>
          <w:color w:val="auto"/>
          <w:sz w:val="24"/>
          <w:szCs w:val="24"/>
          <w:highlight w:val="none"/>
        </w:rPr>
        <w:t>报告</w:t>
      </w:r>
    </w:p>
    <w:p w14:paraId="72226E82">
      <w:pPr>
        <w:pStyle w:val="2"/>
        <w:ind w:left="0" w:leftChars="0" w:firstLine="0" w:firstLineChars="0"/>
        <w:jc w:val="center"/>
        <w:rPr>
          <w:color w:val="auto"/>
          <w:highlight w:val="none"/>
        </w:rPr>
      </w:pPr>
      <w:r>
        <w:rPr>
          <w:highlight w:val="none"/>
        </w:rPr>
        <w:drawing>
          <wp:inline distT="0" distB="0" distL="114300" distR="114300">
            <wp:extent cx="5685790" cy="8061960"/>
            <wp:effectExtent l="0" t="0" r="10160" b="15240"/>
            <wp:docPr id="1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5"/>
                    <pic:cNvPicPr>
                      <a:picLocks noChangeAspect="1"/>
                    </pic:cNvPicPr>
                  </pic:nvPicPr>
                  <pic:blipFill>
                    <a:blip r:embed="rId25"/>
                    <a:stretch>
                      <a:fillRect/>
                    </a:stretch>
                  </pic:blipFill>
                  <pic:spPr>
                    <a:xfrm>
                      <a:off x="0" y="0"/>
                      <a:ext cx="5685790" cy="8061960"/>
                    </a:xfrm>
                    <a:prstGeom prst="rect">
                      <a:avLst/>
                    </a:prstGeom>
                    <a:noFill/>
                    <a:ln w="9525">
                      <a:noFill/>
                    </a:ln>
                  </pic:spPr>
                </pic:pic>
              </a:graphicData>
            </a:graphic>
          </wp:inline>
        </w:drawing>
      </w:r>
    </w:p>
    <w:p w14:paraId="7DEA1CDA">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附件</w:t>
      </w:r>
      <w:r>
        <w:rPr>
          <w:rFonts w:hint="eastAsia" w:cs="Times New Roman"/>
          <w:b/>
          <w:bCs/>
          <w:color w:val="auto"/>
          <w:sz w:val="24"/>
          <w:szCs w:val="24"/>
          <w:highlight w:val="none"/>
          <w:lang w:val="en-US" w:eastAsia="zh-CN"/>
        </w:rPr>
        <w:t>1</w:t>
      </w:r>
      <w:r>
        <w:rPr>
          <w:rFonts w:hint="eastAsia" w:cs="Times New Roman"/>
          <w:b/>
          <w:bCs/>
          <w:color w:val="auto"/>
          <w:sz w:val="24"/>
          <w:szCs w:val="24"/>
          <w:highlight w:val="none"/>
          <w:lang w:eastAsia="zh-CN"/>
        </w:rPr>
        <w:t>监测</w:t>
      </w:r>
      <w:r>
        <w:rPr>
          <w:rFonts w:hint="default" w:ascii="Times New Roman" w:hAnsi="Times New Roman" w:cs="Times New Roman"/>
          <w:b/>
          <w:bCs/>
          <w:color w:val="auto"/>
          <w:sz w:val="24"/>
          <w:szCs w:val="24"/>
          <w:highlight w:val="none"/>
        </w:rPr>
        <w:t>报告</w:t>
      </w:r>
    </w:p>
    <w:p w14:paraId="74E53416">
      <w:pPr>
        <w:pStyle w:val="23"/>
        <w:ind w:left="0" w:leftChars="0" w:firstLine="0" w:firstLineChars="0"/>
        <w:jc w:val="center"/>
        <w:rPr>
          <w:rFonts w:hint="default"/>
          <w:color w:val="auto"/>
          <w:highlight w:val="none"/>
        </w:rPr>
      </w:pPr>
      <w:r>
        <w:rPr>
          <w:highlight w:val="none"/>
        </w:rPr>
        <w:drawing>
          <wp:inline distT="0" distB="0" distL="114300" distR="114300">
            <wp:extent cx="5674360" cy="8040370"/>
            <wp:effectExtent l="0" t="0" r="2540" b="17780"/>
            <wp:docPr id="1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6"/>
                    <pic:cNvPicPr>
                      <a:picLocks noChangeAspect="1"/>
                    </pic:cNvPicPr>
                  </pic:nvPicPr>
                  <pic:blipFill>
                    <a:blip r:embed="rId26"/>
                    <a:stretch>
                      <a:fillRect/>
                    </a:stretch>
                  </pic:blipFill>
                  <pic:spPr>
                    <a:xfrm>
                      <a:off x="0" y="0"/>
                      <a:ext cx="5674360" cy="8040370"/>
                    </a:xfrm>
                    <a:prstGeom prst="rect">
                      <a:avLst/>
                    </a:prstGeom>
                    <a:noFill/>
                    <a:ln w="9525">
                      <a:noFill/>
                    </a:ln>
                  </pic:spPr>
                </pic:pic>
              </a:graphicData>
            </a:graphic>
          </wp:inline>
        </w:drawing>
      </w:r>
    </w:p>
    <w:p w14:paraId="11B6DB6B">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center"/>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附件</w:t>
      </w:r>
      <w:r>
        <w:rPr>
          <w:rFonts w:hint="eastAsia" w:cs="Times New Roman"/>
          <w:b/>
          <w:bCs/>
          <w:color w:val="auto"/>
          <w:sz w:val="24"/>
          <w:szCs w:val="24"/>
          <w:highlight w:val="none"/>
          <w:lang w:val="en-US" w:eastAsia="zh-CN"/>
        </w:rPr>
        <w:t>1</w:t>
      </w:r>
      <w:r>
        <w:rPr>
          <w:rFonts w:hint="eastAsia" w:cs="Times New Roman"/>
          <w:b/>
          <w:bCs/>
          <w:color w:val="auto"/>
          <w:sz w:val="24"/>
          <w:szCs w:val="24"/>
          <w:highlight w:val="none"/>
          <w:lang w:eastAsia="zh-CN"/>
        </w:rPr>
        <w:t>监测</w:t>
      </w:r>
      <w:r>
        <w:rPr>
          <w:rFonts w:hint="default" w:ascii="Times New Roman" w:hAnsi="Times New Roman" w:cs="Times New Roman"/>
          <w:b/>
          <w:bCs/>
          <w:color w:val="auto"/>
          <w:sz w:val="24"/>
          <w:szCs w:val="24"/>
          <w:highlight w:val="none"/>
        </w:rPr>
        <w:t>报告</w:t>
      </w:r>
    </w:p>
    <w:p w14:paraId="64E152A9">
      <w:pPr>
        <w:pStyle w:val="23"/>
        <w:ind w:left="0" w:leftChars="0" w:firstLine="0" w:firstLineChars="0"/>
        <w:jc w:val="center"/>
        <w:rPr>
          <w:rFonts w:hint="default" w:ascii="Times New Roman" w:hAnsi="Times New Roman" w:cs="Times New Roman"/>
          <w:b/>
          <w:bCs/>
          <w:color w:val="auto"/>
          <w:sz w:val="24"/>
          <w:szCs w:val="24"/>
          <w:highlight w:val="none"/>
        </w:rPr>
      </w:pPr>
      <w:r>
        <w:rPr>
          <w:highlight w:val="none"/>
        </w:rPr>
        <w:drawing>
          <wp:inline distT="0" distB="0" distL="114300" distR="114300">
            <wp:extent cx="5722620" cy="8083550"/>
            <wp:effectExtent l="0" t="0" r="11430" b="12700"/>
            <wp:docPr id="1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7"/>
                    <pic:cNvPicPr>
                      <a:picLocks noChangeAspect="1"/>
                    </pic:cNvPicPr>
                  </pic:nvPicPr>
                  <pic:blipFill>
                    <a:blip r:embed="rId27"/>
                    <a:stretch>
                      <a:fillRect/>
                    </a:stretch>
                  </pic:blipFill>
                  <pic:spPr>
                    <a:xfrm>
                      <a:off x="0" y="0"/>
                      <a:ext cx="5722620" cy="8083550"/>
                    </a:xfrm>
                    <a:prstGeom prst="rect">
                      <a:avLst/>
                    </a:prstGeom>
                    <a:noFill/>
                    <a:ln w="9525">
                      <a:noFill/>
                    </a:ln>
                  </pic:spPr>
                </pic:pic>
              </a:graphicData>
            </a:graphic>
          </wp:inline>
        </w:drawing>
      </w:r>
    </w:p>
    <w:p w14:paraId="130E8175">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jc w:val="center"/>
        <w:textAlignment w:val="auto"/>
        <w:outlineLvl w:val="9"/>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附件</w:t>
      </w:r>
      <w:r>
        <w:rPr>
          <w:rFonts w:hint="eastAsia" w:cs="Times New Roman"/>
          <w:b/>
          <w:bCs/>
          <w:color w:val="auto"/>
          <w:sz w:val="24"/>
          <w:szCs w:val="24"/>
          <w:highlight w:val="none"/>
          <w:lang w:val="en-US" w:eastAsia="zh-CN"/>
        </w:rPr>
        <w:t>1</w:t>
      </w:r>
      <w:r>
        <w:rPr>
          <w:rFonts w:hint="eastAsia" w:cs="Times New Roman"/>
          <w:b/>
          <w:bCs/>
          <w:color w:val="auto"/>
          <w:sz w:val="24"/>
          <w:szCs w:val="24"/>
          <w:highlight w:val="none"/>
          <w:lang w:eastAsia="zh-CN"/>
        </w:rPr>
        <w:t>监测</w:t>
      </w:r>
      <w:r>
        <w:rPr>
          <w:rFonts w:hint="default" w:ascii="Times New Roman" w:hAnsi="Times New Roman" w:cs="Times New Roman"/>
          <w:b/>
          <w:bCs/>
          <w:color w:val="auto"/>
          <w:sz w:val="24"/>
          <w:szCs w:val="24"/>
          <w:highlight w:val="none"/>
        </w:rPr>
        <w:t>报告</w:t>
      </w:r>
    </w:p>
    <w:p w14:paraId="152C6490">
      <w:pPr>
        <w:pStyle w:val="2"/>
        <w:ind w:left="0" w:leftChars="0" w:firstLine="0" w:firstLineChars="0"/>
        <w:jc w:val="both"/>
        <w:rPr>
          <w:rFonts w:hint="default" w:ascii="Times New Roman" w:hAnsi="Times New Roman" w:cs="Times New Roman"/>
          <w:b/>
          <w:bCs/>
          <w:color w:val="auto"/>
          <w:sz w:val="24"/>
          <w:szCs w:val="24"/>
          <w:highlight w:val="none"/>
        </w:rPr>
      </w:pPr>
      <w:r>
        <w:rPr>
          <w:color w:val="auto"/>
          <w:highlight w:val="none"/>
        </w:rPr>
        <w:drawing>
          <wp:inline distT="0" distB="0" distL="114300" distR="114300">
            <wp:extent cx="5812155" cy="7710805"/>
            <wp:effectExtent l="0" t="0" r="17145" b="4445"/>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pic:cNvPicPr>
                      <a:picLocks noChangeAspect="1"/>
                    </pic:cNvPicPr>
                  </pic:nvPicPr>
                  <pic:blipFill>
                    <a:blip r:embed="rId28"/>
                    <a:stretch>
                      <a:fillRect/>
                    </a:stretch>
                  </pic:blipFill>
                  <pic:spPr>
                    <a:xfrm>
                      <a:off x="0" y="0"/>
                      <a:ext cx="5812155" cy="7710805"/>
                    </a:xfrm>
                    <a:prstGeom prst="rect">
                      <a:avLst/>
                    </a:prstGeom>
                    <a:noFill/>
                    <a:ln w="9525">
                      <a:noFill/>
                    </a:ln>
                  </pic:spPr>
                </pic:pic>
              </a:graphicData>
            </a:graphic>
          </wp:inline>
        </w:drawing>
      </w:r>
    </w:p>
    <w:p w14:paraId="6C8EBFFA">
      <w:pPr>
        <w:pStyle w:val="31"/>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eastAsia="zh-CN"/>
        </w:rPr>
        <w:t>附件</w:t>
      </w:r>
      <w:r>
        <w:rPr>
          <w:rFonts w:hint="eastAsia" w:ascii="宋体" w:hAnsi="宋体" w:eastAsia="宋体" w:cs="宋体"/>
          <w:b/>
          <w:bCs/>
          <w:color w:val="auto"/>
          <w:highlight w:val="none"/>
          <w:lang w:val="en-US" w:eastAsia="zh-CN"/>
        </w:rPr>
        <w:t>2不动产权证</w:t>
      </w:r>
    </w:p>
    <w:p w14:paraId="1089B314">
      <w:pPr>
        <w:pStyle w:val="31"/>
        <w:jc w:val="center"/>
        <w:rPr>
          <w:rFonts w:hint="eastAsia" w:ascii="宋体" w:hAnsi="宋体" w:eastAsia="宋体" w:cs="宋体"/>
          <w:b/>
          <w:bCs/>
          <w:color w:val="auto"/>
          <w:highlight w:val="none"/>
          <w:lang w:val="en-US" w:eastAsia="zh-CN"/>
        </w:rPr>
      </w:pPr>
    </w:p>
    <w:p w14:paraId="56639E08">
      <w:pPr>
        <w:pStyle w:val="31"/>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drawing>
          <wp:inline distT="0" distB="0" distL="114300" distR="114300">
            <wp:extent cx="8009890" cy="5227955"/>
            <wp:effectExtent l="0" t="0" r="10795" b="10160"/>
            <wp:docPr id="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
                    <pic:cNvPicPr>
                      <a:picLocks noChangeAspect="1"/>
                    </pic:cNvPicPr>
                  </pic:nvPicPr>
                  <pic:blipFill>
                    <a:blip r:embed="rId29"/>
                    <a:stretch>
                      <a:fillRect/>
                    </a:stretch>
                  </pic:blipFill>
                  <pic:spPr>
                    <a:xfrm rot="16200000">
                      <a:off x="0" y="0"/>
                      <a:ext cx="8009890" cy="5227955"/>
                    </a:xfrm>
                    <a:prstGeom prst="rect">
                      <a:avLst/>
                    </a:prstGeom>
                    <a:noFill/>
                    <a:ln w="9525">
                      <a:noFill/>
                    </a:ln>
                  </pic:spPr>
                </pic:pic>
              </a:graphicData>
            </a:graphic>
          </wp:inline>
        </w:drawing>
      </w:r>
    </w:p>
    <w:p w14:paraId="43BE4E45">
      <w:pPr>
        <w:pStyle w:val="31"/>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eastAsia="zh-CN"/>
        </w:rPr>
        <w:t>附件</w:t>
      </w:r>
      <w:r>
        <w:rPr>
          <w:rFonts w:hint="eastAsia" w:ascii="宋体" w:hAnsi="宋体" w:eastAsia="宋体" w:cs="宋体"/>
          <w:b/>
          <w:bCs/>
          <w:color w:val="auto"/>
          <w:highlight w:val="none"/>
          <w:lang w:val="en-US" w:eastAsia="zh-CN"/>
        </w:rPr>
        <w:t>3营业执照</w:t>
      </w:r>
    </w:p>
    <w:p w14:paraId="1197BF2E">
      <w:pPr>
        <w:ind w:firstLine="0" w:firstLineChars="0"/>
        <w:jc w:val="center"/>
        <w:rPr>
          <w:rFonts w:hint="eastAsia"/>
          <w:b/>
          <w:bCs/>
          <w:color w:val="auto"/>
          <w:highlight w:val="none"/>
          <w:lang w:val="en-US" w:eastAsia="zh-CN"/>
        </w:rPr>
      </w:pPr>
      <w:r>
        <w:rPr>
          <w:rFonts w:hint="default" w:ascii="Times New Roman" w:hAnsi="Times New Roman" w:eastAsia="宋体" w:cs="Times New Roman"/>
          <w:b/>
          <w:bCs/>
          <w:color w:val="auto"/>
          <w:highlight w:val="none"/>
        </w:rPr>
        <w:t>附件</w:t>
      </w:r>
      <w:r>
        <w:rPr>
          <w:rFonts w:hint="eastAsia" w:cs="Times New Roman"/>
          <w:b/>
          <w:bCs/>
          <w:color w:val="auto"/>
          <w:highlight w:val="none"/>
          <w:lang w:val="en-US" w:eastAsia="zh-CN"/>
        </w:rPr>
        <w:t>4</w:t>
      </w:r>
      <w:r>
        <w:rPr>
          <w:rFonts w:hint="default" w:ascii="Times New Roman" w:hAnsi="Times New Roman" w:eastAsia="宋体" w:cs="Times New Roman"/>
          <w:b/>
          <w:bCs/>
          <w:color w:val="auto"/>
          <w:highlight w:val="none"/>
        </w:rPr>
        <w:t>建设项目大气环境</w:t>
      </w:r>
      <w:r>
        <w:rPr>
          <w:rFonts w:hint="eastAsia" w:ascii="Times New Roman" w:hAnsi="Times New Roman" w:eastAsia="宋体" w:cs="Times New Roman"/>
          <w:b/>
          <w:bCs/>
          <w:color w:val="auto"/>
          <w:highlight w:val="none"/>
          <w:lang w:eastAsia="zh-CN"/>
        </w:rPr>
        <w:t>影响评价</w:t>
      </w:r>
      <w:r>
        <w:rPr>
          <w:rFonts w:hint="default" w:ascii="Times New Roman" w:hAnsi="Times New Roman" w:eastAsia="宋体" w:cs="Times New Roman"/>
          <w:b/>
          <w:bCs/>
          <w:color w:val="auto"/>
          <w:highlight w:val="none"/>
        </w:rPr>
        <w:t>自查表</w:t>
      </w:r>
    </w:p>
    <w:tbl>
      <w:tblPr>
        <w:tblStyle w:val="24"/>
        <w:tblW w:w="928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58"/>
        <w:gridCol w:w="1714"/>
        <w:gridCol w:w="810"/>
        <w:gridCol w:w="135"/>
        <w:gridCol w:w="656"/>
        <w:gridCol w:w="34"/>
        <w:gridCol w:w="75"/>
        <w:gridCol w:w="72"/>
        <w:gridCol w:w="153"/>
        <w:gridCol w:w="252"/>
        <w:gridCol w:w="150"/>
        <w:gridCol w:w="288"/>
        <w:gridCol w:w="300"/>
        <w:gridCol w:w="150"/>
        <w:gridCol w:w="206"/>
        <w:gridCol w:w="121"/>
        <w:gridCol w:w="378"/>
        <w:gridCol w:w="319"/>
        <w:gridCol w:w="881"/>
        <w:gridCol w:w="86"/>
        <w:gridCol w:w="196"/>
        <w:gridCol w:w="66"/>
        <w:gridCol w:w="552"/>
        <w:gridCol w:w="736"/>
      </w:tblGrid>
      <w:tr w14:paraId="67F41D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2" w:hRule="atLeast"/>
          <w:jc w:val="center"/>
        </w:trPr>
        <w:tc>
          <w:tcPr>
            <w:tcW w:w="2672" w:type="dxa"/>
            <w:gridSpan w:val="2"/>
            <w:tcBorders>
              <w:right w:val="single" w:color="000000" w:sz="6" w:space="0"/>
            </w:tcBorders>
            <w:noWrap w:val="0"/>
            <w:vAlign w:val="center"/>
          </w:tcPr>
          <w:p w14:paraId="67074636">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工作内容</w:t>
            </w:r>
          </w:p>
        </w:tc>
        <w:tc>
          <w:tcPr>
            <w:tcW w:w="6616" w:type="dxa"/>
            <w:gridSpan w:val="22"/>
            <w:tcBorders>
              <w:left w:val="single" w:color="000000" w:sz="6" w:space="0"/>
            </w:tcBorders>
            <w:noWrap w:val="0"/>
            <w:vAlign w:val="center"/>
          </w:tcPr>
          <w:p w14:paraId="19C5B6D9">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自查项目</w:t>
            </w:r>
          </w:p>
        </w:tc>
      </w:tr>
      <w:tr w14:paraId="09FAAF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1" w:hRule="atLeast"/>
          <w:jc w:val="center"/>
        </w:trPr>
        <w:tc>
          <w:tcPr>
            <w:tcW w:w="958" w:type="dxa"/>
            <w:vMerge w:val="restart"/>
            <w:tcBorders>
              <w:bottom w:val="single" w:color="000000" w:sz="6" w:space="0"/>
              <w:right w:val="single" w:color="000000" w:sz="6" w:space="0"/>
            </w:tcBorders>
            <w:noWrap w:val="0"/>
            <w:vAlign w:val="center"/>
          </w:tcPr>
          <w:p w14:paraId="587D52E0">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评价等级与范围</w:t>
            </w:r>
          </w:p>
        </w:tc>
        <w:tc>
          <w:tcPr>
            <w:tcW w:w="1714" w:type="dxa"/>
            <w:tcBorders>
              <w:left w:val="single" w:color="000000" w:sz="6" w:space="0"/>
              <w:right w:val="single" w:color="000000" w:sz="6" w:space="0"/>
            </w:tcBorders>
            <w:noWrap w:val="0"/>
            <w:vAlign w:val="center"/>
          </w:tcPr>
          <w:p w14:paraId="3D1AAD7E">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评价等级</w:t>
            </w:r>
          </w:p>
        </w:tc>
        <w:tc>
          <w:tcPr>
            <w:tcW w:w="2337" w:type="dxa"/>
            <w:gridSpan w:val="9"/>
            <w:tcBorders>
              <w:left w:val="single" w:color="000000" w:sz="6" w:space="0"/>
              <w:right w:val="single" w:color="auto" w:sz="4" w:space="0"/>
            </w:tcBorders>
            <w:noWrap w:val="0"/>
            <w:vAlign w:val="center"/>
          </w:tcPr>
          <w:p w14:paraId="4650E56B">
            <w:pPr>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一级</w:t>
            </w:r>
            <w:r>
              <w:rPr>
                <w:rFonts w:hint="eastAsia" w:ascii="Times New Roman" w:hAnsi="Times New Roman" w:eastAsia="宋体" w:cs="Times New Roman"/>
                <w:color w:val="auto"/>
                <w:sz w:val="21"/>
                <w:szCs w:val="21"/>
                <w:highlight w:val="none"/>
                <w:lang w:eastAsia="zh-CN"/>
              </w:rPr>
              <w:t>□</w:t>
            </w:r>
          </w:p>
        </w:tc>
        <w:tc>
          <w:tcPr>
            <w:tcW w:w="1762" w:type="dxa"/>
            <w:gridSpan w:val="7"/>
            <w:tcBorders>
              <w:left w:val="single" w:color="auto" w:sz="4" w:space="0"/>
              <w:right w:val="single" w:color="000000" w:sz="6" w:space="0"/>
            </w:tcBorders>
            <w:noWrap w:val="0"/>
            <w:vAlign w:val="center"/>
          </w:tcPr>
          <w:p w14:paraId="6F92D00D">
            <w:pPr>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二级</w:t>
            </w:r>
            <w:r>
              <w:rPr>
                <w:rFonts w:hint="eastAsia" w:ascii="Times New Roman" w:hAnsi="Times New Roman" w:eastAsia="宋体" w:cs="Times New Roman"/>
                <w:color w:val="auto"/>
                <w:sz w:val="21"/>
                <w:szCs w:val="21"/>
                <w:highlight w:val="none"/>
                <w:lang w:eastAsia="zh-CN"/>
              </w:rPr>
              <w:t>☑</w:t>
            </w:r>
          </w:p>
        </w:tc>
        <w:tc>
          <w:tcPr>
            <w:tcW w:w="2517" w:type="dxa"/>
            <w:gridSpan w:val="6"/>
            <w:tcBorders>
              <w:left w:val="single" w:color="000000" w:sz="6" w:space="0"/>
            </w:tcBorders>
            <w:noWrap w:val="0"/>
            <w:vAlign w:val="center"/>
          </w:tcPr>
          <w:p w14:paraId="4C45AFDE">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三级□</w:t>
            </w:r>
          </w:p>
        </w:tc>
      </w:tr>
      <w:tr w14:paraId="30EEF1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4" w:hRule="atLeast"/>
          <w:jc w:val="center"/>
        </w:trPr>
        <w:tc>
          <w:tcPr>
            <w:tcW w:w="958" w:type="dxa"/>
            <w:vMerge w:val="continue"/>
            <w:tcBorders>
              <w:top w:val="nil"/>
              <w:bottom w:val="single" w:color="auto" w:sz="4" w:space="0"/>
              <w:right w:val="single" w:color="000000" w:sz="6" w:space="0"/>
            </w:tcBorders>
            <w:noWrap w:val="0"/>
            <w:vAlign w:val="center"/>
          </w:tcPr>
          <w:p w14:paraId="1BAEF28A">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714" w:type="dxa"/>
            <w:tcBorders>
              <w:left w:val="single" w:color="000000" w:sz="6" w:space="0"/>
              <w:bottom w:val="single" w:color="auto" w:sz="4" w:space="0"/>
              <w:right w:val="single" w:color="000000" w:sz="6" w:space="0"/>
            </w:tcBorders>
            <w:noWrap w:val="0"/>
            <w:vAlign w:val="center"/>
          </w:tcPr>
          <w:p w14:paraId="38D302E0">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评价范围</w:t>
            </w:r>
          </w:p>
        </w:tc>
        <w:tc>
          <w:tcPr>
            <w:tcW w:w="2337" w:type="dxa"/>
            <w:gridSpan w:val="9"/>
            <w:tcBorders>
              <w:left w:val="single" w:color="000000" w:sz="6" w:space="0"/>
              <w:bottom w:val="single" w:color="000000" w:sz="6" w:space="0"/>
              <w:right w:val="single" w:color="auto" w:sz="4" w:space="0"/>
            </w:tcBorders>
            <w:noWrap w:val="0"/>
            <w:vAlign w:val="center"/>
          </w:tcPr>
          <w:p w14:paraId="58A3EED1">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边长=50km□</w:t>
            </w:r>
          </w:p>
        </w:tc>
        <w:tc>
          <w:tcPr>
            <w:tcW w:w="1762" w:type="dxa"/>
            <w:gridSpan w:val="7"/>
            <w:tcBorders>
              <w:left w:val="single" w:color="auto" w:sz="4" w:space="0"/>
              <w:bottom w:val="single" w:color="000000" w:sz="6" w:space="0"/>
              <w:right w:val="single" w:color="000000" w:sz="6" w:space="0"/>
            </w:tcBorders>
            <w:noWrap w:val="0"/>
            <w:vAlign w:val="center"/>
          </w:tcPr>
          <w:p w14:paraId="35D10353">
            <w:pPr>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边长5~50km</w:t>
            </w:r>
            <w:r>
              <w:rPr>
                <w:rFonts w:hint="eastAsia" w:ascii="Times New Roman" w:hAnsi="Times New Roman" w:eastAsia="宋体" w:cs="Times New Roman"/>
                <w:color w:val="auto"/>
                <w:sz w:val="21"/>
                <w:szCs w:val="21"/>
                <w:highlight w:val="none"/>
                <w:lang w:eastAsia="zh-CN"/>
              </w:rPr>
              <w:t>□</w:t>
            </w:r>
          </w:p>
        </w:tc>
        <w:tc>
          <w:tcPr>
            <w:tcW w:w="2517" w:type="dxa"/>
            <w:gridSpan w:val="6"/>
            <w:tcBorders>
              <w:left w:val="single" w:color="000000" w:sz="6" w:space="0"/>
              <w:bottom w:val="single" w:color="000000" w:sz="4" w:space="0"/>
            </w:tcBorders>
            <w:noWrap w:val="0"/>
            <w:vAlign w:val="center"/>
          </w:tcPr>
          <w:p w14:paraId="735312EF">
            <w:pPr>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边长=5km</w:t>
            </w:r>
            <w:r>
              <w:rPr>
                <w:rFonts w:hint="eastAsia" w:ascii="Times New Roman" w:hAnsi="Times New Roman" w:eastAsia="宋体" w:cs="Times New Roman"/>
                <w:color w:val="auto"/>
                <w:sz w:val="21"/>
                <w:szCs w:val="21"/>
                <w:highlight w:val="none"/>
                <w:lang w:eastAsia="zh-CN"/>
              </w:rPr>
              <w:t>☑</w:t>
            </w:r>
          </w:p>
        </w:tc>
      </w:tr>
      <w:tr w14:paraId="3792E5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2" w:hRule="atLeast"/>
          <w:jc w:val="center"/>
        </w:trPr>
        <w:tc>
          <w:tcPr>
            <w:tcW w:w="958" w:type="dxa"/>
            <w:vMerge w:val="restart"/>
            <w:tcBorders>
              <w:top w:val="single" w:color="auto" w:sz="4" w:space="0"/>
              <w:right w:val="single" w:color="000000" w:sz="6" w:space="0"/>
            </w:tcBorders>
            <w:noWrap w:val="0"/>
            <w:vAlign w:val="center"/>
          </w:tcPr>
          <w:p w14:paraId="68FC06A5">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评价因子</w:t>
            </w:r>
          </w:p>
        </w:tc>
        <w:tc>
          <w:tcPr>
            <w:tcW w:w="1714" w:type="dxa"/>
            <w:tcBorders>
              <w:top w:val="single" w:color="auto" w:sz="4" w:space="0"/>
              <w:left w:val="single" w:color="000000" w:sz="6" w:space="0"/>
              <w:bottom w:val="single" w:color="000000" w:sz="6" w:space="0"/>
              <w:right w:val="single" w:color="000000" w:sz="6" w:space="0"/>
            </w:tcBorders>
            <w:noWrap w:val="0"/>
            <w:vAlign w:val="center"/>
          </w:tcPr>
          <w:p w14:paraId="47B7C607">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r>
              <w:rPr>
                <w:rFonts w:hint="default" w:ascii="Times New Roman" w:hAnsi="Times New Roman" w:eastAsia="宋体" w:cs="Times New Roman"/>
                <w:color w:val="auto"/>
                <w:sz w:val="21"/>
                <w:szCs w:val="21"/>
                <w:highlight w:val="none"/>
              </w:rPr>
              <w:t>+NOx排放量</w:t>
            </w:r>
          </w:p>
        </w:tc>
        <w:tc>
          <w:tcPr>
            <w:tcW w:w="1710" w:type="dxa"/>
            <w:gridSpan w:val="5"/>
            <w:tcBorders>
              <w:top w:val="single" w:color="000000" w:sz="6" w:space="0"/>
              <w:left w:val="single" w:color="000000" w:sz="6" w:space="0"/>
              <w:bottom w:val="single" w:color="000000" w:sz="6" w:space="0"/>
              <w:right w:val="single" w:color="auto" w:sz="4" w:space="0"/>
            </w:tcBorders>
            <w:noWrap w:val="0"/>
            <w:vAlign w:val="center"/>
          </w:tcPr>
          <w:p w14:paraId="7CED214F">
            <w:pPr>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≥2000t/a</w:t>
            </w:r>
            <w:r>
              <w:rPr>
                <w:rFonts w:hint="eastAsia" w:ascii="Times New Roman" w:hAnsi="Times New Roman" w:eastAsia="宋体" w:cs="Times New Roman"/>
                <w:color w:val="auto"/>
                <w:sz w:val="21"/>
                <w:szCs w:val="21"/>
                <w:highlight w:val="none"/>
                <w:lang w:eastAsia="zh-CN"/>
              </w:rPr>
              <w:t>□</w:t>
            </w:r>
          </w:p>
        </w:tc>
        <w:tc>
          <w:tcPr>
            <w:tcW w:w="2389" w:type="dxa"/>
            <w:gridSpan w:val="11"/>
            <w:tcBorders>
              <w:top w:val="single" w:color="000000" w:sz="6" w:space="0"/>
              <w:left w:val="single" w:color="auto" w:sz="4" w:space="0"/>
              <w:bottom w:val="single" w:color="000000" w:sz="6" w:space="0"/>
              <w:right w:val="single" w:color="000000" w:sz="6" w:space="0"/>
            </w:tcBorders>
            <w:noWrap w:val="0"/>
            <w:vAlign w:val="center"/>
          </w:tcPr>
          <w:p w14:paraId="32B7F960">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500~2000t/a□</w:t>
            </w:r>
          </w:p>
        </w:tc>
        <w:tc>
          <w:tcPr>
            <w:tcW w:w="2517" w:type="dxa"/>
            <w:gridSpan w:val="6"/>
            <w:tcBorders>
              <w:top w:val="single" w:color="000000" w:sz="4" w:space="0"/>
              <w:left w:val="single" w:color="000000" w:sz="6" w:space="0"/>
              <w:bottom w:val="single" w:color="000000" w:sz="6" w:space="0"/>
            </w:tcBorders>
            <w:noWrap w:val="0"/>
            <w:vAlign w:val="center"/>
          </w:tcPr>
          <w:p w14:paraId="7D1FA453">
            <w:pPr>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&lt;500t/a</w:t>
            </w:r>
            <w:r>
              <w:rPr>
                <w:rFonts w:hint="eastAsia" w:ascii="Times New Roman" w:hAnsi="Times New Roman" w:eastAsia="宋体" w:cs="Times New Roman"/>
                <w:color w:val="auto"/>
                <w:sz w:val="21"/>
                <w:szCs w:val="21"/>
                <w:highlight w:val="none"/>
                <w:lang w:eastAsia="zh-CN"/>
              </w:rPr>
              <w:t>☑</w:t>
            </w:r>
          </w:p>
        </w:tc>
      </w:tr>
      <w:tr w14:paraId="65E0ED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2" w:hRule="atLeast"/>
          <w:jc w:val="center"/>
        </w:trPr>
        <w:tc>
          <w:tcPr>
            <w:tcW w:w="958" w:type="dxa"/>
            <w:vMerge w:val="continue"/>
            <w:tcBorders>
              <w:top w:val="nil"/>
              <w:bottom w:val="single" w:color="auto" w:sz="4" w:space="0"/>
              <w:right w:val="single" w:color="000000" w:sz="6" w:space="0"/>
            </w:tcBorders>
            <w:noWrap w:val="0"/>
            <w:vAlign w:val="center"/>
          </w:tcPr>
          <w:p w14:paraId="1390F83B">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714" w:type="dxa"/>
            <w:tcBorders>
              <w:top w:val="single" w:color="000000" w:sz="6" w:space="0"/>
              <w:left w:val="single" w:color="000000" w:sz="6" w:space="0"/>
              <w:bottom w:val="single" w:color="auto" w:sz="4" w:space="0"/>
              <w:right w:val="single" w:color="000000" w:sz="6" w:space="0"/>
            </w:tcBorders>
            <w:noWrap w:val="0"/>
            <w:vAlign w:val="center"/>
          </w:tcPr>
          <w:p w14:paraId="01FD63FD">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评价因子</w:t>
            </w:r>
          </w:p>
        </w:tc>
        <w:tc>
          <w:tcPr>
            <w:tcW w:w="3402" w:type="dxa"/>
            <w:gridSpan w:val="14"/>
            <w:tcBorders>
              <w:top w:val="single" w:color="000000" w:sz="6" w:space="0"/>
              <w:left w:val="single" w:color="000000" w:sz="6" w:space="0"/>
              <w:bottom w:val="single" w:color="auto" w:sz="4" w:space="0"/>
              <w:right w:val="single" w:color="000000" w:sz="6" w:space="0"/>
            </w:tcBorders>
            <w:noWrap w:val="0"/>
            <w:vAlign w:val="center"/>
          </w:tcPr>
          <w:p w14:paraId="57DAC07D">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基本污染物（</w:t>
            </w:r>
            <w:r>
              <w:rPr>
                <w:rFonts w:hint="eastAsia"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w:t>
            </w:r>
          </w:p>
          <w:p w14:paraId="779C8DED">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其它污染物（</w:t>
            </w:r>
            <w:r>
              <w:rPr>
                <w:rFonts w:hint="eastAsia" w:ascii="Times New Roman" w:hAnsi="Times New Roman" w:eastAsia="宋体" w:cs="Times New Roman"/>
                <w:color w:val="auto"/>
                <w:sz w:val="21"/>
                <w:szCs w:val="21"/>
                <w:highlight w:val="none"/>
                <w:lang w:val="en-US" w:eastAsia="zh-CN"/>
              </w:rPr>
              <w:t>NH</w:t>
            </w:r>
            <w:r>
              <w:rPr>
                <w:rFonts w:hint="eastAsia" w:ascii="Times New Roman" w:hAnsi="Times New Roman" w:eastAsia="宋体" w:cs="Times New Roman"/>
                <w:color w:val="auto"/>
                <w:sz w:val="21"/>
                <w:szCs w:val="21"/>
                <w:highlight w:val="none"/>
                <w:vertAlign w:val="subscript"/>
                <w:lang w:val="en-US" w:eastAsia="zh-CN"/>
              </w:rPr>
              <w:t>3</w:t>
            </w:r>
            <w:r>
              <w:rPr>
                <w:rFonts w:hint="eastAsia" w:ascii="Times New Roman" w:hAnsi="Times New Roman" w:eastAsia="宋体" w:cs="Times New Roman"/>
                <w:color w:val="auto"/>
                <w:sz w:val="21"/>
                <w:szCs w:val="21"/>
                <w:highlight w:val="none"/>
                <w:lang w:val="en-US" w:eastAsia="zh-CN"/>
              </w:rPr>
              <w:t>、H</w:t>
            </w:r>
            <w:r>
              <w:rPr>
                <w:rFonts w:hint="eastAsia" w:ascii="Times New Roman" w:hAnsi="Times New Roman" w:eastAsia="宋体" w:cs="Times New Roman"/>
                <w:color w:val="auto"/>
                <w:sz w:val="21"/>
                <w:szCs w:val="21"/>
                <w:highlight w:val="none"/>
                <w:vertAlign w:val="subscript"/>
                <w:lang w:val="en-US" w:eastAsia="zh-CN"/>
              </w:rPr>
              <w:t>2</w:t>
            </w:r>
            <w:r>
              <w:rPr>
                <w:rFonts w:hint="eastAsia" w:ascii="Times New Roman" w:hAnsi="Times New Roman" w:eastAsia="宋体" w:cs="Times New Roman"/>
                <w:color w:val="auto"/>
                <w:sz w:val="21"/>
                <w:szCs w:val="21"/>
                <w:highlight w:val="none"/>
                <w:lang w:val="en-US" w:eastAsia="zh-CN"/>
              </w:rPr>
              <w:t>S、臭气浓度</w:t>
            </w:r>
            <w:r>
              <w:rPr>
                <w:rFonts w:hint="default" w:ascii="Times New Roman" w:hAnsi="Times New Roman" w:eastAsia="宋体" w:cs="Times New Roman"/>
                <w:color w:val="auto"/>
                <w:sz w:val="21"/>
                <w:szCs w:val="21"/>
                <w:highlight w:val="none"/>
              </w:rPr>
              <w:t>）</w:t>
            </w:r>
          </w:p>
        </w:tc>
        <w:tc>
          <w:tcPr>
            <w:tcW w:w="3214" w:type="dxa"/>
            <w:gridSpan w:val="8"/>
            <w:tcBorders>
              <w:top w:val="single" w:color="000000" w:sz="6" w:space="0"/>
              <w:left w:val="single" w:color="000000" w:sz="6" w:space="0"/>
              <w:bottom w:val="single" w:color="000000" w:sz="6" w:space="0"/>
            </w:tcBorders>
            <w:noWrap w:val="0"/>
            <w:vAlign w:val="center"/>
          </w:tcPr>
          <w:p w14:paraId="0DB48EBE">
            <w:pPr>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包括二次PM2.5</w:t>
            </w:r>
            <w:r>
              <w:rPr>
                <w:rFonts w:hint="eastAsia" w:ascii="Times New Roman" w:hAnsi="Times New Roman" w:eastAsia="宋体" w:cs="Times New Roman"/>
                <w:color w:val="auto"/>
                <w:sz w:val="21"/>
                <w:szCs w:val="21"/>
                <w:highlight w:val="none"/>
                <w:lang w:eastAsia="zh-CN"/>
              </w:rPr>
              <w:t>□</w:t>
            </w:r>
          </w:p>
          <w:p w14:paraId="369CB9C2">
            <w:pPr>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不包括二次PM2.5</w:t>
            </w:r>
            <w:r>
              <w:rPr>
                <w:rFonts w:hint="eastAsia" w:ascii="Times New Roman" w:hAnsi="Times New Roman" w:eastAsia="宋体" w:cs="Times New Roman"/>
                <w:color w:val="auto"/>
                <w:sz w:val="21"/>
                <w:szCs w:val="21"/>
                <w:highlight w:val="none"/>
                <w:lang w:eastAsia="zh-CN"/>
              </w:rPr>
              <w:t>☑</w:t>
            </w:r>
          </w:p>
        </w:tc>
      </w:tr>
      <w:tr w14:paraId="12FDCD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2" w:hRule="atLeast"/>
          <w:jc w:val="center"/>
        </w:trPr>
        <w:tc>
          <w:tcPr>
            <w:tcW w:w="958" w:type="dxa"/>
            <w:tcBorders>
              <w:top w:val="single" w:color="auto" w:sz="4" w:space="0"/>
              <w:bottom w:val="single" w:color="auto" w:sz="4" w:space="0"/>
              <w:right w:val="single" w:color="000000" w:sz="6" w:space="0"/>
            </w:tcBorders>
            <w:noWrap w:val="0"/>
            <w:vAlign w:val="center"/>
          </w:tcPr>
          <w:p w14:paraId="4D0CE227">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评价标准</w:t>
            </w:r>
          </w:p>
        </w:tc>
        <w:tc>
          <w:tcPr>
            <w:tcW w:w="1714" w:type="dxa"/>
            <w:tcBorders>
              <w:top w:val="single" w:color="auto" w:sz="4" w:space="0"/>
              <w:left w:val="single" w:color="000000" w:sz="6" w:space="0"/>
              <w:bottom w:val="single" w:color="auto" w:sz="4" w:space="0"/>
              <w:right w:val="single" w:color="000000" w:sz="6" w:space="0"/>
            </w:tcBorders>
            <w:noWrap w:val="0"/>
            <w:vAlign w:val="center"/>
          </w:tcPr>
          <w:p w14:paraId="49778460">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评价标准</w:t>
            </w:r>
          </w:p>
        </w:tc>
        <w:tc>
          <w:tcPr>
            <w:tcW w:w="1782" w:type="dxa"/>
            <w:gridSpan w:val="6"/>
            <w:tcBorders>
              <w:top w:val="single" w:color="auto" w:sz="4" w:space="0"/>
              <w:left w:val="single" w:color="000000" w:sz="6" w:space="0"/>
              <w:bottom w:val="single" w:color="auto" w:sz="4" w:space="0"/>
              <w:right w:val="single" w:color="auto" w:sz="4" w:space="0"/>
            </w:tcBorders>
            <w:noWrap w:val="0"/>
            <w:vAlign w:val="center"/>
          </w:tcPr>
          <w:p w14:paraId="46476F63">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国家标准☑</w:t>
            </w:r>
          </w:p>
        </w:tc>
        <w:tc>
          <w:tcPr>
            <w:tcW w:w="1620" w:type="dxa"/>
            <w:gridSpan w:val="8"/>
            <w:tcBorders>
              <w:top w:val="single" w:color="auto" w:sz="4" w:space="0"/>
              <w:left w:val="single" w:color="auto" w:sz="4" w:space="0"/>
              <w:bottom w:val="single" w:color="auto" w:sz="4" w:space="0"/>
              <w:right w:val="single" w:color="000000" w:sz="6" w:space="0"/>
            </w:tcBorders>
            <w:noWrap w:val="0"/>
            <w:vAlign w:val="center"/>
          </w:tcPr>
          <w:p w14:paraId="44342B30">
            <w:pPr>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地方标准</w:t>
            </w:r>
            <w:r>
              <w:rPr>
                <w:rFonts w:hint="eastAsia" w:cs="Times New Roman"/>
                <w:color w:val="auto"/>
                <w:sz w:val="21"/>
                <w:szCs w:val="21"/>
                <w:highlight w:val="none"/>
                <w:lang w:eastAsia="zh-CN"/>
              </w:rPr>
              <w:t>□</w:t>
            </w:r>
          </w:p>
        </w:tc>
        <w:tc>
          <w:tcPr>
            <w:tcW w:w="1578" w:type="dxa"/>
            <w:gridSpan w:val="3"/>
            <w:tcBorders>
              <w:top w:val="single" w:color="000000" w:sz="6" w:space="0"/>
              <w:left w:val="single" w:color="000000" w:sz="6" w:space="0"/>
              <w:bottom w:val="single" w:color="auto" w:sz="4" w:space="0"/>
              <w:right w:val="single" w:color="auto" w:sz="4" w:space="0"/>
            </w:tcBorders>
            <w:noWrap w:val="0"/>
            <w:vAlign w:val="center"/>
          </w:tcPr>
          <w:p w14:paraId="6D1B53FF">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附录D☑</w:t>
            </w:r>
          </w:p>
        </w:tc>
        <w:tc>
          <w:tcPr>
            <w:tcW w:w="1636" w:type="dxa"/>
            <w:gridSpan w:val="5"/>
            <w:tcBorders>
              <w:top w:val="single" w:color="000000" w:sz="6" w:space="0"/>
              <w:left w:val="single" w:color="auto" w:sz="4" w:space="0"/>
              <w:bottom w:val="single" w:color="auto" w:sz="4" w:space="0"/>
            </w:tcBorders>
            <w:noWrap w:val="0"/>
            <w:vAlign w:val="center"/>
          </w:tcPr>
          <w:p w14:paraId="3DFD71F4">
            <w:pPr>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其他标准</w:t>
            </w:r>
            <w:r>
              <w:rPr>
                <w:rFonts w:hint="eastAsia" w:cs="Times New Roman"/>
                <w:color w:val="auto"/>
                <w:sz w:val="21"/>
                <w:szCs w:val="21"/>
                <w:highlight w:val="none"/>
                <w:lang w:eastAsia="zh-CN"/>
              </w:rPr>
              <w:t>□</w:t>
            </w:r>
          </w:p>
        </w:tc>
      </w:tr>
      <w:tr w14:paraId="220444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1" w:hRule="atLeast"/>
          <w:jc w:val="center"/>
        </w:trPr>
        <w:tc>
          <w:tcPr>
            <w:tcW w:w="958" w:type="dxa"/>
            <w:vMerge w:val="restart"/>
            <w:tcBorders>
              <w:top w:val="single" w:color="auto" w:sz="4" w:space="0"/>
              <w:right w:val="single" w:color="000000" w:sz="6" w:space="0"/>
            </w:tcBorders>
            <w:noWrap w:val="0"/>
            <w:vAlign w:val="center"/>
          </w:tcPr>
          <w:p w14:paraId="0B1E1A08">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现状评价</w:t>
            </w:r>
          </w:p>
        </w:tc>
        <w:tc>
          <w:tcPr>
            <w:tcW w:w="1714" w:type="dxa"/>
            <w:tcBorders>
              <w:top w:val="single" w:color="auto" w:sz="4" w:space="0"/>
              <w:left w:val="single" w:color="000000" w:sz="6" w:space="0"/>
              <w:bottom w:val="single" w:color="000000" w:sz="6" w:space="0"/>
              <w:right w:val="single" w:color="000000" w:sz="6" w:space="0"/>
            </w:tcBorders>
            <w:noWrap w:val="0"/>
            <w:vAlign w:val="center"/>
          </w:tcPr>
          <w:p w14:paraId="6641F86A">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环境功能区</w:t>
            </w:r>
          </w:p>
        </w:tc>
        <w:tc>
          <w:tcPr>
            <w:tcW w:w="2187" w:type="dxa"/>
            <w:gridSpan w:val="8"/>
            <w:tcBorders>
              <w:top w:val="single" w:color="000000" w:sz="6" w:space="0"/>
              <w:left w:val="single" w:color="000000" w:sz="6" w:space="0"/>
              <w:bottom w:val="single" w:color="000000" w:sz="6" w:space="0"/>
              <w:right w:val="single" w:color="auto" w:sz="4" w:space="0"/>
            </w:tcBorders>
            <w:noWrap w:val="0"/>
            <w:vAlign w:val="center"/>
          </w:tcPr>
          <w:p w14:paraId="51E4E197">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一类区□</w:t>
            </w:r>
          </w:p>
        </w:tc>
        <w:tc>
          <w:tcPr>
            <w:tcW w:w="1912" w:type="dxa"/>
            <w:gridSpan w:val="8"/>
            <w:tcBorders>
              <w:top w:val="single" w:color="000000" w:sz="6" w:space="0"/>
              <w:left w:val="single" w:color="auto" w:sz="4" w:space="0"/>
              <w:bottom w:val="single" w:color="auto" w:sz="4" w:space="0"/>
              <w:right w:val="single" w:color="000000" w:sz="6" w:space="0"/>
            </w:tcBorders>
            <w:noWrap w:val="0"/>
            <w:vAlign w:val="center"/>
          </w:tcPr>
          <w:p w14:paraId="36D6F9C5">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二类区☑</w:t>
            </w:r>
          </w:p>
        </w:tc>
        <w:tc>
          <w:tcPr>
            <w:tcW w:w="2517" w:type="dxa"/>
            <w:gridSpan w:val="6"/>
            <w:tcBorders>
              <w:top w:val="single" w:color="000000" w:sz="6" w:space="0"/>
              <w:left w:val="single" w:color="000000" w:sz="6" w:space="0"/>
              <w:bottom w:val="single" w:color="000000" w:sz="6" w:space="0"/>
            </w:tcBorders>
            <w:noWrap w:val="0"/>
            <w:vAlign w:val="center"/>
          </w:tcPr>
          <w:p w14:paraId="38E32AAD">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一类和二类区□</w:t>
            </w:r>
          </w:p>
        </w:tc>
      </w:tr>
      <w:tr w14:paraId="688D0B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2" w:hRule="atLeast"/>
          <w:jc w:val="center"/>
        </w:trPr>
        <w:tc>
          <w:tcPr>
            <w:tcW w:w="958" w:type="dxa"/>
            <w:vMerge w:val="continue"/>
            <w:tcBorders>
              <w:top w:val="nil"/>
              <w:bottom w:val="single" w:color="000000" w:sz="6" w:space="0"/>
              <w:right w:val="single" w:color="000000" w:sz="6" w:space="0"/>
            </w:tcBorders>
            <w:noWrap w:val="0"/>
            <w:vAlign w:val="center"/>
          </w:tcPr>
          <w:p w14:paraId="3ABAF805">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714" w:type="dxa"/>
            <w:tcBorders>
              <w:top w:val="single" w:color="000000" w:sz="6" w:space="0"/>
              <w:left w:val="single" w:color="000000" w:sz="6" w:space="0"/>
              <w:bottom w:val="single" w:color="000000" w:sz="6" w:space="0"/>
              <w:right w:val="single" w:color="000000" w:sz="6" w:space="0"/>
            </w:tcBorders>
            <w:noWrap w:val="0"/>
            <w:vAlign w:val="center"/>
          </w:tcPr>
          <w:p w14:paraId="052CC0D2">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评价基准年</w:t>
            </w:r>
          </w:p>
        </w:tc>
        <w:tc>
          <w:tcPr>
            <w:tcW w:w="6616" w:type="dxa"/>
            <w:gridSpan w:val="22"/>
            <w:tcBorders>
              <w:top w:val="single" w:color="000000" w:sz="6" w:space="0"/>
              <w:left w:val="single" w:color="000000" w:sz="6" w:space="0"/>
              <w:bottom w:val="single" w:color="000000" w:sz="6" w:space="0"/>
            </w:tcBorders>
            <w:noWrap w:val="0"/>
            <w:vAlign w:val="center"/>
          </w:tcPr>
          <w:p w14:paraId="1DB5F97F">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w:t>
            </w:r>
            <w:r>
              <w:rPr>
                <w:rFonts w:hint="eastAsia" w:ascii="Times New Roman" w:hAnsi="Times New Roman" w:eastAsia="宋体" w:cs="Times New Roman"/>
                <w:color w:val="auto"/>
                <w:sz w:val="21"/>
                <w:szCs w:val="21"/>
                <w:highlight w:val="none"/>
                <w:lang w:val="en-US" w:eastAsia="zh-CN"/>
              </w:rPr>
              <w:t>19</w:t>
            </w:r>
            <w:r>
              <w:rPr>
                <w:rFonts w:hint="default" w:ascii="Times New Roman" w:hAnsi="Times New Roman" w:eastAsia="宋体" w:cs="Times New Roman"/>
                <w:color w:val="auto"/>
                <w:sz w:val="21"/>
                <w:szCs w:val="21"/>
                <w:highlight w:val="none"/>
              </w:rPr>
              <w:t>）年</w:t>
            </w:r>
          </w:p>
        </w:tc>
      </w:tr>
      <w:tr w14:paraId="41EE15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jc w:val="center"/>
        </w:trPr>
        <w:tc>
          <w:tcPr>
            <w:tcW w:w="958" w:type="dxa"/>
            <w:vMerge w:val="continue"/>
            <w:tcBorders>
              <w:top w:val="nil"/>
              <w:bottom w:val="single" w:color="000000" w:sz="6" w:space="0"/>
              <w:right w:val="single" w:color="000000" w:sz="6" w:space="0"/>
            </w:tcBorders>
            <w:noWrap w:val="0"/>
            <w:vAlign w:val="center"/>
          </w:tcPr>
          <w:p w14:paraId="35139472">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714" w:type="dxa"/>
            <w:tcBorders>
              <w:top w:val="single" w:color="000000" w:sz="6" w:space="0"/>
              <w:left w:val="single" w:color="000000" w:sz="6" w:space="0"/>
              <w:bottom w:val="single" w:color="000000" w:sz="6" w:space="0"/>
              <w:right w:val="single" w:color="000000" w:sz="6" w:space="0"/>
            </w:tcBorders>
            <w:noWrap w:val="0"/>
            <w:vAlign w:val="center"/>
          </w:tcPr>
          <w:p w14:paraId="00AB5831">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环境空气质量现状调查数据来源</w:t>
            </w:r>
          </w:p>
        </w:tc>
        <w:tc>
          <w:tcPr>
            <w:tcW w:w="2187" w:type="dxa"/>
            <w:gridSpan w:val="8"/>
            <w:tcBorders>
              <w:top w:val="single" w:color="000000" w:sz="6" w:space="0"/>
              <w:left w:val="single" w:color="000000" w:sz="6" w:space="0"/>
              <w:bottom w:val="single" w:color="000000" w:sz="6" w:space="0"/>
              <w:right w:val="single" w:color="auto" w:sz="4" w:space="0"/>
            </w:tcBorders>
            <w:noWrap w:val="0"/>
            <w:vAlign w:val="center"/>
          </w:tcPr>
          <w:p w14:paraId="3A59BF27">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长期例行监测数据□</w:t>
            </w:r>
          </w:p>
        </w:tc>
        <w:tc>
          <w:tcPr>
            <w:tcW w:w="1912" w:type="dxa"/>
            <w:gridSpan w:val="8"/>
            <w:tcBorders>
              <w:top w:val="single" w:color="000000" w:sz="6" w:space="0"/>
              <w:left w:val="single" w:color="auto" w:sz="4" w:space="0"/>
              <w:bottom w:val="single" w:color="000000" w:sz="6" w:space="0"/>
              <w:right w:val="single" w:color="000000" w:sz="6" w:space="0"/>
            </w:tcBorders>
            <w:noWrap w:val="0"/>
            <w:vAlign w:val="center"/>
          </w:tcPr>
          <w:p w14:paraId="6F9243BA">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主管部门发布的数据☑</w:t>
            </w:r>
          </w:p>
        </w:tc>
        <w:tc>
          <w:tcPr>
            <w:tcW w:w="2517" w:type="dxa"/>
            <w:gridSpan w:val="6"/>
            <w:tcBorders>
              <w:top w:val="single" w:color="000000" w:sz="6" w:space="0"/>
              <w:left w:val="single" w:color="000000" w:sz="6" w:space="0"/>
              <w:bottom w:val="single" w:color="000000" w:sz="6" w:space="0"/>
            </w:tcBorders>
            <w:noWrap w:val="0"/>
            <w:vAlign w:val="center"/>
          </w:tcPr>
          <w:p w14:paraId="5FD5FE70">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现状补充监测☑</w:t>
            </w:r>
          </w:p>
        </w:tc>
      </w:tr>
      <w:tr w14:paraId="5E90D4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2" w:hRule="atLeast"/>
          <w:jc w:val="center"/>
        </w:trPr>
        <w:tc>
          <w:tcPr>
            <w:tcW w:w="958" w:type="dxa"/>
            <w:vMerge w:val="continue"/>
            <w:tcBorders>
              <w:top w:val="nil"/>
              <w:bottom w:val="single" w:color="000000" w:sz="6" w:space="0"/>
              <w:right w:val="single" w:color="auto" w:sz="4" w:space="0"/>
            </w:tcBorders>
            <w:noWrap w:val="0"/>
            <w:vAlign w:val="center"/>
          </w:tcPr>
          <w:p w14:paraId="5AA9AE08">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714" w:type="dxa"/>
            <w:tcBorders>
              <w:top w:val="single" w:color="000000" w:sz="6" w:space="0"/>
              <w:left w:val="single" w:color="auto" w:sz="4" w:space="0"/>
              <w:bottom w:val="single" w:color="000000" w:sz="6" w:space="0"/>
              <w:right w:val="single" w:color="000000" w:sz="6" w:space="0"/>
            </w:tcBorders>
            <w:noWrap w:val="0"/>
            <w:vAlign w:val="center"/>
          </w:tcPr>
          <w:p w14:paraId="6B900ACE">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现状评价</w:t>
            </w:r>
          </w:p>
        </w:tc>
        <w:tc>
          <w:tcPr>
            <w:tcW w:w="3780" w:type="dxa"/>
            <w:gridSpan w:val="15"/>
            <w:tcBorders>
              <w:top w:val="single" w:color="000000" w:sz="6" w:space="0"/>
              <w:left w:val="single" w:color="000000" w:sz="6" w:space="0"/>
              <w:bottom w:val="single" w:color="000000" w:sz="6" w:space="0"/>
              <w:right w:val="single" w:color="auto" w:sz="4" w:space="0"/>
            </w:tcBorders>
            <w:noWrap w:val="0"/>
            <w:vAlign w:val="center"/>
          </w:tcPr>
          <w:p w14:paraId="5557BDF5">
            <w:pPr>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达标区</w:t>
            </w:r>
            <w:r>
              <w:rPr>
                <w:rFonts w:hint="eastAsia" w:cs="Times New Roman"/>
                <w:color w:val="auto"/>
                <w:sz w:val="21"/>
                <w:szCs w:val="21"/>
                <w:highlight w:val="none"/>
                <w:lang w:eastAsia="zh-CN"/>
              </w:rPr>
              <w:t>☑</w:t>
            </w:r>
          </w:p>
        </w:tc>
        <w:tc>
          <w:tcPr>
            <w:tcW w:w="2836" w:type="dxa"/>
            <w:gridSpan w:val="7"/>
            <w:tcBorders>
              <w:top w:val="single" w:color="000000" w:sz="6" w:space="0"/>
              <w:left w:val="single" w:color="auto" w:sz="4" w:space="0"/>
              <w:bottom w:val="single" w:color="000000" w:sz="6" w:space="0"/>
            </w:tcBorders>
            <w:noWrap w:val="0"/>
            <w:vAlign w:val="center"/>
          </w:tcPr>
          <w:p w14:paraId="20CC1422">
            <w:pPr>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不达标区</w:t>
            </w:r>
            <w:r>
              <w:rPr>
                <w:rFonts w:hint="eastAsia" w:cs="Times New Roman"/>
                <w:color w:val="auto"/>
                <w:sz w:val="21"/>
                <w:szCs w:val="21"/>
                <w:highlight w:val="none"/>
                <w:lang w:eastAsia="zh-CN"/>
              </w:rPr>
              <w:t>□</w:t>
            </w:r>
          </w:p>
        </w:tc>
      </w:tr>
      <w:tr w14:paraId="5A28AE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2" w:hRule="atLeast"/>
          <w:jc w:val="center"/>
        </w:trPr>
        <w:tc>
          <w:tcPr>
            <w:tcW w:w="958" w:type="dxa"/>
            <w:tcBorders>
              <w:top w:val="single" w:color="000000" w:sz="6" w:space="0"/>
              <w:bottom w:val="single" w:color="000000" w:sz="6" w:space="0"/>
              <w:right w:val="single" w:color="auto" w:sz="4" w:space="0"/>
            </w:tcBorders>
            <w:noWrap w:val="0"/>
            <w:vAlign w:val="center"/>
          </w:tcPr>
          <w:p w14:paraId="05B25985">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污染源调查</w:t>
            </w:r>
          </w:p>
        </w:tc>
        <w:tc>
          <w:tcPr>
            <w:tcW w:w="1714" w:type="dxa"/>
            <w:tcBorders>
              <w:top w:val="single" w:color="000000" w:sz="6" w:space="0"/>
              <w:left w:val="single" w:color="auto" w:sz="4" w:space="0"/>
              <w:bottom w:val="single" w:color="000000" w:sz="6" w:space="0"/>
              <w:right w:val="single" w:color="000000" w:sz="6" w:space="0"/>
            </w:tcBorders>
            <w:noWrap w:val="0"/>
            <w:vAlign w:val="center"/>
          </w:tcPr>
          <w:p w14:paraId="641BBC63">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调查内容</w:t>
            </w:r>
          </w:p>
        </w:tc>
        <w:tc>
          <w:tcPr>
            <w:tcW w:w="1935" w:type="dxa"/>
            <w:gridSpan w:val="7"/>
            <w:tcBorders>
              <w:top w:val="single" w:color="000000" w:sz="6" w:space="0"/>
              <w:left w:val="single" w:color="000000" w:sz="6" w:space="0"/>
              <w:bottom w:val="single" w:color="000000" w:sz="6" w:space="0"/>
              <w:right w:val="single" w:color="auto" w:sz="4" w:space="0"/>
            </w:tcBorders>
            <w:noWrap w:val="0"/>
            <w:vAlign w:val="center"/>
          </w:tcPr>
          <w:p w14:paraId="188A739D">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本项目正常排放源☑</w:t>
            </w:r>
          </w:p>
        </w:tc>
        <w:tc>
          <w:tcPr>
            <w:tcW w:w="1845" w:type="dxa"/>
            <w:gridSpan w:val="8"/>
            <w:tcBorders>
              <w:top w:val="single" w:color="000000" w:sz="6" w:space="0"/>
              <w:left w:val="single" w:color="auto" w:sz="4" w:space="0"/>
              <w:bottom w:val="single" w:color="000000" w:sz="6" w:space="0"/>
              <w:right w:val="single" w:color="auto" w:sz="4" w:space="0"/>
            </w:tcBorders>
            <w:noWrap w:val="0"/>
            <w:vAlign w:val="center"/>
          </w:tcPr>
          <w:p w14:paraId="3702F222">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拟替代的污染源☑</w:t>
            </w:r>
          </w:p>
        </w:tc>
        <w:tc>
          <w:tcPr>
            <w:tcW w:w="1482" w:type="dxa"/>
            <w:gridSpan w:val="4"/>
            <w:tcBorders>
              <w:top w:val="single" w:color="000000" w:sz="6" w:space="0"/>
              <w:left w:val="single" w:color="auto" w:sz="4" w:space="0"/>
              <w:bottom w:val="single" w:color="000000" w:sz="6" w:space="0"/>
              <w:right w:val="single" w:color="auto" w:sz="4" w:space="0"/>
            </w:tcBorders>
            <w:noWrap w:val="0"/>
            <w:vAlign w:val="center"/>
          </w:tcPr>
          <w:p w14:paraId="51372834">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其他在建、拟建项目污染源□</w:t>
            </w:r>
          </w:p>
        </w:tc>
        <w:tc>
          <w:tcPr>
            <w:tcW w:w="1354" w:type="dxa"/>
            <w:gridSpan w:val="3"/>
            <w:tcBorders>
              <w:top w:val="single" w:color="000000" w:sz="6" w:space="0"/>
              <w:left w:val="single" w:color="auto" w:sz="4" w:space="0"/>
              <w:bottom w:val="single" w:color="000000" w:sz="6" w:space="0"/>
            </w:tcBorders>
            <w:noWrap w:val="0"/>
            <w:vAlign w:val="center"/>
          </w:tcPr>
          <w:p w14:paraId="020F14C4">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区域污染源□</w:t>
            </w:r>
          </w:p>
        </w:tc>
      </w:tr>
      <w:tr w14:paraId="28D6BE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1" w:hRule="atLeast"/>
          <w:jc w:val="center"/>
        </w:trPr>
        <w:tc>
          <w:tcPr>
            <w:tcW w:w="958" w:type="dxa"/>
            <w:vMerge w:val="restart"/>
            <w:tcBorders>
              <w:top w:val="single" w:color="000000" w:sz="6" w:space="0"/>
              <w:bottom w:val="single" w:color="000000" w:sz="6" w:space="0"/>
              <w:right w:val="single" w:color="000000" w:sz="6" w:space="0"/>
            </w:tcBorders>
            <w:noWrap w:val="0"/>
            <w:vAlign w:val="center"/>
          </w:tcPr>
          <w:p w14:paraId="13C87FDE">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大气环境影响预测与评价</w:t>
            </w:r>
          </w:p>
        </w:tc>
        <w:tc>
          <w:tcPr>
            <w:tcW w:w="1714" w:type="dxa"/>
            <w:tcBorders>
              <w:top w:val="single" w:color="000000" w:sz="6" w:space="0"/>
              <w:left w:val="single" w:color="000000" w:sz="6" w:space="0"/>
              <w:bottom w:val="single" w:color="000000" w:sz="6" w:space="0"/>
              <w:right w:val="single" w:color="000000" w:sz="6" w:space="0"/>
            </w:tcBorders>
            <w:noWrap w:val="0"/>
            <w:vAlign w:val="center"/>
          </w:tcPr>
          <w:p w14:paraId="4EDAC741">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预测模型</w:t>
            </w:r>
          </w:p>
        </w:tc>
        <w:tc>
          <w:tcPr>
            <w:tcW w:w="945" w:type="dxa"/>
            <w:gridSpan w:val="2"/>
            <w:tcBorders>
              <w:top w:val="single" w:color="000000" w:sz="6" w:space="0"/>
              <w:left w:val="single" w:color="000000" w:sz="6" w:space="0"/>
              <w:bottom w:val="single" w:color="000000" w:sz="6" w:space="0"/>
              <w:right w:val="single" w:color="auto" w:sz="4" w:space="0"/>
            </w:tcBorders>
            <w:noWrap w:val="0"/>
            <w:vAlign w:val="center"/>
          </w:tcPr>
          <w:p w14:paraId="17002CFD">
            <w:pPr>
              <w:adjustRightInd w:val="0"/>
              <w:snapToGrid w:val="0"/>
              <w:spacing w:line="240" w:lineRule="auto"/>
              <w:ind w:firstLine="0" w:firstLineChars="0"/>
              <w:jc w:val="center"/>
              <w:rPr>
                <w:rFonts w:hint="default" w:ascii="Times New Roman" w:hAnsi="Times New Roman" w:eastAsia="宋体" w:cs="Times New Roman"/>
                <w:color w:val="auto"/>
                <w:spacing w:val="-20"/>
                <w:sz w:val="21"/>
                <w:szCs w:val="21"/>
                <w:highlight w:val="none"/>
              </w:rPr>
            </w:pPr>
            <w:r>
              <w:rPr>
                <w:rFonts w:hint="default" w:ascii="Times New Roman" w:hAnsi="Times New Roman" w:eastAsia="宋体" w:cs="Times New Roman"/>
                <w:color w:val="auto"/>
                <w:spacing w:val="-20"/>
                <w:sz w:val="21"/>
                <w:szCs w:val="21"/>
                <w:highlight w:val="none"/>
              </w:rPr>
              <w:t>AERMOD□</w:t>
            </w:r>
          </w:p>
        </w:tc>
        <w:tc>
          <w:tcPr>
            <w:tcW w:w="765" w:type="dxa"/>
            <w:gridSpan w:val="3"/>
            <w:tcBorders>
              <w:top w:val="single" w:color="000000" w:sz="6" w:space="0"/>
              <w:left w:val="single" w:color="auto" w:sz="4" w:space="0"/>
              <w:bottom w:val="single" w:color="000000" w:sz="6" w:space="0"/>
              <w:right w:val="single" w:color="auto" w:sz="4" w:space="0"/>
            </w:tcBorders>
            <w:noWrap w:val="0"/>
            <w:vAlign w:val="center"/>
          </w:tcPr>
          <w:p w14:paraId="1F249799">
            <w:pPr>
              <w:adjustRightInd w:val="0"/>
              <w:snapToGrid w:val="0"/>
              <w:spacing w:line="240" w:lineRule="auto"/>
              <w:ind w:firstLine="0" w:firstLineChars="0"/>
              <w:jc w:val="center"/>
              <w:rPr>
                <w:rFonts w:hint="default" w:ascii="Times New Roman" w:hAnsi="Times New Roman" w:eastAsia="宋体" w:cs="Times New Roman"/>
                <w:color w:val="auto"/>
                <w:spacing w:val="-20"/>
                <w:sz w:val="21"/>
                <w:szCs w:val="21"/>
                <w:highlight w:val="none"/>
              </w:rPr>
            </w:pPr>
            <w:r>
              <w:rPr>
                <w:rFonts w:hint="default" w:ascii="Times New Roman" w:hAnsi="Times New Roman" w:eastAsia="宋体" w:cs="Times New Roman"/>
                <w:color w:val="auto"/>
                <w:spacing w:val="-20"/>
                <w:sz w:val="21"/>
                <w:szCs w:val="21"/>
                <w:highlight w:val="none"/>
              </w:rPr>
              <w:t>ADMS</w:t>
            </w:r>
          </w:p>
          <w:p w14:paraId="7F75A474">
            <w:pPr>
              <w:adjustRightInd w:val="0"/>
              <w:snapToGrid w:val="0"/>
              <w:spacing w:line="240" w:lineRule="auto"/>
              <w:ind w:firstLine="0" w:firstLineChars="0"/>
              <w:jc w:val="center"/>
              <w:rPr>
                <w:rFonts w:hint="eastAsia" w:ascii="Times New Roman" w:hAnsi="Times New Roman" w:eastAsia="宋体" w:cs="Times New Roman"/>
                <w:color w:val="auto"/>
                <w:spacing w:val="-20"/>
                <w:sz w:val="21"/>
                <w:szCs w:val="21"/>
                <w:highlight w:val="none"/>
                <w:lang w:eastAsia="zh-CN"/>
              </w:rPr>
            </w:pPr>
            <w:r>
              <w:rPr>
                <w:rFonts w:hint="eastAsia" w:ascii="Times New Roman" w:hAnsi="Times New Roman" w:eastAsia="宋体" w:cs="Times New Roman"/>
                <w:color w:val="auto"/>
                <w:spacing w:val="-20"/>
                <w:sz w:val="21"/>
                <w:szCs w:val="21"/>
                <w:highlight w:val="none"/>
                <w:lang w:eastAsia="zh-CN"/>
              </w:rPr>
              <w:t>□</w:t>
            </w:r>
          </w:p>
        </w:tc>
        <w:tc>
          <w:tcPr>
            <w:tcW w:w="1215" w:type="dxa"/>
            <w:gridSpan w:val="6"/>
            <w:tcBorders>
              <w:top w:val="single" w:color="000000" w:sz="6" w:space="0"/>
              <w:left w:val="single" w:color="auto" w:sz="4" w:space="0"/>
              <w:bottom w:val="single" w:color="000000" w:sz="6" w:space="0"/>
              <w:right w:val="single" w:color="auto" w:sz="4" w:space="0"/>
            </w:tcBorders>
            <w:noWrap w:val="0"/>
            <w:vAlign w:val="center"/>
          </w:tcPr>
          <w:p w14:paraId="1B8C78BA">
            <w:pPr>
              <w:adjustRightInd w:val="0"/>
              <w:snapToGrid w:val="0"/>
              <w:spacing w:line="240" w:lineRule="auto"/>
              <w:ind w:firstLine="0" w:firstLineChars="0"/>
              <w:jc w:val="center"/>
              <w:rPr>
                <w:rFonts w:hint="default" w:ascii="Times New Roman" w:hAnsi="Times New Roman" w:eastAsia="宋体" w:cs="Times New Roman"/>
                <w:color w:val="auto"/>
                <w:spacing w:val="-20"/>
                <w:sz w:val="21"/>
                <w:szCs w:val="21"/>
                <w:highlight w:val="none"/>
              </w:rPr>
            </w:pPr>
            <w:r>
              <w:rPr>
                <w:rFonts w:hint="default" w:ascii="Times New Roman" w:hAnsi="Times New Roman" w:eastAsia="宋体" w:cs="Times New Roman"/>
                <w:color w:val="auto"/>
                <w:spacing w:val="-20"/>
                <w:sz w:val="21"/>
                <w:szCs w:val="21"/>
                <w:highlight w:val="none"/>
              </w:rPr>
              <w:t>AUSTAL2000</w:t>
            </w:r>
          </w:p>
          <w:p w14:paraId="182359AF">
            <w:pPr>
              <w:adjustRightInd w:val="0"/>
              <w:snapToGrid w:val="0"/>
              <w:spacing w:line="240" w:lineRule="auto"/>
              <w:ind w:firstLine="0" w:firstLineChars="0"/>
              <w:jc w:val="center"/>
              <w:rPr>
                <w:rFonts w:hint="default" w:ascii="Times New Roman" w:hAnsi="Times New Roman" w:eastAsia="宋体" w:cs="Times New Roman"/>
                <w:color w:val="auto"/>
                <w:spacing w:val="-20"/>
                <w:sz w:val="21"/>
                <w:szCs w:val="21"/>
                <w:highlight w:val="none"/>
              </w:rPr>
            </w:pPr>
            <w:r>
              <w:rPr>
                <w:rFonts w:hint="default" w:ascii="Times New Roman" w:hAnsi="Times New Roman" w:eastAsia="宋体" w:cs="Times New Roman"/>
                <w:color w:val="auto"/>
                <w:spacing w:val="-20"/>
                <w:sz w:val="21"/>
                <w:szCs w:val="21"/>
                <w:highlight w:val="none"/>
              </w:rPr>
              <w:t>□</w:t>
            </w:r>
          </w:p>
        </w:tc>
        <w:tc>
          <w:tcPr>
            <w:tcW w:w="1174" w:type="dxa"/>
            <w:gridSpan w:val="5"/>
            <w:tcBorders>
              <w:top w:val="single" w:color="000000" w:sz="6" w:space="0"/>
              <w:left w:val="single" w:color="auto" w:sz="4" w:space="0"/>
              <w:bottom w:val="single" w:color="000000" w:sz="6" w:space="0"/>
              <w:right w:val="single" w:color="000000" w:sz="6" w:space="0"/>
            </w:tcBorders>
            <w:noWrap w:val="0"/>
            <w:vAlign w:val="center"/>
          </w:tcPr>
          <w:p w14:paraId="2DB8ACC1">
            <w:pPr>
              <w:adjustRightInd w:val="0"/>
              <w:snapToGrid w:val="0"/>
              <w:spacing w:line="240" w:lineRule="auto"/>
              <w:ind w:firstLine="0" w:firstLineChars="0"/>
              <w:jc w:val="center"/>
              <w:rPr>
                <w:rFonts w:hint="default" w:ascii="Times New Roman" w:hAnsi="Times New Roman" w:eastAsia="宋体" w:cs="Times New Roman"/>
                <w:color w:val="auto"/>
                <w:spacing w:val="-20"/>
                <w:sz w:val="21"/>
                <w:szCs w:val="21"/>
                <w:highlight w:val="none"/>
              </w:rPr>
            </w:pPr>
            <w:r>
              <w:rPr>
                <w:rFonts w:hint="default" w:ascii="Times New Roman" w:hAnsi="Times New Roman" w:eastAsia="宋体" w:cs="Times New Roman"/>
                <w:color w:val="auto"/>
                <w:spacing w:val="-20"/>
                <w:sz w:val="21"/>
                <w:szCs w:val="21"/>
                <w:highlight w:val="none"/>
              </w:rPr>
              <w:t>EDMS/AEDT</w:t>
            </w:r>
          </w:p>
          <w:p w14:paraId="65E882F5">
            <w:pPr>
              <w:adjustRightInd w:val="0"/>
              <w:snapToGrid w:val="0"/>
              <w:spacing w:line="240" w:lineRule="auto"/>
              <w:ind w:firstLine="0" w:firstLineChars="0"/>
              <w:jc w:val="center"/>
              <w:rPr>
                <w:rFonts w:hint="default" w:ascii="Times New Roman" w:hAnsi="Times New Roman" w:eastAsia="宋体" w:cs="Times New Roman"/>
                <w:color w:val="auto"/>
                <w:spacing w:val="-20"/>
                <w:sz w:val="21"/>
                <w:szCs w:val="21"/>
                <w:highlight w:val="none"/>
              </w:rPr>
            </w:pPr>
            <w:r>
              <w:rPr>
                <w:rFonts w:hint="default" w:ascii="Times New Roman" w:hAnsi="Times New Roman" w:eastAsia="宋体" w:cs="Times New Roman"/>
                <w:color w:val="auto"/>
                <w:spacing w:val="-20"/>
                <w:sz w:val="21"/>
                <w:szCs w:val="21"/>
                <w:highlight w:val="none"/>
              </w:rPr>
              <w:t>□</w:t>
            </w:r>
          </w:p>
        </w:tc>
        <w:tc>
          <w:tcPr>
            <w:tcW w:w="881" w:type="dxa"/>
            <w:tcBorders>
              <w:top w:val="single" w:color="000000" w:sz="6" w:space="0"/>
              <w:left w:val="single" w:color="000000" w:sz="6" w:space="0"/>
              <w:bottom w:val="single" w:color="000000" w:sz="6" w:space="0"/>
              <w:right w:val="single" w:color="auto" w:sz="4" w:space="0"/>
            </w:tcBorders>
            <w:noWrap w:val="0"/>
            <w:vAlign w:val="center"/>
          </w:tcPr>
          <w:p w14:paraId="28444DF1">
            <w:pPr>
              <w:adjustRightInd w:val="0"/>
              <w:snapToGrid w:val="0"/>
              <w:spacing w:line="240" w:lineRule="auto"/>
              <w:ind w:firstLine="0" w:firstLineChars="0"/>
              <w:jc w:val="center"/>
              <w:rPr>
                <w:rFonts w:hint="default" w:ascii="Times New Roman" w:hAnsi="Times New Roman" w:eastAsia="宋体" w:cs="Times New Roman"/>
                <w:color w:val="auto"/>
                <w:spacing w:val="-20"/>
                <w:sz w:val="21"/>
                <w:szCs w:val="21"/>
                <w:highlight w:val="none"/>
              </w:rPr>
            </w:pPr>
            <w:r>
              <w:rPr>
                <w:rFonts w:hint="default" w:ascii="Times New Roman" w:hAnsi="Times New Roman" w:eastAsia="宋体" w:cs="Times New Roman"/>
                <w:color w:val="auto"/>
                <w:spacing w:val="-20"/>
                <w:sz w:val="21"/>
                <w:szCs w:val="21"/>
                <w:highlight w:val="none"/>
              </w:rPr>
              <w:t>CALPUFF</w:t>
            </w:r>
          </w:p>
          <w:p w14:paraId="7D93BA35">
            <w:pPr>
              <w:adjustRightInd w:val="0"/>
              <w:snapToGrid w:val="0"/>
              <w:spacing w:line="240" w:lineRule="auto"/>
              <w:ind w:firstLine="0" w:firstLineChars="0"/>
              <w:jc w:val="center"/>
              <w:rPr>
                <w:rFonts w:hint="default" w:ascii="Times New Roman" w:hAnsi="Times New Roman" w:eastAsia="宋体" w:cs="Times New Roman"/>
                <w:color w:val="auto"/>
                <w:spacing w:val="-20"/>
                <w:sz w:val="21"/>
                <w:szCs w:val="21"/>
                <w:highlight w:val="none"/>
              </w:rPr>
            </w:pPr>
            <w:r>
              <w:rPr>
                <w:rFonts w:hint="default" w:ascii="Times New Roman" w:hAnsi="Times New Roman" w:eastAsia="宋体" w:cs="Times New Roman"/>
                <w:color w:val="auto"/>
                <w:spacing w:val="-20"/>
                <w:sz w:val="21"/>
                <w:szCs w:val="21"/>
                <w:highlight w:val="none"/>
              </w:rPr>
              <w:t>□</w:t>
            </w:r>
          </w:p>
        </w:tc>
        <w:tc>
          <w:tcPr>
            <w:tcW w:w="900" w:type="dxa"/>
            <w:gridSpan w:val="4"/>
            <w:tcBorders>
              <w:top w:val="single" w:color="000000" w:sz="6" w:space="0"/>
              <w:left w:val="single" w:color="auto" w:sz="4" w:space="0"/>
              <w:bottom w:val="single" w:color="000000" w:sz="6" w:space="0"/>
              <w:right w:val="single" w:color="auto" w:sz="4" w:space="0"/>
            </w:tcBorders>
            <w:noWrap w:val="0"/>
            <w:vAlign w:val="center"/>
          </w:tcPr>
          <w:p w14:paraId="655484EE">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网络模型</w:t>
            </w:r>
          </w:p>
          <w:p w14:paraId="49958661">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736" w:type="dxa"/>
            <w:tcBorders>
              <w:top w:val="single" w:color="000000" w:sz="6" w:space="0"/>
              <w:left w:val="single" w:color="auto" w:sz="4" w:space="0"/>
              <w:bottom w:val="single" w:color="000000" w:sz="6" w:space="0"/>
            </w:tcBorders>
            <w:noWrap w:val="0"/>
            <w:vAlign w:val="center"/>
          </w:tcPr>
          <w:p w14:paraId="3D1767A6">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其他</w:t>
            </w:r>
          </w:p>
          <w:p w14:paraId="09E310AD">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6F4F1C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2" w:hRule="atLeast"/>
          <w:jc w:val="center"/>
        </w:trPr>
        <w:tc>
          <w:tcPr>
            <w:tcW w:w="958" w:type="dxa"/>
            <w:vMerge w:val="continue"/>
            <w:tcBorders>
              <w:top w:val="nil"/>
              <w:bottom w:val="single" w:color="000000" w:sz="6" w:space="0"/>
              <w:right w:val="single" w:color="000000" w:sz="6" w:space="0"/>
            </w:tcBorders>
            <w:noWrap w:val="0"/>
            <w:vAlign w:val="center"/>
          </w:tcPr>
          <w:p w14:paraId="5152E052">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714" w:type="dxa"/>
            <w:tcBorders>
              <w:top w:val="single" w:color="000000" w:sz="6" w:space="0"/>
              <w:left w:val="single" w:color="000000" w:sz="6" w:space="0"/>
              <w:bottom w:val="single" w:color="000000" w:sz="6" w:space="0"/>
              <w:right w:val="single" w:color="000000" w:sz="6" w:space="0"/>
            </w:tcBorders>
            <w:noWrap w:val="0"/>
            <w:vAlign w:val="center"/>
          </w:tcPr>
          <w:p w14:paraId="18146896">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预测范围</w:t>
            </w:r>
          </w:p>
        </w:tc>
        <w:tc>
          <w:tcPr>
            <w:tcW w:w="1710" w:type="dxa"/>
            <w:gridSpan w:val="5"/>
            <w:tcBorders>
              <w:top w:val="single" w:color="000000" w:sz="6" w:space="0"/>
              <w:left w:val="single" w:color="000000" w:sz="6" w:space="0"/>
              <w:bottom w:val="single" w:color="000000" w:sz="6" w:space="0"/>
              <w:right w:val="single" w:color="auto" w:sz="4" w:space="0"/>
            </w:tcBorders>
            <w:noWrap w:val="0"/>
            <w:vAlign w:val="center"/>
          </w:tcPr>
          <w:p w14:paraId="6B86F4A3">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边长≥50km□</w:t>
            </w:r>
          </w:p>
        </w:tc>
        <w:tc>
          <w:tcPr>
            <w:tcW w:w="2389" w:type="dxa"/>
            <w:gridSpan w:val="11"/>
            <w:tcBorders>
              <w:top w:val="single" w:color="000000" w:sz="6" w:space="0"/>
              <w:left w:val="single" w:color="auto" w:sz="4" w:space="0"/>
              <w:bottom w:val="single" w:color="000000" w:sz="6" w:space="0"/>
              <w:right w:val="single" w:color="000000" w:sz="6" w:space="0"/>
            </w:tcBorders>
            <w:noWrap w:val="0"/>
            <w:vAlign w:val="center"/>
          </w:tcPr>
          <w:p w14:paraId="2917E9B6">
            <w:pPr>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边长5~50km</w:t>
            </w:r>
            <w:r>
              <w:rPr>
                <w:rFonts w:hint="eastAsia" w:ascii="Times New Roman" w:hAnsi="Times New Roman" w:eastAsia="宋体" w:cs="Times New Roman"/>
                <w:color w:val="auto"/>
                <w:sz w:val="21"/>
                <w:szCs w:val="21"/>
                <w:highlight w:val="none"/>
                <w:lang w:eastAsia="zh-CN"/>
              </w:rPr>
              <w:t>□</w:t>
            </w:r>
          </w:p>
        </w:tc>
        <w:tc>
          <w:tcPr>
            <w:tcW w:w="2517" w:type="dxa"/>
            <w:gridSpan w:val="6"/>
            <w:tcBorders>
              <w:top w:val="single" w:color="000000" w:sz="6" w:space="0"/>
              <w:left w:val="single" w:color="000000" w:sz="6" w:space="0"/>
              <w:bottom w:val="single" w:color="000000" w:sz="6" w:space="0"/>
            </w:tcBorders>
            <w:noWrap w:val="0"/>
            <w:vAlign w:val="center"/>
          </w:tcPr>
          <w:p w14:paraId="09F9F47B">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边长=5km□</w:t>
            </w:r>
          </w:p>
        </w:tc>
      </w:tr>
      <w:tr w14:paraId="1D56A2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9" w:hRule="atLeast"/>
          <w:jc w:val="center"/>
        </w:trPr>
        <w:tc>
          <w:tcPr>
            <w:tcW w:w="958" w:type="dxa"/>
            <w:vMerge w:val="continue"/>
            <w:tcBorders>
              <w:top w:val="nil"/>
              <w:bottom w:val="single" w:color="000000" w:sz="6" w:space="0"/>
              <w:right w:val="single" w:color="000000" w:sz="6" w:space="0"/>
            </w:tcBorders>
            <w:noWrap w:val="0"/>
            <w:vAlign w:val="center"/>
          </w:tcPr>
          <w:p w14:paraId="283380B9">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714" w:type="dxa"/>
            <w:tcBorders>
              <w:top w:val="single" w:color="000000" w:sz="6" w:space="0"/>
              <w:left w:val="single" w:color="000000" w:sz="6" w:space="0"/>
              <w:bottom w:val="single" w:color="auto" w:sz="4" w:space="0"/>
              <w:right w:val="single" w:color="000000" w:sz="6" w:space="0"/>
            </w:tcBorders>
            <w:noWrap w:val="0"/>
            <w:vAlign w:val="center"/>
          </w:tcPr>
          <w:p w14:paraId="05C37F3D">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预测因子</w:t>
            </w:r>
          </w:p>
        </w:tc>
        <w:tc>
          <w:tcPr>
            <w:tcW w:w="3402" w:type="dxa"/>
            <w:gridSpan w:val="14"/>
            <w:tcBorders>
              <w:top w:val="single" w:color="000000" w:sz="6" w:space="0"/>
              <w:left w:val="single" w:color="000000" w:sz="6" w:space="0"/>
              <w:bottom w:val="single" w:color="auto" w:sz="4" w:space="0"/>
              <w:right w:val="single" w:color="auto" w:sz="4" w:space="0"/>
            </w:tcBorders>
            <w:noWrap w:val="0"/>
            <w:vAlign w:val="center"/>
          </w:tcPr>
          <w:p w14:paraId="2B076CB2">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预测因子（</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w:t>
            </w:r>
          </w:p>
        </w:tc>
        <w:tc>
          <w:tcPr>
            <w:tcW w:w="3214" w:type="dxa"/>
            <w:gridSpan w:val="8"/>
            <w:tcBorders>
              <w:top w:val="single" w:color="000000" w:sz="6" w:space="0"/>
              <w:left w:val="single" w:color="auto" w:sz="4" w:space="0"/>
              <w:bottom w:val="single" w:color="auto" w:sz="4" w:space="0"/>
            </w:tcBorders>
            <w:noWrap w:val="0"/>
            <w:vAlign w:val="center"/>
          </w:tcPr>
          <w:p w14:paraId="7B27DBF7">
            <w:pPr>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包括二次PM2.5</w:t>
            </w:r>
            <w:r>
              <w:rPr>
                <w:rFonts w:hint="eastAsia" w:ascii="Times New Roman" w:hAnsi="Times New Roman" w:eastAsia="宋体" w:cs="Times New Roman"/>
                <w:color w:val="auto"/>
                <w:sz w:val="21"/>
                <w:szCs w:val="21"/>
                <w:highlight w:val="none"/>
                <w:lang w:eastAsia="zh-CN"/>
              </w:rPr>
              <w:t>□</w:t>
            </w:r>
          </w:p>
          <w:p w14:paraId="776BCF1F">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不包括二次PM2.5□</w:t>
            </w:r>
          </w:p>
        </w:tc>
      </w:tr>
      <w:tr w14:paraId="66CBBA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2" w:hRule="atLeast"/>
          <w:jc w:val="center"/>
        </w:trPr>
        <w:tc>
          <w:tcPr>
            <w:tcW w:w="958" w:type="dxa"/>
            <w:vMerge w:val="continue"/>
            <w:tcBorders>
              <w:top w:val="nil"/>
              <w:bottom w:val="single" w:color="000000" w:sz="6" w:space="0"/>
              <w:right w:val="single" w:color="000000" w:sz="6" w:space="0"/>
            </w:tcBorders>
            <w:noWrap w:val="0"/>
            <w:vAlign w:val="center"/>
          </w:tcPr>
          <w:p w14:paraId="777CFBEF">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714" w:type="dxa"/>
            <w:tcBorders>
              <w:top w:val="single" w:color="auto" w:sz="4" w:space="0"/>
              <w:left w:val="single" w:color="000000" w:sz="6" w:space="0"/>
              <w:bottom w:val="single" w:color="auto" w:sz="4" w:space="0"/>
              <w:right w:val="single" w:color="000000" w:sz="6" w:space="0"/>
            </w:tcBorders>
            <w:noWrap w:val="0"/>
            <w:vAlign w:val="center"/>
          </w:tcPr>
          <w:p w14:paraId="498D69D4">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正常排放短期浓度贡献值</w:t>
            </w:r>
          </w:p>
        </w:tc>
        <w:tc>
          <w:tcPr>
            <w:tcW w:w="3402" w:type="dxa"/>
            <w:gridSpan w:val="14"/>
            <w:tcBorders>
              <w:top w:val="single" w:color="auto" w:sz="4" w:space="0"/>
              <w:left w:val="single" w:color="000000" w:sz="6" w:space="0"/>
              <w:bottom w:val="single" w:color="auto" w:sz="4" w:space="0"/>
              <w:right w:val="single" w:color="auto" w:sz="4" w:space="0"/>
            </w:tcBorders>
            <w:noWrap w:val="0"/>
            <w:vAlign w:val="center"/>
          </w:tcPr>
          <w:p w14:paraId="138D1C35">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C本项目最大占标率≤100%</w:t>
            </w:r>
            <w:r>
              <w:rPr>
                <w:rFonts w:hint="eastAsia" w:ascii="Times New Roman" w:hAnsi="Times New Roman" w:eastAsia="宋体" w:cs="Times New Roman"/>
                <w:color w:val="auto"/>
                <w:sz w:val="21"/>
                <w:szCs w:val="21"/>
                <w:highlight w:val="none"/>
                <w:lang w:eastAsia="zh-CN"/>
              </w:rPr>
              <w:t>□</w:t>
            </w:r>
          </w:p>
        </w:tc>
        <w:tc>
          <w:tcPr>
            <w:tcW w:w="3214" w:type="dxa"/>
            <w:gridSpan w:val="8"/>
            <w:tcBorders>
              <w:top w:val="single" w:color="auto" w:sz="4" w:space="0"/>
              <w:left w:val="single" w:color="auto" w:sz="4" w:space="0"/>
              <w:bottom w:val="single" w:color="auto" w:sz="4" w:space="0"/>
            </w:tcBorders>
            <w:noWrap w:val="0"/>
            <w:vAlign w:val="center"/>
          </w:tcPr>
          <w:p w14:paraId="37F3E267">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C本项目最大占标率&gt;100%</w:t>
            </w:r>
            <w:r>
              <w:rPr>
                <w:rFonts w:hint="default" w:ascii="Times New Roman" w:hAnsi="Times New Roman" w:eastAsia="宋体" w:cs="Times New Roman"/>
                <w:color w:val="auto"/>
                <w:sz w:val="21"/>
                <w:szCs w:val="21"/>
                <w:highlight w:val="none"/>
                <w:lang w:eastAsia="zh-CN"/>
              </w:rPr>
              <w:t>□</w:t>
            </w:r>
          </w:p>
        </w:tc>
      </w:tr>
      <w:tr w14:paraId="2081C5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 w:hRule="atLeast"/>
          <w:jc w:val="center"/>
        </w:trPr>
        <w:tc>
          <w:tcPr>
            <w:tcW w:w="958" w:type="dxa"/>
            <w:vMerge w:val="continue"/>
            <w:tcBorders>
              <w:top w:val="nil"/>
              <w:bottom w:val="single" w:color="000000" w:sz="6" w:space="0"/>
              <w:right w:val="single" w:color="000000" w:sz="6" w:space="0"/>
            </w:tcBorders>
            <w:noWrap w:val="0"/>
            <w:vAlign w:val="center"/>
          </w:tcPr>
          <w:p w14:paraId="00CE5A91">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714" w:type="dxa"/>
            <w:vMerge w:val="restart"/>
            <w:tcBorders>
              <w:top w:val="single" w:color="auto" w:sz="4" w:space="0"/>
              <w:left w:val="single" w:color="000000" w:sz="6" w:space="0"/>
              <w:right w:val="single" w:color="000000" w:sz="6" w:space="0"/>
            </w:tcBorders>
            <w:noWrap w:val="0"/>
            <w:vAlign w:val="center"/>
          </w:tcPr>
          <w:p w14:paraId="1E869D7B">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正常排放年均浓度贡献值</w:t>
            </w:r>
          </w:p>
        </w:tc>
        <w:tc>
          <w:tcPr>
            <w:tcW w:w="810" w:type="dxa"/>
            <w:tcBorders>
              <w:top w:val="single" w:color="auto" w:sz="4" w:space="0"/>
              <w:left w:val="single" w:color="000000" w:sz="6" w:space="0"/>
              <w:bottom w:val="single" w:color="auto" w:sz="4" w:space="0"/>
              <w:right w:val="single" w:color="auto" w:sz="4" w:space="0"/>
            </w:tcBorders>
            <w:noWrap w:val="0"/>
            <w:vAlign w:val="center"/>
          </w:tcPr>
          <w:p w14:paraId="1E63069E">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一类区</w:t>
            </w:r>
          </w:p>
        </w:tc>
        <w:tc>
          <w:tcPr>
            <w:tcW w:w="2592" w:type="dxa"/>
            <w:gridSpan w:val="13"/>
            <w:tcBorders>
              <w:top w:val="single" w:color="auto" w:sz="4" w:space="0"/>
              <w:left w:val="single" w:color="auto" w:sz="4" w:space="0"/>
              <w:bottom w:val="single" w:color="auto" w:sz="4" w:space="0"/>
              <w:right w:val="single" w:color="auto" w:sz="4" w:space="0"/>
            </w:tcBorders>
            <w:noWrap w:val="0"/>
            <w:vAlign w:val="center"/>
          </w:tcPr>
          <w:p w14:paraId="09778B05">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C本项目最大占标率≤10%□</w:t>
            </w:r>
          </w:p>
        </w:tc>
        <w:tc>
          <w:tcPr>
            <w:tcW w:w="3214" w:type="dxa"/>
            <w:gridSpan w:val="8"/>
            <w:tcBorders>
              <w:top w:val="single" w:color="auto" w:sz="4" w:space="0"/>
              <w:left w:val="single" w:color="auto" w:sz="4" w:space="0"/>
              <w:bottom w:val="single" w:color="auto" w:sz="4" w:space="0"/>
            </w:tcBorders>
            <w:noWrap w:val="0"/>
            <w:vAlign w:val="center"/>
          </w:tcPr>
          <w:p w14:paraId="7646AF80">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C本项目最大占标率&gt;10%□</w:t>
            </w:r>
          </w:p>
        </w:tc>
      </w:tr>
      <w:tr w14:paraId="305B7F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8" w:hRule="atLeast"/>
          <w:jc w:val="center"/>
        </w:trPr>
        <w:tc>
          <w:tcPr>
            <w:tcW w:w="958" w:type="dxa"/>
            <w:vMerge w:val="continue"/>
            <w:tcBorders>
              <w:top w:val="nil"/>
              <w:bottom w:val="single" w:color="000000" w:sz="6" w:space="0"/>
              <w:right w:val="single" w:color="000000" w:sz="6" w:space="0"/>
            </w:tcBorders>
            <w:noWrap w:val="0"/>
            <w:vAlign w:val="center"/>
          </w:tcPr>
          <w:p w14:paraId="07B3FFCC">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714" w:type="dxa"/>
            <w:vMerge w:val="continue"/>
            <w:tcBorders>
              <w:left w:val="single" w:color="000000" w:sz="6" w:space="0"/>
              <w:bottom w:val="single" w:color="000000" w:sz="6" w:space="0"/>
              <w:right w:val="single" w:color="000000" w:sz="6" w:space="0"/>
            </w:tcBorders>
            <w:noWrap w:val="0"/>
            <w:vAlign w:val="center"/>
          </w:tcPr>
          <w:p w14:paraId="3C37152F">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810" w:type="dxa"/>
            <w:tcBorders>
              <w:top w:val="single" w:color="auto" w:sz="4" w:space="0"/>
              <w:left w:val="single" w:color="000000" w:sz="6" w:space="0"/>
              <w:bottom w:val="single" w:color="000000" w:sz="6" w:space="0"/>
              <w:right w:val="single" w:color="auto" w:sz="4" w:space="0"/>
            </w:tcBorders>
            <w:noWrap w:val="0"/>
            <w:vAlign w:val="center"/>
          </w:tcPr>
          <w:p w14:paraId="7BDF84A8">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二类区</w:t>
            </w:r>
          </w:p>
        </w:tc>
        <w:tc>
          <w:tcPr>
            <w:tcW w:w="2592" w:type="dxa"/>
            <w:gridSpan w:val="13"/>
            <w:tcBorders>
              <w:top w:val="single" w:color="auto" w:sz="4" w:space="0"/>
              <w:left w:val="single" w:color="auto" w:sz="4" w:space="0"/>
              <w:bottom w:val="single" w:color="000000" w:sz="6" w:space="0"/>
              <w:right w:val="single" w:color="auto" w:sz="4" w:space="0"/>
            </w:tcBorders>
            <w:noWrap w:val="0"/>
            <w:vAlign w:val="center"/>
          </w:tcPr>
          <w:p w14:paraId="022AFDF7">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C本项目最大占标率≤30%</w:t>
            </w:r>
            <w:r>
              <w:rPr>
                <w:rFonts w:hint="eastAsia" w:ascii="Times New Roman" w:hAnsi="Times New Roman" w:eastAsia="宋体" w:cs="Times New Roman"/>
                <w:color w:val="auto"/>
                <w:sz w:val="21"/>
                <w:szCs w:val="21"/>
                <w:highlight w:val="none"/>
                <w:lang w:eastAsia="zh-CN"/>
              </w:rPr>
              <w:t>□</w:t>
            </w:r>
          </w:p>
        </w:tc>
        <w:tc>
          <w:tcPr>
            <w:tcW w:w="3214" w:type="dxa"/>
            <w:gridSpan w:val="8"/>
            <w:tcBorders>
              <w:top w:val="single" w:color="auto" w:sz="4" w:space="0"/>
              <w:left w:val="single" w:color="auto" w:sz="4" w:space="0"/>
              <w:bottom w:val="single" w:color="000000" w:sz="6" w:space="0"/>
            </w:tcBorders>
            <w:noWrap w:val="0"/>
            <w:vAlign w:val="center"/>
          </w:tcPr>
          <w:p w14:paraId="3395E845">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C本项目最大占标率&gt;30%</w:t>
            </w:r>
            <w:r>
              <w:rPr>
                <w:rFonts w:hint="default" w:ascii="Times New Roman" w:hAnsi="Times New Roman" w:eastAsia="宋体" w:cs="Times New Roman"/>
                <w:color w:val="auto"/>
                <w:sz w:val="21"/>
                <w:szCs w:val="21"/>
                <w:highlight w:val="none"/>
                <w:lang w:eastAsia="zh-CN"/>
              </w:rPr>
              <w:t>□</w:t>
            </w:r>
          </w:p>
        </w:tc>
      </w:tr>
      <w:tr w14:paraId="136AC3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8" w:hRule="atLeast"/>
          <w:jc w:val="center"/>
        </w:trPr>
        <w:tc>
          <w:tcPr>
            <w:tcW w:w="958" w:type="dxa"/>
            <w:vMerge w:val="continue"/>
            <w:tcBorders>
              <w:top w:val="nil"/>
              <w:bottom w:val="single" w:color="000000" w:sz="6" w:space="0"/>
              <w:right w:val="single" w:color="000000" w:sz="6" w:space="0"/>
            </w:tcBorders>
            <w:noWrap w:val="0"/>
            <w:vAlign w:val="center"/>
          </w:tcPr>
          <w:p w14:paraId="4D6B8529">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714" w:type="dxa"/>
            <w:tcBorders>
              <w:top w:val="single" w:color="000000" w:sz="6" w:space="0"/>
              <w:left w:val="single" w:color="000000" w:sz="6" w:space="0"/>
              <w:bottom w:val="single" w:color="auto" w:sz="4" w:space="0"/>
              <w:right w:val="single" w:color="000000" w:sz="6" w:space="0"/>
            </w:tcBorders>
            <w:noWrap w:val="0"/>
            <w:vAlign w:val="center"/>
          </w:tcPr>
          <w:p w14:paraId="6E01CC77">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非正常排放1h浓度贡献值</w:t>
            </w:r>
          </w:p>
        </w:tc>
        <w:tc>
          <w:tcPr>
            <w:tcW w:w="1635" w:type="dxa"/>
            <w:gridSpan w:val="4"/>
            <w:tcBorders>
              <w:top w:val="single" w:color="000000" w:sz="6" w:space="0"/>
              <w:left w:val="single" w:color="000000" w:sz="6" w:space="0"/>
              <w:bottom w:val="single" w:color="auto" w:sz="4" w:space="0"/>
              <w:right w:val="single" w:color="auto" w:sz="4" w:space="0"/>
            </w:tcBorders>
            <w:noWrap w:val="0"/>
            <w:vAlign w:val="center"/>
          </w:tcPr>
          <w:p w14:paraId="47C71F3C">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非正常持续时长</w:t>
            </w:r>
          </w:p>
          <w:p w14:paraId="1102AD07">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）h</w:t>
            </w:r>
          </w:p>
        </w:tc>
        <w:tc>
          <w:tcPr>
            <w:tcW w:w="2464" w:type="dxa"/>
            <w:gridSpan w:val="12"/>
            <w:tcBorders>
              <w:top w:val="single" w:color="000000" w:sz="6" w:space="0"/>
              <w:left w:val="single" w:color="auto" w:sz="4" w:space="0"/>
              <w:bottom w:val="single" w:color="auto" w:sz="4" w:space="0"/>
              <w:right w:val="single" w:color="000000" w:sz="6" w:space="0"/>
            </w:tcBorders>
            <w:noWrap w:val="0"/>
            <w:vAlign w:val="center"/>
          </w:tcPr>
          <w:p w14:paraId="418EF9A7">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C非正常占标率≤100%□</w:t>
            </w:r>
          </w:p>
        </w:tc>
        <w:tc>
          <w:tcPr>
            <w:tcW w:w="2517" w:type="dxa"/>
            <w:gridSpan w:val="6"/>
            <w:tcBorders>
              <w:top w:val="single" w:color="000000" w:sz="6" w:space="0"/>
              <w:left w:val="single" w:color="000000" w:sz="6" w:space="0"/>
              <w:bottom w:val="single" w:color="auto" w:sz="4" w:space="0"/>
            </w:tcBorders>
            <w:noWrap w:val="0"/>
            <w:vAlign w:val="center"/>
          </w:tcPr>
          <w:p w14:paraId="799726B4">
            <w:pPr>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C非正常占标率&gt;100%</w:t>
            </w:r>
            <w:r>
              <w:rPr>
                <w:rFonts w:hint="eastAsia" w:ascii="Times New Roman" w:hAnsi="Times New Roman" w:eastAsia="宋体" w:cs="Times New Roman"/>
                <w:color w:val="auto"/>
                <w:sz w:val="21"/>
                <w:szCs w:val="21"/>
                <w:highlight w:val="none"/>
                <w:lang w:eastAsia="zh-CN"/>
              </w:rPr>
              <w:t>□</w:t>
            </w:r>
          </w:p>
        </w:tc>
      </w:tr>
      <w:tr w14:paraId="5A729E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4" w:hRule="atLeast"/>
          <w:jc w:val="center"/>
        </w:trPr>
        <w:tc>
          <w:tcPr>
            <w:tcW w:w="958" w:type="dxa"/>
            <w:vMerge w:val="continue"/>
            <w:tcBorders>
              <w:bottom w:val="single" w:color="000000" w:sz="6" w:space="0"/>
              <w:right w:val="single" w:color="000000" w:sz="6" w:space="0"/>
            </w:tcBorders>
            <w:noWrap w:val="0"/>
            <w:vAlign w:val="center"/>
          </w:tcPr>
          <w:p w14:paraId="0A9DE5B1">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714" w:type="dxa"/>
            <w:tcBorders>
              <w:top w:val="single" w:color="auto" w:sz="4" w:space="0"/>
              <w:left w:val="single" w:color="000000" w:sz="6" w:space="0"/>
              <w:bottom w:val="single" w:color="auto" w:sz="4" w:space="0"/>
              <w:right w:val="single" w:color="000000" w:sz="6" w:space="0"/>
            </w:tcBorders>
            <w:noWrap w:val="0"/>
            <w:vAlign w:val="center"/>
          </w:tcPr>
          <w:p w14:paraId="41C4817C">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保证率日平均浓度和年平均浓度叠加值</w:t>
            </w:r>
          </w:p>
        </w:tc>
        <w:tc>
          <w:tcPr>
            <w:tcW w:w="3075" w:type="dxa"/>
            <w:gridSpan w:val="12"/>
            <w:tcBorders>
              <w:top w:val="single" w:color="auto" w:sz="4" w:space="0"/>
              <w:left w:val="single" w:color="000000" w:sz="6" w:space="0"/>
              <w:bottom w:val="single" w:color="auto" w:sz="4" w:space="0"/>
              <w:right w:val="single" w:color="auto" w:sz="4" w:space="0"/>
            </w:tcBorders>
            <w:noWrap w:val="0"/>
            <w:vAlign w:val="center"/>
          </w:tcPr>
          <w:p w14:paraId="4EEFF42E">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C叠加达标</w:t>
            </w:r>
            <w:r>
              <w:rPr>
                <w:rFonts w:hint="default" w:ascii="Times New Roman" w:hAnsi="Times New Roman" w:eastAsia="宋体" w:cs="Times New Roman"/>
                <w:color w:val="auto"/>
                <w:sz w:val="21"/>
                <w:szCs w:val="21"/>
                <w:highlight w:val="none"/>
                <w:lang w:eastAsia="zh-CN"/>
              </w:rPr>
              <w:t>□</w:t>
            </w:r>
          </w:p>
        </w:tc>
        <w:tc>
          <w:tcPr>
            <w:tcW w:w="3541" w:type="dxa"/>
            <w:gridSpan w:val="10"/>
            <w:tcBorders>
              <w:top w:val="single" w:color="auto" w:sz="4" w:space="0"/>
              <w:left w:val="single" w:color="auto" w:sz="4" w:space="0"/>
              <w:bottom w:val="single" w:color="auto" w:sz="4" w:space="0"/>
            </w:tcBorders>
            <w:noWrap w:val="0"/>
            <w:vAlign w:val="center"/>
          </w:tcPr>
          <w:p w14:paraId="4796FB36">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C叠加不达标</w:t>
            </w:r>
            <w:r>
              <w:rPr>
                <w:rFonts w:hint="eastAsia" w:ascii="Times New Roman" w:hAnsi="Times New Roman" w:eastAsia="宋体" w:cs="Times New Roman"/>
                <w:color w:val="auto"/>
                <w:sz w:val="21"/>
                <w:szCs w:val="21"/>
                <w:highlight w:val="none"/>
                <w:lang w:eastAsia="zh-CN"/>
              </w:rPr>
              <w:t>□</w:t>
            </w:r>
          </w:p>
        </w:tc>
      </w:tr>
      <w:tr w14:paraId="70A5DE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7" w:hRule="atLeast"/>
          <w:jc w:val="center"/>
        </w:trPr>
        <w:tc>
          <w:tcPr>
            <w:tcW w:w="958" w:type="dxa"/>
            <w:vMerge w:val="continue"/>
            <w:tcBorders>
              <w:bottom w:val="single" w:color="000000" w:sz="6" w:space="0"/>
              <w:right w:val="single" w:color="000000" w:sz="6" w:space="0"/>
            </w:tcBorders>
            <w:noWrap w:val="0"/>
            <w:vAlign w:val="center"/>
          </w:tcPr>
          <w:p w14:paraId="2E240FFE">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714" w:type="dxa"/>
            <w:tcBorders>
              <w:top w:val="single" w:color="auto" w:sz="4" w:space="0"/>
              <w:left w:val="single" w:color="000000" w:sz="6" w:space="0"/>
              <w:bottom w:val="single" w:color="auto" w:sz="4" w:space="0"/>
              <w:right w:val="single" w:color="000000" w:sz="6" w:space="0"/>
            </w:tcBorders>
            <w:noWrap w:val="0"/>
            <w:vAlign w:val="center"/>
          </w:tcPr>
          <w:p w14:paraId="47501AE2">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区域环境质量的整体变化情况</w:t>
            </w:r>
          </w:p>
        </w:tc>
        <w:tc>
          <w:tcPr>
            <w:tcW w:w="3075" w:type="dxa"/>
            <w:gridSpan w:val="12"/>
            <w:tcBorders>
              <w:top w:val="single" w:color="auto" w:sz="4" w:space="0"/>
              <w:left w:val="single" w:color="000000" w:sz="6" w:space="0"/>
              <w:bottom w:val="single" w:color="auto" w:sz="4" w:space="0"/>
              <w:right w:val="single" w:color="auto" w:sz="4" w:space="0"/>
            </w:tcBorders>
            <w:noWrap w:val="0"/>
            <w:vAlign w:val="center"/>
          </w:tcPr>
          <w:p w14:paraId="59B855A1">
            <w:pPr>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k≤-20%</w:t>
            </w:r>
            <w:r>
              <w:rPr>
                <w:rFonts w:hint="eastAsia" w:ascii="Times New Roman" w:hAnsi="Times New Roman" w:eastAsia="宋体" w:cs="Times New Roman"/>
                <w:color w:val="auto"/>
                <w:sz w:val="21"/>
                <w:szCs w:val="21"/>
                <w:highlight w:val="none"/>
                <w:lang w:eastAsia="zh-CN"/>
              </w:rPr>
              <w:t>□</w:t>
            </w:r>
          </w:p>
        </w:tc>
        <w:tc>
          <w:tcPr>
            <w:tcW w:w="3541" w:type="dxa"/>
            <w:gridSpan w:val="10"/>
            <w:tcBorders>
              <w:top w:val="single" w:color="auto" w:sz="4" w:space="0"/>
              <w:left w:val="single" w:color="auto" w:sz="4" w:space="0"/>
              <w:bottom w:val="single" w:color="auto" w:sz="4" w:space="0"/>
            </w:tcBorders>
            <w:noWrap w:val="0"/>
            <w:vAlign w:val="center"/>
          </w:tcPr>
          <w:p w14:paraId="43081D88">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k&gt;-20%□</w:t>
            </w:r>
          </w:p>
        </w:tc>
      </w:tr>
      <w:tr w14:paraId="56F763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2" w:hRule="atLeast"/>
          <w:jc w:val="center"/>
        </w:trPr>
        <w:tc>
          <w:tcPr>
            <w:tcW w:w="958" w:type="dxa"/>
            <w:vMerge w:val="restart"/>
            <w:tcBorders>
              <w:top w:val="single" w:color="000000" w:sz="6" w:space="0"/>
              <w:bottom w:val="single" w:color="000000" w:sz="6" w:space="0"/>
              <w:right w:val="single" w:color="000000" w:sz="6" w:space="0"/>
            </w:tcBorders>
            <w:noWrap w:val="0"/>
            <w:vAlign w:val="center"/>
          </w:tcPr>
          <w:p w14:paraId="79E61357">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环境监测计划</w:t>
            </w:r>
          </w:p>
        </w:tc>
        <w:tc>
          <w:tcPr>
            <w:tcW w:w="1714" w:type="dxa"/>
            <w:tcBorders>
              <w:top w:val="single" w:color="000000" w:sz="6" w:space="0"/>
              <w:left w:val="single" w:color="000000" w:sz="6" w:space="0"/>
              <w:bottom w:val="single" w:color="000000" w:sz="6" w:space="0"/>
              <w:right w:val="single" w:color="000000" w:sz="6" w:space="0"/>
            </w:tcBorders>
            <w:noWrap w:val="0"/>
            <w:vAlign w:val="center"/>
          </w:tcPr>
          <w:p w14:paraId="7BF5F409">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污染源监测</w:t>
            </w:r>
          </w:p>
        </w:tc>
        <w:tc>
          <w:tcPr>
            <w:tcW w:w="2625" w:type="dxa"/>
            <w:gridSpan w:val="10"/>
            <w:tcBorders>
              <w:top w:val="single" w:color="000000" w:sz="6" w:space="0"/>
              <w:left w:val="single" w:color="000000" w:sz="6" w:space="0"/>
              <w:bottom w:val="single" w:color="000000" w:sz="6" w:space="0"/>
              <w:right w:val="single" w:color="auto" w:sz="4" w:space="0"/>
            </w:tcBorders>
            <w:noWrap w:val="0"/>
            <w:vAlign w:val="center"/>
          </w:tcPr>
          <w:p w14:paraId="243B9BB0">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监测因子：（</w:t>
            </w:r>
            <w:r>
              <w:rPr>
                <w:rFonts w:hint="eastAsia" w:ascii="Times New Roman" w:hAnsi="Times New Roman" w:eastAsia="宋体" w:cs="Times New Roman"/>
                <w:color w:val="auto"/>
                <w:sz w:val="21"/>
                <w:szCs w:val="21"/>
                <w:highlight w:val="none"/>
                <w:lang w:val="en-US" w:eastAsia="zh-CN"/>
              </w:rPr>
              <w:t>NH</w:t>
            </w:r>
            <w:r>
              <w:rPr>
                <w:rFonts w:hint="eastAsia" w:ascii="Times New Roman" w:hAnsi="Times New Roman" w:eastAsia="宋体" w:cs="Times New Roman"/>
                <w:color w:val="auto"/>
                <w:sz w:val="21"/>
                <w:szCs w:val="21"/>
                <w:highlight w:val="none"/>
                <w:vertAlign w:val="subscript"/>
                <w:lang w:val="en-US" w:eastAsia="zh-CN"/>
              </w:rPr>
              <w:t>3</w:t>
            </w:r>
            <w:r>
              <w:rPr>
                <w:rFonts w:hint="eastAsia" w:ascii="Times New Roman" w:hAnsi="Times New Roman" w:eastAsia="宋体" w:cs="Times New Roman"/>
                <w:color w:val="auto"/>
                <w:sz w:val="21"/>
                <w:szCs w:val="21"/>
                <w:highlight w:val="none"/>
                <w:lang w:val="en-US" w:eastAsia="zh-CN"/>
              </w:rPr>
              <w:t>、H</w:t>
            </w:r>
            <w:r>
              <w:rPr>
                <w:rFonts w:hint="eastAsia" w:ascii="Times New Roman" w:hAnsi="Times New Roman" w:eastAsia="宋体" w:cs="Times New Roman"/>
                <w:color w:val="auto"/>
                <w:sz w:val="21"/>
                <w:szCs w:val="21"/>
                <w:highlight w:val="none"/>
                <w:vertAlign w:val="subscript"/>
                <w:lang w:val="en-US" w:eastAsia="zh-CN"/>
              </w:rPr>
              <w:t>2</w:t>
            </w:r>
            <w:r>
              <w:rPr>
                <w:rFonts w:hint="eastAsia" w:ascii="Times New Roman" w:hAnsi="Times New Roman" w:eastAsia="宋体" w:cs="Times New Roman"/>
                <w:color w:val="auto"/>
                <w:sz w:val="21"/>
                <w:szCs w:val="21"/>
                <w:highlight w:val="none"/>
                <w:lang w:val="en-US" w:eastAsia="zh-CN"/>
              </w:rPr>
              <w:t>S、臭气浓度</w:t>
            </w:r>
            <w:r>
              <w:rPr>
                <w:rFonts w:hint="default" w:ascii="Times New Roman" w:hAnsi="Times New Roman" w:eastAsia="宋体" w:cs="Times New Roman"/>
                <w:color w:val="auto"/>
                <w:sz w:val="21"/>
                <w:szCs w:val="21"/>
                <w:highlight w:val="none"/>
              </w:rPr>
              <w:t>）</w:t>
            </w:r>
          </w:p>
        </w:tc>
        <w:tc>
          <w:tcPr>
            <w:tcW w:w="2703" w:type="dxa"/>
            <w:gridSpan w:val="10"/>
            <w:tcBorders>
              <w:top w:val="single" w:color="000000" w:sz="6" w:space="0"/>
              <w:left w:val="single" w:color="auto" w:sz="4" w:space="0"/>
              <w:bottom w:val="single" w:color="000000" w:sz="6" w:space="0"/>
              <w:right w:val="single" w:color="auto" w:sz="4" w:space="0"/>
            </w:tcBorders>
            <w:noWrap w:val="0"/>
            <w:vAlign w:val="center"/>
          </w:tcPr>
          <w:p w14:paraId="118BA013">
            <w:pPr>
              <w:adjustRightInd w:val="0"/>
              <w:snapToGrid w:val="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有组织废气监测</w:t>
            </w:r>
            <w:r>
              <w:rPr>
                <w:rFonts w:hint="eastAsia" w:ascii="Times New Roman" w:hAnsi="Times New Roman" w:eastAsia="宋体" w:cs="Times New Roman"/>
                <w:color w:val="auto"/>
                <w:sz w:val="21"/>
                <w:szCs w:val="21"/>
                <w:highlight w:val="none"/>
                <w:lang w:eastAsia="zh-CN"/>
              </w:rPr>
              <w:t>□</w:t>
            </w:r>
          </w:p>
          <w:p w14:paraId="2CE28817">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无组织废气监测☑</w:t>
            </w:r>
          </w:p>
        </w:tc>
        <w:tc>
          <w:tcPr>
            <w:tcW w:w="1288" w:type="dxa"/>
            <w:gridSpan w:val="2"/>
            <w:tcBorders>
              <w:top w:val="single" w:color="000000" w:sz="6" w:space="0"/>
              <w:left w:val="single" w:color="auto" w:sz="4" w:space="0"/>
              <w:bottom w:val="single" w:color="000000" w:sz="6" w:space="0"/>
            </w:tcBorders>
            <w:noWrap w:val="0"/>
            <w:vAlign w:val="center"/>
          </w:tcPr>
          <w:p w14:paraId="2A1DB900">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无监测□</w:t>
            </w:r>
          </w:p>
        </w:tc>
      </w:tr>
      <w:tr w14:paraId="4684D0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1" w:hRule="atLeast"/>
          <w:jc w:val="center"/>
        </w:trPr>
        <w:tc>
          <w:tcPr>
            <w:tcW w:w="958" w:type="dxa"/>
            <w:vMerge w:val="continue"/>
            <w:tcBorders>
              <w:top w:val="nil"/>
              <w:bottom w:val="single" w:color="000000" w:sz="6" w:space="0"/>
              <w:right w:val="single" w:color="000000" w:sz="6" w:space="0"/>
            </w:tcBorders>
            <w:noWrap w:val="0"/>
            <w:vAlign w:val="center"/>
          </w:tcPr>
          <w:p w14:paraId="055E7FD5">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714" w:type="dxa"/>
            <w:tcBorders>
              <w:top w:val="single" w:color="000000" w:sz="6" w:space="0"/>
              <w:left w:val="single" w:color="000000" w:sz="6" w:space="0"/>
              <w:bottom w:val="single" w:color="000000" w:sz="6" w:space="0"/>
              <w:right w:val="single" w:color="000000" w:sz="6" w:space="0"/>
            </w:tcBorders>
            <w:noWrap w:val="0"/>
            <w:vAlign w:val="center"/>
          </w:tcPr>
          <w:p w14:paraId="70915353">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环境质量监测</w:t>
            </w:r>
          </w:p>
        </w:tc>
        <w:tc>
          <w:tcPr>
            <w:tcW w:w="2625" w:type="dxa"/>
            <w:gridSpan w:val="10"/>
            <w:tcBorders>
              <w:top w:val="single" w:color="000000" w:sz="6" w:space="0"/>
              <w:left w:val="single" w:color="000000" w:sz="6" w:space="0"/>
              <w:bottom w:val="single" w:color="000000" w:sz="6" w:space="0"/>
              <w:right w:val="single" w:color="auto" w:sz="4" w:space="0"/>
            </w:tcBorders>
            <w:noWrap w:val="0"/>
            <w:vAlign w:val="center"/>
          </w:tcPr>
          <w:p w14:paraId="487BCDA0">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监测因子：（      ）</w:t>
            </w:r>
          </w:p>
        </w:tc>
        <w:tc>
          <w:tcPr>
            <w:tcW w:w="2703" w:type="dxa"/>
            <w:gridSpan w:val="10"/>
            <w:tcBorders>
              <w:top w:val="single" w:color="000000" w:sz="6" w:space="0"/>
              <w:left w:val="single" w:color="auto" w:sz="4" w:space="0"/>
              <w:bottom w:val="single" w:color="000000" w:sz="6" w:space="0"/>
              <w:right w:val="single" w:color="auto" w:sz="4" w:space="0"/>
            </w:tcBorders>
            <w:noWrap w:val="0"/>
            <w:vAlign w:val="center"/>
          </w:tcPr>
          <w:p w14:paraId="60A19BE0">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监测点位数（      ）</w:t>
            </w:r>
          </w:p>
        </w:tc>
        <w:tc>
          <w:tcPr>
            <w:tcW w:w="1288" w:type="dxa"/>
            <w:gridSpan w:val="2"/>
            <w:tcBorders>
              <w:top w:val="single" w:color="000000" w:sz="6" w:space="0"/>
              <w:left w:val="single" w:color="auto" w:sz="4" w:space="0"/>
              <w:bottom w:val="single" w:color="000000" w:sz="6" w:space="0"/>
            </w:tcBorders>
            <w:noWrap w:val="0"/>
            <w:vAlign w:val="center"/>
          </w:tcPr>
          <w:p w14:paraId="226EACC1">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无监测☑</w:t>
            </w:r>
          </w:p>
        </w:tc>
      </w:tr>
      <w:tr w14:paraId="547190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1" w:hRule="atLeast"/>
          <w:jc w:val="center"/>
        </w:trPr>
        <w:tc>
          <w:tcPr>
            <w:tcW w:w="958" w:type="dxa"/>
            <w:vMerge w:val="restart"/>
            <w:tcBorders>
              <w:top w:val="single" w:color="000000" w:sz="6" w:space="0"/>
              <w:bottom w:val="single" w:color="000000" w:sz="6" w:space="0"/>
              <w:right w:val="single" w:color="000000" w:sz="6" w:space="0"/>
            </w:tcBorders>
            <w:noWrap w:val="0"/>
            <w:vAlign w:val="center"/>
          </w:tcPr>
          <w:p w14:paraId="7A4BAA5C">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评价结论</w:t>
            </w:r>
          </w:p>
        </w:tc>
        <w:tc>
          <w:tcPr>
            <w:tcW w:w="1714" w:type="dxa"/>
            <w:tcBorders>
              <w:top w:val="single" w:color="000000" w:sz="6" w:space="0"/>
              <w:left w:val="single" w:color="000000" w:sz="6" w:space="0"/>
              <w:bottom w:val="single" w:color="000000" w:sz="6" w:space="0"/>
              <w:right w:val="single" w:color="000000" w:sz="6" w:space="0"/>
            </w:tcBorders>
            <w:noWrap w:val="0"/>
            <w:vAlign w:val="center"/>
          </w:tcPr>
          <w:p w14:paraId="23D43875">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环境影响</w:t>
            </w:r>
          </w:p>
        </w:tc>
        <w:tc>
          <w:tcPr>
            <w:tcW w:w="6616" w:type="dxa"/>
            <w:gridSpan w:val="22"/>
            <w:tcBorders>
              <w:top w:val="single" w:color="000000" w:sz="6" w:space="0"/>
              <w:left w:val="single" w:color="000000" w:sz="6" w:space="0"/>
              <w:bottom w:val="single" w:color="000000" w:sz="6" w:space="0"/>
            </w:tcBorders>
            <w:noWrap w:val="0"/>
            <w:vAlign w:val="center"/>
          </w:tcPr>
          <w:p w14:paraId="0BD2CD5C">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可接受☑           不可接受□</w:t>
            </w:r>
          </w:p>
        </w:tc>
      </w:tr>
      <w:tr w14:paraId="78144D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2" w:hRule="atLeast"/>
          <w:jc w:val="center"/>
        </w:trPr>
        <w:tc>
          <w:tcPr>
            <w:tcW w:w="958" w:type="dxa"/>
            <w:vMerge w:val="continue"/>
            <w:tcBorders>
              <w:top w:val="nil"/>
              <w:bottom w:val="single" w:color="000000" w:sz="6" w:space="0"/>
              <w:right w:val="single" w:color="000000" w:sz="6" w:space="0"/>
            </w:tcBorders>
            <w:noWrap w:val="0"/>
            <w:vAlign w:val="center"/>
          </w:tcPr>
          <w:p w14:paraId="38E13F2F">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714" w:type="dxa"/>
            <w:tcBorders>
              <w:top w:val="single" w:color="000000" w:sz="6" w:space="0"/>
              <w:left w:val="single" w:color="000000" w:sz="6" w:space="0"/>
              <w:bottom w:val="single" w:color="000000" w:sz="6" w:space="0"/>
              <w:right w:val="single" w:color="000000" w:sz="6" w:space="0"/>
            </w:tcBorders>
            <w:noWrap w:val="0"/>
            <w:vAlign w:val="center"/>
          </w:tcPr>
          <w:p w14:paraId="1041310A">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大气环境防护距离</w:t>
            </w:r>
          </w:p>
        </w:tc>
        <w:tc>
          <w:tcPr>
            <w:tcW w:w="6616" w:type="dxa"/>
            <w:gridSpan w:val="22"/>
            <w:tcBorders>
              <w:top w:val="single" w:color="000000" w:sz="6" w:space="0"/>
              <w:left w:val="single" w:color="000000" w:sz="6" w:space="0"/>
              <w:bottom w:val="single" w:color="000000" w:sz="6" w:space="0"/>
            </w:tcBorders>
            <w:noWrap w:val="0"/>
            <w:vAlign w:val="center"/>
          </w:tcPr>
          <w:p w14:paraId="708EB3C9">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距（</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）厂界最远（</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）m</w:t>
            </w:r>
          </w:p>
        </w:tc>
      </w:tr>
      <w:tr w14:paraId="37A541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jc w:val="center"/>
        </w:trPr>
        <w:tc>
          <w:tcPr>
            <w:tcW w:w="958" w:type="dxa"/>
            <w:vMerge w:val="continue"/>
            <w:tcBorders>
              <w:top w:val="nil"/>
              <w:bottom w:val="single" w:color="000000" w:sz="6" w:space="0"/>
              <w:right w:val="single" w:color="000000" w:sz="6" w:space="0"/>
            </w:tcBorders>
            <w:noWrap w:val="0"/>
            <w:vAlign w:val="center"/>
          </w:tcPr>
          <w:p w14:paraId="12C4A69A">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714" w:type="dxa"/>
            <w:tcBorders>
              <w:top w:val="single" w:color="000000" w:sz="6" w:space="0"/>
              <w:left w:val="single" w:color="000000" w:sz="6" w:space="0"/>
              <w:bottom w:val="single" w:color="000000" w:sz="6" w:space="0"/>
              <w:right w:val="single" w:color="000000" w:sz="6" w:space="0"/>
            </w:tcBorders>
            <w:noWrap w:val="0"/>
            <w:vAlign w:val="center"/>
          </w:tcPr>
          <w:p w14:paraId="12CB4464">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污染源年排放量</w:t>
            </w:r>
          </w:p>
        </w:tc>
        <w:tc>
          <w:tcPr>
            <w:tcW w:w="1601" w:type="dxa"/>
            <w:gridSpan w:val="3"/>
            <w:tcBorders>
              <w:top w:val="single" w:color="000000" w:sz="6" w:space="0"/>
              <w:left w:val="single" w:color="000000" w:sz="6" w:space="0"/>
              <w:bottom w:val="single" w:color="000000" w:sz="6" w:space="0"/>
              <w:right w:val="single" w:color="auto" w:sz="4" w:space="0"/>
            </w:tcBorders>
            <w:noWrap w:val="0"/>
            <w:vAlign w:val="center"/>
          </w:tcPr>
          <w:p w14:paraId="5316FB53">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r>
              <w:rPr>
                <w:rFonts w:hint="default" w:ascii="Times New Roman" w:hAnsi="Times New Roman" w:eastAsia="宋体" w:cs="Times New Roman"/>
                <w:color w:val="auto"/>
                <w:sz w:val="21"/>
                <w:szCs w:val="21"/>
                <w:highlight w:val="none"/>
              </w:rPr>
              <w:t>：(</w:t>
            </w:r>
            <w:r>
              <w:rPr>
                <w:rFonts w:hint="eastAsia"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kg</w:t>
            </w:r>
            <w:r>
              <w:rPr>
                <w:rFonts w:hint="default" w:ascii="Times New Roman" w:hAnsi="Times New Roman" w:eastAsia="宋体" w:cs="Times New Roman"/>
                <w:color w:val="auto"/>
                <w:sz w:val="21"/>
                <w:szCs w:val="21"/>
                <w:highlight w:val="none"/>
              </w:rPr>
              <w:t>/a</w:t>
            </w:r>
          </w:p>
        </w:tc>
        <w:tc>
          <w:tcPr>
            <w:tcW w:w="1680" w:type="dxa"/>
            <w:gridSpan w:val="10"/>
            <w:tcBorders>
              <w:top w:val="single" w:color="000000" w:sz="6" w:space="0"/>
              <w:left w:val="single" w:color="auto" w:sz="4" w:space="0"/>
              <w:bottom w:val="single" w:color="000000" w:sz="6" w:space="0"/>
              <w:right w:val="single" w:color="auto" w:sz="4" w:space="0"/>
            </w:tcBorders>
            <w:noWrap w:val="0"/>
            <w:vAlign w:val="center"/>
          </w:tcPr>
          <w:p w14:paraId="00D462E4">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NOx：(</w:t>
            </w:r>
            <w:r>
              <w:rPr>
                <w:rFonts w:hint="eastAsia"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kg</w:t>
            </w:r>
            <w:r>
              <w:rPr>
                <w:rFonts w:hint="default" w:ascii="Times New Roman" w:hAnsi="Times New Roman" w:eastAsia="宋体" w:cs="Times New Roman"/>
                <w:color w:val="auto"/>
                <w:sz w:val="21"/>
                <w:szCs w:val="21"/>
                <w:highlight w:val="none"/>
              </w:rPr>
              <w:t>/a</w:t>
            </w:r>
          </w:p>
        </w:tc>
        <w:tc>
          <w:tcPr>
            <w:tcW w:w="1785" w:type="dxa"/>
            <w:gridSpan w:val="5"/>
            <w:tcBorders>
              <w:top w:val="single" w:color="000000" w:sz="6" w:space="0"/>
              <w:left w:val="single" w:color="auto" w:sz="4" w:space="0"/>
              <w:bottom w:val="single" w:color="000000" w:sz="6" w:space="0"/>
              <w:right w:val="single" w:color="auto" w:sz="4" w:space="0"/>
            </w:tcBorders>
            <w:noWrap w:val="0"/>
            <w:vAlign w:val="center"/>
          </w:tcPr>
          <w:p w14:paraId="0E99944F">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r>
              <w:rPr>
                <w:rFonts w:hint="eastAsia"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kg</w:t>
            </w:r>
            <w:r>
              <w:rPr>
                <w:rFonts w:hint="default" w:ascii="Times New Roman" w:hAnsi="Times New Roman" w:eastAsia="宋体" w:cs="Times New Roman"/>
                <w:color w:val="auto"/>
                <w:sz w:val="21"/>
                <w:szCs w:val="21"/>
                <w:highlight w:val="none"/>
              </w:rPr>
              <w:t>/a</w:t>
            </w:r>
          </w:p>
        </w:tc>
        <w:tc>
          <w:tcPr>
            <w:tcW w:w="1550" w:type="dxa"/>
            <w:gridSpan w:val="4"/>
            <w:tcBorders>
              <w:top w:val="single" w:color="000000" w:sz="6" w:space="0"/>
              <w:left w:val="single" w:color="auto" w:sz="4" w:space="0"/>
              <w:bottom w:val="single" w:color="000000" w:sz="6" w:space="0"/>
            </w:tcBorders>
            <w:noWrap w:val="0"/>
            <w:vAlign w:val="center"/>
          </w:tcPr>
          <w:p w14:paraId="2B743222">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VOCs：(0)t/a</w:t>
            </w:r>
          </w:p>
        </w:tc>
      </w:tr>
      <w:tr w14:paraId="074124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8" w:hRule="atLeast"/>
          <w:jc w:val="center"/>
        </w:trPr>
        <w:tc>
          <w:tcPr>
            <w:tcW w:w="9288" w:type="dxa"/>
            <w:gridSpan w:val="24"/>
            <w:noWrap w:val="0"/>
            <w:vAlign w:val="center"/>
          </w:tcPr>
          <w:p w14:paraId="716A1267">
            <w:pPr>
              <w:adjustRightInd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注 ：“□”为勾选项，填“√”；“（ ）”为内容填写项。</w:t>
            </w:r>
          </w:p>
        </w:tc>
      </w:tr>
    </w:tbl>
    <w:p w14:paraId="5E0E2388">
      <w:pPr>
        <w:pStyle w:val="31"/>
        <w:jc w:val="left"/>
        <w:rPr>
          <w:rFonts w:hint="eastAsia"/>
          <w:b/>
          <w:bCs/>
          <w:color w:val="auto"/>
          <w:highlight w:val="none"/>
          <w:lang w:val="en-US" w:eastAsia="zh-CN"/>
        </w:rPr>
      </w:pPr>
    </w:p>
    <w:p w14:paraId="58299F5A">
      <w:pPr>
        <w:pStyle w:val="31"/>
        <w:jc w:val="left"/>
        <w:rPr>
          <w:rFonts w:hint="eastAsia"/>
          <w:b/>
          <w:bCs/>
          <w:color w:val="auto"/>
          <w:highlight w:val="none"/>
          <w:lang w:val="en-US" w:eastAsia="zh-CN"/>
        </w:rPr>
      </w:pPr>
    </w:p>
    <w:p w14:paraId="4D34B447">
      <w:pPr>
        <w:pStyle w:val="31"/>
        <w:jc w:val="left"/>
        <w:rPr>
          <w:rFonts w:hint="eastAsia"/>
          <w:b/>
          <w:bCs/>
          <w:color w:val="auto"/>
          <w:highlight w:val="none"/>
          <w:lang w:val="en-US" w:eastAsia="zh-CN"/>
        </w:rPr>
      </w:pPr>
    </w:p>
    <w:p w14:paraId="4D70E145">
      <w:pPr>
        <w:pStyle w:val="31"/>
        <w:jc w:val="left"/>
        <w:rPr>
          <w:rFonts w:hint="eastAsia"/>
          <w:b/>
          <w:bCs/>
          <w:color w:val="auto"/>
          <w:highlight w:val="none"/>
          <w:lang w:val="en-US" w:eastAsia="zh-CN"/>
        </w:rPr>
      </w:pPr>
    </w:p>
    <w:p w14:paraId="0CBC5FD2">
      <w:pPr>
        <w:pStyle w:val="31"/>
        <w:jc w:val="center"/>
        <w:rPr>
          <w:rFonts w:hint="eastAsia"/>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附件</w:t>
      </w:r>
      <w:r>
        <w:rPr>
          <w:rFonts w:hint="eastAsia" w:eastAsia="宋体" w:cs="Times New Roman"/>
          <w:b/>
          <w:bCs/>
          <w:color w:val="auto"/>
          <w:sz w:val="21"/>
          <w:szCs w:val="21"/>
          <w:highlight w:val="none"/>
          <w:lang w:val="en-US" w:eastAsia="zh-CN"/>
        </w:rPr>
        <w:t>5</w:t>
      </w:r>
      <w:r>
        <w:rPr>
          <w:rFonts w:hint="eastAsia" w:ascii="Times New Roman" w:hAnsi="Times New Roman" w:eastAsia="宋体" w:cs="Times New Roman"/>
          <w:b/>
          <w:bCs/>
          <w:color w:val="auto"/>
          <w:sz w:val="21"/>
          <w:szCs w:val="21"/>
          <w:highlight w:val="none"/>
          <w:lang w:eastAsia="zh-CN"/>
        </w:rPr>
        <w:t>环境风险评价</w:t>
      </w:r>
      <w:r>
        <w:rPr>
          <w:rFonts w:hint="default" w:ascii="Times New Roman" w:hAnsi="Times New Roman" w:eastAsia="宋体" w:cs="Times New Roman"/>
          <w:b/>
          <w:bCs/>
          <w:color w:val="auto"/>
          <w:sz w:val="21"/>
          <w:szCs w:val="21"/>
          <w:highlight w:val="none"/>
        </w:rPr>
        <w:t>自查表</w:t>
      </w:r>
    </w:p>
    <w:tbl>
      <w:tblPr>
        <w:tblStyle w:val="24"/>
        <w:tblW w:w="9373"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20"/>
        <w:gridCol w:w="1312"/>
        <w:gridCol w:w="1363"/>
        <w:gridCol w:w="382"/>
        <w:gridCol w:w="1005"/>
        <w:gridCol w:w="588"/>
        <w:gridCol w:w="720"/>
        <w:gridCol w:w="680"/>
        <w:gridCol w:w="712"/>
        <w:gridCol w:w="763"/>
        <w:gridCol w:w="400"/>
        <w:gridCol w:w="928"/>
      </w:tblGrid>
      <w:tr w14:paraId="01F58F9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32" w:type="dxa"/>
            <w:gridSpan w:val="2"/>
            <w:noWrap w:val="0"/>
            <w:vAlign w:val="center"/>
          </w:tcPr>
          <w:p w14:paraId="51D12EB3">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工作内容</w:t>
            </w:r>
          </w:p>
        </w:tc>
        <w:tc>
          <w:tcPr>
            <w:tcW w:w="7541" w:type="dxa"/>
            <w:gridSpan w:val="10"/>
            <w:noWrap w:val="0"/>
            <w:vAlign w:val="center"/>
          </w:tcPr>
          <w:p w14:paraId="0D0CEC24">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完成情况</w:t>
            </w:r>
          </w:p>
        </w:tc>
      </w:tr>
      <w:tr w14:paraId="5CA91F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520" w:type="dxa"/>
            <w:vMerge w:val="restart"/>
            <w:noWrap w:val="0"/>
            <w:vAlign w:val="center"/>
          </w:tcPr>
          <w:p w14:paraId="2E44171B">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风险调查</w:t>
            </w:r>
          </w:p>
        </w:tc>
        <w:tc>
          <w:tcPr>
            <w:tcW w:w="1312" w:type="dxa"/>
            <w:vMerge w:val="restart"/>
            <w:noWrap w:val="0"/>
            <w:vAlign w:val="center"/>
          </w:tcPr>
          <w:p w14:paraId="29946983">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危险物质</w:t>
            </w:r>
          </w:p>
        </w:tc>
        <w:tc>
          <w:tcPr>
            <w:tcW w:w="1363" w:type="dxa"/>
            <w:noWrap w:val="0"/>
            <w:vAlign w:val="center"/>
          </w:tcPr>
          <w:p w14:paraId="448B9213">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名称</w:t>
            </w:r>
          </w:p>
        </w:tc>
        <w:tc>
          <w:tcPr>
            <w:tcW w:w="1387" w:type="dxa"/>
            <w:gridSpan w:val="2"/>
            <w:noWrap w:val="0"/>
            <w:vAlign w:val="center"/>
          </w:tcPr>
          <w:p w14:paraId="2BAB78AB">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氯酸钠</w:t>
            </w:r>
          </w:p>
        </w:tc>
        <w:tc>
          <w:tcPr>
            <w:tcW w:w="1308" w:type="dxa"/>
            <w:gridSpan w:val="2"/>
            <w:noWrap w:val="0"/>
            <w:vAlign w:val="center"/>
          </w:tcPr>
          <w:p w14:paraId="0438BE55">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二氧化氯</w:t>
            </w:r>
          </w:p>
        </w:tc>
        <w:tc>
          <w:tcPr>
            <w:tcW w:w="1392" w:type="dxa"/>
            <w:gridSpan w:val="2"/>
            <w:noWrap w:val="0"/>
            <w:vAlign w:val="center"/>
          </w:tcPr>
          <w:p w14:paraId="5306A9B3">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盐酸</w:t>
            </w:r>
          </w:p>
        </w:tc>
        <w:tc>
          <w:tcPr>
            <w:tcW w:w="1163" w:type="dxa"/>
            <w:gridSpan w:val="2"/>
            <w:noWrap w:val="0"/>
            <w:vAlign w:val="center"/>
          </w:tcPr>
          <w:p w14:paraId="69F00256">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氧气</w:t>
            </w:r>
          </w:p>
        </w:tc>
        <w:tc>
          <w:tcPr>
            <w:tcW w:w="928" w:type="dxa"/>
            <w:noWrap w:val="0"/>
            <w:vAlign w:val="center"/>
          </w:tcPr>
          <w:p w14:paraId="4EBB7E29">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r>
      <w:tr w14:paraId="36A303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520" w:type="dxa"/>
            <w:vMerge w:val="continue"/>
            <w:noWrap w:val="0"/>
            <w:vAlign w:val="center"/>
          </w:tcPr>
          <w:p w14:paraId="7E9BCDB3">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12" w:type="dxa"/>
            <w:vMerge w:val="continue"/>
            <w:noWrap w:val="0"/>
            <w:vAlign w:val="center"/>
          </w:tcPr>
          <w:p w14:paraId="4970867E">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63" w:type="dxa"/>
            <w:noWrap w:val="0"/>
            <w:vAlign w:val="center"/>
          </w:tcPr>
          <w:p w14:paraId="705A8D9D">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存在总量/t</w:t>
            </w:r>
          </w:p>
        </w:tc>
        <w:tc>
          <w:tcPr>
            <w:tcW w:w="1387" w:type="dxa"/>
            <w:gridSpan w:val="2"/>
            <w:noWrap w:val="0"/>
            <w:vAlign w:val="center"/>
          </w:tcPr>
          <w:p w14:paraId="0BC2AE36">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r>
              <w:rPr>
                <w:rFonts w:hint="eastAsia" w:cs="Times New Roman"/>
                <w:color w:val="auto"/>
                <w:sz w:val="21"/>
                <w:szCs w:val="21"/>
                <w:highlight w:val="none"/>
                <w:lang w:val="en-US" w:eastAsia="zh-CN"/>
              </w:rPr>
              <w:t>068</w:t>
            </w:r>
          </w:p>
        </w:tc>
        <w:tc>
          <w:tcPr>
            <w:tcW w:w="1308" w:type="dxa"/>
            <w:gridSpan w:val="2"/>
            <w:noWrap w:val="0"/>
            <w:vAlign w:val="center"/>
          </w:tcPr>
          <w:p w14:paraId="71A04126">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0.000008</w:t>
            </w:r>
          </w:p>
        </w:tc>
        <w:tc>
          <w:tcPr>
            <w:tcW w:w="1392" w:type="dxa"/>
            <w:gridSpan w:val="2"/>
            <w:noWrap w:val="0"/>
            <w:vAlign w:val="center"/>
          </w:tcPr>
          <w:p w14:paraId="2CB2AB0C">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0.034</w:t>
            </w:r>
          </w:p>
        </w:tc>
        <w:tc>
          <w:tcPr>
            <w:tcW w:w="1163" w:type="dxa"/>
            <w:gridSpan w:val="2"/>
            <w:noWrap w:val="0"/>
            <w:vAlign w:val="center"/>
          </w:tcPr>
          <w:p w14:paraId="1F00AC4C">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0.003</w:t>
            </w:r>
          </w:p>
        </w:tc>
        <w:tc>
          <w:tcPr>
            <w:tcW w:w="928" w:type="dxa"/>
            <w:noWrap w:val="0"/>
            <w:vAlign w:val="center"/>
          </w:tcPr>
          <w:p w14:paraId="25D4EDE6">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r>
      <w:tr w14:paraId="0178416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9" w:hRule="atLeast"/>
        </w:trPr>
        <w:tc>
          <w:tcPr>
            <w:tcW w:w="520" w:type="dxa"/>
            <w:vMerge w:val="continue"/>
            <w:noWrap w:val="0"/>
            <w:vAlign w:val="center"/>
          </w:tcPr>
          <w:p w14:paraId="341BB713">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12" w:type="dxa"/>
            <w:vMerge w:val="restart"/>
            <w:noWrap w:val="0"/>
            <w:vAlign w:val="center"/>
          </w:tcPr>
          <w:p w14:paraId="2311A22D">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环境敏感性</w:t>
            </w:r>
          </w:p>
        </w:tc>
        <w:tc>
          <w:tcPr>
            <w:tcW w:w="1363" w:type="dxa"/>
            <w:vMerge w:val="restart"/>
            <w:noWrap w:val="0"/>
            <w:vAlign w:val="center"/>
          </w:tcPr>
          <w:p w14:paraId="7D7DBE0C">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sym w:font="Times New Roman" w:char="0000"/>
            </w:r>
            <w:r>
              <w:rPr>
                <w:rFonts w:hint="default" w:ascii="Times New Roman" w:hAnsi="Times New Roman" w:eastAsia="宋体" w:cs="Times New Roman"/>
                <w:color w:val="auto"/>
                <w:sz w:val="21"/>
                <w:szCs w:val="21"/>
                <w:highlight w:val="none"/>
              </w:rPr>
              <w:t>大气</w:t>
            </w:r>
          </w:p>
        </w:tc>
        <w:tc>
          <w:tcPr>
            <w:tcW w:w="3375" w:type="dxa"/>
            <w:gridSpan w:val="5"/>
            <w:noWrap w:val="0"/>
            <w:vAlign w:val="center"/>
          </w:tcPr>
          <w:p w14:paraId="77D6DF87">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500m范围内人口数</w:t>
            </w:r>
            <w:r>
              <w:rPr>
                <w:rFonts w:hint="default" w:ascii="Times New Roman" w:hAnsi="Times New Roman" w:cs="Times New Roman"/>
                <w:color w:val="auto"/>
                <w:sz w:val="21"/>
                <w:szCs w:val="21"/>
                <w:highlight w:val="none"/>
                <w:lang w:val="en-US"/>
              </w:rPr>
              <w:t>_____</w:t>
            </w:r>
            <w:r>
              <w:rPr>
                <w:rFonts w:hint="eastAsia" w:ascii="Times New Roman" w:hAnsi="Times New Roman" w:cs="Times New Roman"/>
                <w:color w:val="auto"/>
                <w:sz w:val="21"/>
                <w:szCs w:val="21"/>
                <w:highlight w:val="none"/>
                <w:lang w:val="en-US" w:eastAsia="zh-CN"/>
              </w:rPr>
              <w:t>人</w:t>
            </w:r>
          </w:p>
        </w:tc>
        <w:tc>
          <w:tcPr>
            <w:tcW w:w="2803" w:type="dxa"/>
            <w:gridSpan w:val="4"/>
            <w:noWrap w:val="0"/>
            <w:vAlign w:val="center"/>
          </w:tcPr>
          <w:p w14:paraId="5DD63D67">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5km范围内人口数</w:t>
            </w:r>
            <w:r>
              <w:rPr>
                <w:rFonts w:hint="default" w:ascii="Times New Roman" w:hAnsi="Times New Roman" w:cs="Times New Roman"/>
                <w:color w:val="auto"/>
                <w:sz w:val="21"/>
                <w:szCs w:val="21"/>
                <w:highlight w:val="none"/>
                <w:lang w:val="en-US"/>
              </w:rPr>
              <w:t>_____</w:t>
            </w:r>
            <w:r>
              <w:rPr>
                <w:rFonts w:hint="default" w:ascii="Times New Roman" w:hAnsi="Times New Roman" w:eastAsia="宋体" w:cs="Times New Roman"/>
                <w:color w:val="auto"/>
                <w:sz w:val="21"/>
                <w:szCs w:val="21"/>
                <w:highlight w:val="none"/>
              </w:rPr>
              <w:t>人</w:t>
            </w:r>
          </w:p>
        </w:tc>
      </w:tr>
      <w:tr w14:paraId="43D72C4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9" w:hRule="atLeast"/>
        </w:trPr>
        <w:tc>
          <w:tcPr>
            <w:tcW w:w="520" w:type="dxa"/>
            <w:vMerge w:val="continue"/>
            <w:noWrap w:val="0"/>
            <w:vAlign w:val="center"/>
          </w:tcPr>
          <w:p w14:paraId="64E44C23">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12" w:type="dxa"/>
            <w:vMerge w:val="continue"/>
            <w:noWrap w:val="0"/>
            <w:vAlign w:val="center"/>
          </w:tcPr>
          <w:p w14:paraId="37173743">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63" w:type="dxa"/>
            <w:vMerge w:val="continue"/>
            <w:noWrap w:val="0"/>
            <w:vAlign w:val="center"/>
          </w:tcPr>
          <w:p w14:paraId="2D314094">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4850" w:type="dxa"/>
            <w:gridSpan w:val="7"/>
            <w:noWrap w:val="0"/>
            <w:vAlign w:val="center"/>
          </w:tcPr>
          <w:p w14:paraId="03BA0B9A">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每公里管段周边200m范围内人口数(最大）  </w:t>
            </w:r>
          </w:p>
        </w:tc>
        <w:tc>
          <w:tcPr>
            <w:tcW w:w="1328" w:type="dxa"/>
            <w:gridSpan w:val="2"/>
            <w:noWrap w:val="0"/>
            <w:vAlign w:val="center"/>
          </w:tcPr>
          <w:p w14:paraId="1FBF9538">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  </w:t>
            </w:r>
            <w:r>
              <w:rPr>
                <w:rFonts w:hint="default" w:ascii="Times New Roman" w:hAnsi="Times New Roman" w:cs="Times New Roman"/>
                <w:color w:val="auto"/>
                <w:sz w:val="21"/>
                <w:szCs w:val="21"/>
                <w:highlight w:val="none"/>
                <w:lang w:val="en-US"/>
              </w:rPr>
              <w:t>_____</w:t>
            </w:r>
            <w:r>
              <w:rPr>
                <w:rFonts w:hint="default" w:ascii="Times New Roman" w:hAnsi="Times New Roman" w:eastAsia="宋体" w:cs="Times New Roman"/>
                <w:color w:val="auto"/>
                <w:sz w:val="21"/>
                <w:szCs w:val="21"/>
                <w:highlight w:val="none"/>
              </w:rPr>
              <w:t>人</w:t>
            </w:r>
          </w:p>
        </w:tc>
      </w:tr>
      <w:tr w14:paraId="55CA8D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9" w:hRule="atLeast"/>
        </w:trPr>
        <w:tc>
          <w:tcPr>
            <w:tcW w:w="520" w:type="dxa"/>
            <w:vMerge w:val="continue"/>
            <w:noWrap w:val="0"/>
            <w:vAlign w:val="center"/>
          </w:tcPr>
          <w:p w14:paraId="6FF9F06F">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12" w:type="dxa"/>
            <w:vMerge w:val="continue"/>
            <w:noWrap w:val="0"/>
            <w:vAlign w:val="center"/>
          </w:tcPr>
          <w:p w14:paraId="5205E5A7">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63" w:type="dxa"/>
            <w:vMerge w:val="restart"/>
            <w:noWrap w:val="0"/>
            <w:vAlign w:val="center"/>
          </w:tcPr>
          <w:p w14:paraId="48A44BD6">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地表水</w:t>
            </w:r>
          </w:p>
        </w:tc>
        <w:tc>
          <w:tcPr>
            <w:tcW w:w="1975" w:type="dxa"/>
            <w:gridSpan w:val="3"/>
            <w:noWrap w:val="0"/>
            <w:vAlign w:val="center"/>
          </w:tcPr>
          <w:p w14:paraId="7C1D8096">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地表水功能敏感性</w:t>
            </w:r>
          </w:p>
        </w:tc>
        <w:tc>
          <w:tcPr>
            <w:tcW w:w="1400" w:type="dxa"/>
            <w:gridSpan w:val="2"/>
            <w:noWrap w:val="0"/>
            <w:vAlign w:val="center"/>
          </w:tcPr>
          <w:p w14:paraId="75841DD9">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F1</w:t>
            </w:r>
            <w:r>
              <w:rPr>
                <w:rFonts w:hint="default" w:ascii="Times New Roman" w:hAnsi="Times New Roman" w:eastAsia="宋体" w:cs="Times New Roman"/>
                <w:color w:val="auto"/>
                <w:highlight w:val="none"/>
              </w:rPr>
              <w:t>□</w:t>
            </w:r>
          </w:p>
        </w:tc>
        <w:tc>
          <w:tcPr>
            <w:tcW w:w="1475" w:type="dxa"/>
            <w:gridSpan w:val="2"/>
            <w:noWrap w:val="0"/>
            <w:vAlign w:val="center"/>
          </w:tcPr>
          <w:p w14:paraId="477F9358">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F2</w:t>
            </w:r>
            <w:r>
              <w:rPr>
                <w:rFonts w:hint="default" w:ascii="Times New Roman" w:hAnsi="Times New Roman" w:eastAsia="宋体" w:cs="Times New Roman"/>
                <w:color w:val="auto"/>
                <w:highlight w:val="none"/>
              </w:rPr>
              <w:t>□</w:t>
            </w:r>
          </w:p>
        </w:tc>
        <w:tc>
          <w:tcPr>
            <w:tcW w:w="1328" w:type="dxa"/>
            <w:gridSpan w:val="2"/>
            <w:noWrap w:val="0"/>
            <w:vAlign w:val="center"/>
          </w:tcPr>
          <w:p w14:paraId="1716BE57">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F3</w:t>
            </w:r>
            <w:r>
              <w:rPr>
                <w:rFonts w:hint="eastAsia" w:ascii="Times New Roman" w:hAnsi="Times New Roman" w:cs="Times New Roman"/>
                <w:color w:val="auto"/>
                <w:highlight w:val="none"/>
                <w:lang w:eastAsia="zh-CN"/>
              </w:rPr>
              <w:t>□</w:t>
            </w:r>
          </w:p>
        </w:tc>
      </w:tr>
      <w:tr w14:paraId="7766F7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9" w:hRule="atLeast"/>
        </w:trPr>
        <w:tc>
          <w:tcPr>
            <w:tcW w:w="520" w:type="dxa"/>
            <w:vMerge w:val="continue"/>
            <w:noWrap w:val="0"/>
            <w:vAlign w:val="center"/>
          </w:tcPr>
          <w:p w14:paraId="7ADBDB3A">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12" w:type="dxa"/>
            <w:vMerge w:val="continue"/>
            <w:noWrap w:val="0"/>
            <w:vAlign w:val="center"/>
          </w:tcPr>
          <w:p w14:paraId="23931319">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63" w:type="dxa"/>
            <w:vMerge w:val="continue"/>
            <w:noWrap w:val="0"/>
            <w:vAlign w:val="center"/>
          </w:tcPr>
          <w:p w14:paraId="3BAA66F1">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975" w:type="dxa"/>
            <w:gridSpan w:val="3"/>
            <w:noWrap w:val="0"/>
            <w:vAlign w:val="center"/>
          </w:tcPr>
          <w:p w14:paraId="3CB059D7">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环境敏感目标分级</w:t>
            </w:r>
          </w:p>
        </w:tc>
        <w:tc>
          <w:tcPr>
            <w:tcW w:w="1400" w:type="dxa"/>
            <w:gridSpan w:val="2"/>
            <w:noWrap w:val="0"/>
            <w:vAlign w:val="center"/>
          </w:tcPr>
          <w:p w14:paraId="171764D5">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S1</w:t>
            </w:r>
            <w:r>
              <w:rPr>
                <w:rFonts w:hint="default" w:ascii="Times New Roman" w:hAnsi="Times New Roman" w:eastAsia="宋体" w:cs="Times New Roman"/>
                <w:color w:val="auto"/>
                <w:highlight w:val="none"/>
              </w:rPr>
              <w:t>□</w:t>
            </w:r>
          </w:p>
        </w:tc>
        <w:tc>
          <w:tcPr>
            <w:tcW w:w="1475" w:type="dxa"/>
            <w:gridSpan w:val="2"/>
            <w:noWrap w:val="0"/>
            <w:vAlign w:val="center"/>
          </w:tcPr>
          <w:p w14:paraId="368A4B5C">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S2</w:t>
            </w:r>
            <w:r>
              <w:rPr>
                <w:rFonts w:hint="default" w:ascii="Times New Roman" w:hAnsi="Times New Roman" w:eastAsia="宋体" w:cs="Times New Roman"/>
                <w:color w:val="auto"/>
                <w:highlight w:val="none"/>
              </w:rPr>
              <w:t>□</w:t>
            </w:r>
          </w:p>
        </w:tc>
        <w:tc>
          <w:tcPr>
            <w:tcW w:w="1328" w:type="dxa"/>
            <w:gridSpan w:val="2"/>
            <w:noWrap w:val="0"/>
            <w:vAlign w:val="center"/>
          </w:tcPr>
          <w:p w14:paraId="455F86D8">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S3</w:t>
            </w:r>
            <w:r>
              <w:rPr>
                <w:rFonts w:hint="eastAsia" w:ascii="Times New Roman" w:hAnsi="Times New Roman" w:cs="Times New Roman"/>
                <w:color w:val="auto"/>
                <w:highlight w:val="none"/>
                <w:lang w:eastAsia="zh-CN"/>
              </w:rPr>
              <w:t>□</w:t>
            </w:r>
          </w:p>
        </w:tc>
      </w:tr>
      <w:tr w14:paraId="403914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9" w:hRule="atLeast"/>
        </w:trPr>
        <w:tc>
          <w:tcPr>
            <w:tcW w:w="520" w:type="dxa"/>
            <w:vMerge w:val="continue"/>
            <w:noWrap w:val="0"/>
            <w:vAlign w:val="center"/>
          </w:tcPr>
          <w:p w14:paraId="4CADEA22">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12" w:type="dxa"/>
            <w:vMerge w:val="continue"/>
            <w:noWrap w:val="0"/>
            <w:vAlign w:val="center"/>
          </w:tcPr>
          <w:p w14:paraId="4BE3C236">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63" w:type="dxa"/>
            <w:vMerge w:val="restart"/>
            <w:noWrap w:val="0"/>
            <w:vAlign w:val="center"/>
          </w:tcPr>
          <w:p w14:paraId="5ACB187C">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地下水</w:t>
            </w:r>
          </w:p>
        </w:tc>
        <w:tc>
          <w:tcPr>
            <w:tcW w:w="1975" w:type="dxa"/>
            <w:gridSpan w:val="3"/>
            <w:noWrap w:val="0"/>
            <w:vAlign w:val="center"/>
          </w:tcPr>
          <w:p w14:paraId="374DD630">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地下水功能敏感性</w:t>
            </w:r>
          </w:p>
        </w:tc>
        <w:tc>
          <w:tcPr>
            <w:tcW w:w="1400" w:type="dxa"/>
            <w:gridSpan w:val="2"/>
            <w:noWrap w:val="0"/>
            <w:vAlign w:val="center"/>
          </w:tcPr>
          <w:p w14:paraId="57A45036">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G1</w:t>
            </w:r>
            <w:r>
              <w:rPr>
                <w:rFonts w:hint="default" w:ascii="Times New Roman" w:hAnsi="Times New Roman" w:eastAsia="宋体" w:cs="Times New Roman"/>
                <w:color w:val="auto"/>
                <w:highlight w:val="none"/>
              </w:rPr>
              <w:t>□</w:t>
            </w:r>
          </w:p>
        </w:tc>
        <w:tc>
          <w:tcPr>
            <w:tcW w:w="1475" w:type="dxa"/>
            <w:gridSpan w:val="2"/>
            <w:noWrap w:val="0"/>
            <w:vAlign w:val="center"/>
          </w:tcPr>
          <w:p w14:paraId="3CAE38EA">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G2</w:t>
            </w:r>
            <w:r>
              <w:rPr>
                <w:rFonts w:hint="eastAsia" w:ascii="Times New Roman" w:hAnsi="Times New Roman" w:cs="Times New Roman"/>
                <w:color w:val="auto"/>
                <w:highlight w:val="none"/>
                <w:lang w:eastAsia="zh-CN"/>
              </w:rPr>
              <w:t>□</w:t>
            </w:r>
          </w:p>
        </w:tc>
        <w:tc>
          <w:tcPr>
            <w:tcW w:w="1328" w:type="dxa"/>
            <w:gridSpan w:val="2"/>
            <w:noWrap w:val="0"/>
            <w:vAlign w:val="center"/>
          </w:tcPr>
          <w:p w14:paraId="423B3811">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G3</w:t>
            </w:r>
            <w:r>
              <w:rPr>
                <w:rFonts w:hint="default" w:ascii="Times New Roman" w:hAnsi="Times New Roman" w:eastAsia="宋体" w:cs="Times New Roman"/>
                <w:color w:val="auto"/>
                <w:highlight w:val="none"/>
              </w:rPr>
              <w:t>□</w:t>
            </w:r>
          </w:p>
        </w:tc>
      </w:tr>
      <w:tr w14:paraId="7642639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9" w:hRule="atLeast"/>
        </w:trPr>
        <w:tc>
          <w:tcPr>
            <w:tcW w:w="520" w:type="dxa"/>
            <w:vMerge w:val="continue"/>
            <w:noWrap w:val="0"/>
            <w:vAlign w:val="center"/>
          </w:tcPr>
          <w:p w14:paraId="13430756">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12" w:type="dxa"/>
            <w:vMerge w:val="continue"/>
            <w:noWrap w:val="0"/>
            <w:vAlign w:val="center"/>
          </w:tcPr>
          <w:p w14:paraId="430E87A8">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63" w:type="dxa"/>
            <w:vMerge w:val="continue"/>
            <w:noWrap w:val="0"/>
            <w:vAlign w:val="center"/>
          </w:tcPr>
          <w:p w14:paraId="42A82D26">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975" w:type="dxa"/>
            <w:gridSpan w:val="3"/>
            <w:noWrap w:val="0"/>
            <w:vAlign w:val="center"/>
          </w:tcPr>
          <w:p w14:paraId="323370F2">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包气带防污性能</w:t>
            </w:r>
          </w:p>
        </w:tc>
        <w:tc>
          <w:tcPr>
            <w:tcW w:w="1400" w:type="dxa"/>
            <w:gridSpan w:val="2"/>
            <w:noWrap w:val="0"/>
            <w:vAlign w:val="center"/>
          </w:tcPr>
          <w:p w14:paraId="604270EE">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D1</w:t>
            </w:r>
            <w:r>
              <w:rPr>
                <w:rFonts w:hint="default" w:ascii="Times New Roman" w:hAnsi="Times New Roman" w:eastAsia="宋体" w:cs="Times New Roman"/>
                <w:color w:val="auto"/>
                <w:highlight w:val="none"/>
              </w:rPr>
              <w:t>□</w:t>
            </w:r>
          </w:p>
        </w:tc>
        <w:tc>
          <w:tcPr>
            <w:tcW w:w="1475" w:type="dxa"/>
            <w:gridSpan w:val="2"/>
            <w:noWrap w:val="0"/>
            <w:vAlign w:val="center"/>
          </w:tcPr>
          <w:p w14:paraId="733B8D12">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D2</w:t>
            </w:r>
            <w:r>
              <w:rPr>
                <w:rFonts w:hint="default" w:ascii="Times New Roman" w:hAnsi="Times New Roman" w:eastAsia="宋体" w:cs="Times New Roman"/>
                <w:color w:val="auto"/>
                <w:highlight w:val="none"/>
              </w:rPr>
              <w:t>□</w:t>
            </w:r>
          </w:p>
        </w:tc>
        <w:tc>
          <w:tcPr>
            <w:tcW w:w="1328" w:type="dxa"/>
            <w:gridSpan w:val="2"/>
            <w:noWrap w:val="0"/>
            <w:vAlign w:val="center"/>
          </w:tcPr>
          <w:p w14:paraId="4A4B04B0">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D3</w:t>
            </w:r>
            <w:r>
              <w:rPr>
                <w:rFonts w:hint="eastAsia" w:ascii="Times New Roman" w:hAnsi="Times New Roman" w:cs="Times New Roman"/>
                <w:color w:val="auto"/>
                <w:highlight w:val="none"/>
                <w:lang w:eastAsia="zh-CN"/>
              </w:rPr>
              <w:t>□</w:t>
            </w:r>
          </w:p>
        </w:tc>
      </w:tr>
      <w:tr w14:paraId="3BDD56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32" w:type="dxa"/>
            <w:gridSpan w:val="2"/>
            <w:vMerge w:val="restart"/>
            <w:noWrap w:val="0"/>
            <w:vAlign w:val="center"/>
          </w:tcPr>
          <w:p w14:paraId="18009277">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物质及工艺系统危险性</w:t>
            </w:r>
          </w:p>
        </w:tc>
        <w:tc>
          <w:tcPr>
            <w:tcW w:w="1363" w:type="dxa"/>
            <w:noWrap w:val="0"/>
            <w:vAlign w:val="center"/>
          </w:tcPr>
          <w:p w14:paraId="0AABBFB7">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Q值</w:t>
            </w:r>
          </w:p>
        </w:tc>
        <w:tc>
          <w:tcPr>
            <w:tcW w:w="1975" w:type="dxa"/>
            <w:gridSpan w:val="3"/>
            <w:noWrap w:val="0"/>
            <w:vAlign w:val="center"/>
          </w:tcPr>
          <w:p w14:paraId="59C8DA57">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Q&lt;1</w:t>
            </w:r>
            <w:r>
              <w:rPr>
                <w:rFonts w:hint="eastAsia" w:ascii="Times New Roman" w:hAnsi="Times New Roman" w:cs="Times New Roman"/>
                <w:color w:val="auto"/>
                <w:highlight w:val="none"/>
                <w:lang w:eastAsia="zh-CN"/>
              </w:rPr>
              <w:t>☑</w:t>
            </w:r>
          </w:p>
        </w:tc>
        <w:tc>
          <w:tcPr>
            <w:tcW w:w="1400" w:type="dxa"/>
            <w:gridSpan w:val="2"/>
            <w:noWrap w:val="0"/>
            <w:vAlign w:val="center"/>
          </w:tcPr>
          <w:p w14:paraId="2E168E27">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1≦Q&lt;10</w:t>
            </w:r>
            <w:r>
              <w:rPr>
                <w:rFonts w:hint="default" w:ascii="Times New Roman" w:hAnsi="Times New Roman" w:eastAsia="宋体" w:cs="Times New Roman"/>
                <w:color w:val="auto"/>
                <w:highlight w:val="none"/>
              </w:rPr>
              <w:t>□</w:t>
            </w:r>
          </w:p>
        </w:tc>
        <w:tc>
          <w:tcPr>
            <w:tcW w:w="1475" w:type="dxa"/>
            <w:gridSpan w:val="2"/>
            <w:noWrap w:val="0"/>
            <w:vAlign w:val="center"/>
          </w:tcPr>
          <w:p w14:paraId="4EDD6B82">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10≦Q&lt;100</w:t>
            </w:r>
            <w:r>
              <w:rPr>
                <w:rFonts w:hint="eastAsia" w:ascii="Times New Roman" w:hAnsi="Times New Roman" w:cs="Times New Roman"/>
                <w:color w:val="auto"/>
                <w:highlight w:val="none"/>
                <w:lang w:eastAsia="zh-CN"/>
              </w:rPr>
              <w:t>□</w:t>
            </w:r>
          </w:p>
        </w:tc>
        <w:tc>
          <w:tcPr>
            <w:tcW w:w="1328" w:type="dxa"/>
            <w:gridSpan w:val="2"/>
            <w:noWrap w:val="0"/>
            <w:vAlign w:val="center"/>
          </w:tcPr>
          <w:p w14:paraId="07141F89">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Q˃100</w:t>
            </w:r>
            <w:r>
              <w:rPr>
                <w:rFonts w:hint="default" w:ascii="Times New Roman" w:hAnsi="Times New Roman" w:eastAsia="宋体" w:cs="Times New Roman"/>
                <w:color w:val="auto"/>
                <w:highlight w:val="none"/>
              </w:rPr>
              <w:t>□</w:t>
            </w:r>
          </w:p>
        </w:tc>
      </w:tr>
      <w:tr w14:paraId="34D877D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32" w:type="dxa"/>
            <w:gridSpan w:val="2"/>
            <w:vMerge w:val="continue"/>
            <w:noWrap w:val="0"/>
            <w:vAlign w:val="center"/>
          </w:tcPr>
          <w:p w14:paraId="0B96EE0A">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63" w:type="dxa"/>
            <w:noWrap w:val="0"/>
            <w:vAlign w:val="center"/>
          </w:tcPr>
          <w:p w14:paraId="22E13BF2">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M值</w:t>
            </w:r>
          </w:p>
        </w:tc>
        <w:tc>
          <w:tcPr>
            <w:tcW w:w="1975" w:type="dxa"/>
            <w:gridSpan w:val="3"/>
            <w:noWrap w:val="0"/>
            <w:vAlign w:val="center"/>
          </w:tcPr>
          <w:p w14:paraId="0F58F938">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M1</w:t>
            </w:r>
            <w:r>
              <w:rPr>
                <w:rFonts w:hint="default" w:ascii="Times New Roman" w:hAnsi="Times New Roman" w:eastAsia="宋体" w:cs="Times New Roman"/>
                <w:color w:val="auto"/>
                <w:highlight w:val="none"/>
              </w:rPr>
              <w:t>□</w:t>
            </w:r>
          </w:p>
        </w:tc>
        <w:tc>
          <w:tcPr>
            <w:tcW w:w="1400" w:type="dxa"/>
            <w:gridSpan w:val="2"/>
            <w:noWrap w:val="0"/>
            <w:vAlign w:val="center"/>
          </w:tcPr>
          <w:p w14:paraId="0D50DE45">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M2</w:t>
            </w:r>
            <w:r>
              <w:rPr>
                <w:rFonts w:hint="default" w:ascii="Times New Roman" w:hAnsi="Times New Roman" w:eastAsia="宋体" w:cs="Times New Roman"/>
                <w:color w:val="auto"/>
                <w:highlight w:val="none"/>
              </w:rPr>
              <w:t>□</w:t>
            </w:r>
          </w:p>
        </w:tc>
        <w:tc>
          <w:tcPr>
            <w:tcW w:w="1475" w:type="dxa"/>
            <w:gridSpan w:val="2"/>
            <w:noWrap w:val="0"/>
            <w:vAlign w:val="center"/>
          </w:tcPr>
          <w:p w14:paraId="6F01F1ED">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M3</w:t>
            </w:r>
            <w:r>
              <w:rPr>
                <w:rFonts w:hint="default" w:ascii="Times New Roman" w:hAnsi="Times New Roman" w:eastAsia="宋体" w:cs="Times New Roman"/>
                <w:color w:val="auto"/>
                <w:highlight w:val="none"/>
              </w:rPr>
              <w:t>□</w:t>
            </w:r>
          </w:p>
        </w:tc>
        <w:tc>
          <w:tcPr>
            <w:tcW w:w="1328" w:type="dxa"/>
            <w:gridSpan w:val="2"/>
            <w:noWrap w:val="0"/>
            <w:vAlign w:val="center"/>
          </w:tcPr>
          <w:p w14:paraId="5CCDB28D">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M4</w:t>
            </w:r>
            <w:r>
              <w:rPr>
                <w:rFonts w:hint="eastAsia" w:ascii="Times New Roman" w:hAnsi="Times New Roman" w:cs="Times New Roman"/>
                <w:color w:val="auto"/>
                <w:highlight w:val="none"/>
                <w:lang w:eastAsia="zh-CN"/>
              </w:rPr>
              <w:t>□</w:t>
            </w:r>
          </w:p>
        </w:tc>
      </w:tr>
      <w:tr w14:paraId="58A728F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32" w:type="dxa"/>
            <w:gridSpan w:val="2"/>
            <w:vMerge w:val="continue"/>
            <w:noWrap w:val="0"/>
            <w:vAlign w:val="center"/>
          </w:tcPr>
          <w:p w14:paraId="70A267B7">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63" w:type="dxa"/>
            <w:noWrap w:val="0"/>
            <w:vAlign w:val="center"/>
          </w:tcPr>
          <w:p w14:paraId="2969968B">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P值</w:t>
            </w:r>
          </w:p>
        </w:tc>
        <w:tc>
          <w:tcPr>
            <w:tcW w:w="1975" w:type="dxa"/>
            <w:gridSpan w:val="3"/>
            <w:noWrap w:val="0"/>
            <w:vAlign w:val="center"/>
          </w:tcPr>
          <w:p w14:paraId="0B5CAA39">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P1</w:t>
            </w:r>
            <w:r>
              <w:rPr>
                <w:rFonts w:hint="default" w:ascii="Times New Roman" w:hAnsi="Times New Roman" w:eastAsia="宋体" w:cs="Times New Roman"/>
                <w:color w:val="auto"/>
                <w:highlight w:val="none"/>
              </w:rPr>
              <w:t>□</w:t>
            </w:r>
          </w:p>
        </w:tc>
        <w:tc>
          <w:tcPr>
            <w:tcW w:w="1400" w:type="dxa"/>
            <w:gridSpan w:val="2"/>
            <w:noWrap w:val="0"/>
            <w:vAlign w:val="center"/>
          </w:tcPr>
          <w:p w14:paraId="060959C5">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P2</w:t>
            </w:r>
            <w:r>
              <w:rPr>
                <w:rFonts w:hint="default" w:ascii="Times New Roman" w:hAnsi="Times New Roman" w:eastAsia="宋体" w:cs="Times New Roman"/>
                <w:color w:val="auto"/>
                <w:highlight w:val="none"/>
              </w:rPr>
              <w:t>□</w:t>
            </w:r>
          </w:p>
        </w:tc>
        <w:tc>
          <w:tcPr>
            <w:tcW w:w="1475" w:type="dxa"/>
            <w:gridSpan w:val="2"/>
            <w:noWrap w:val="0"/>
            <w:vAlign w:val="center"/>
          </w:tcPr>
          <w:p w14:paraId="4871A07C">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P3</w:t>
            </w:r>
            <w:r>
              <w:rPr>
                <w:rFonts w:hint="default" w:ascii="Times New Roman" w:hAnsi="Times New Roman" w:eastAsia="宋体" w:cs="Times New Roman"/>
                <w:color w:val="auto"/>
                <w:highlight w:val="none"/>
              </w:rPr>
              <w:t>□</w:t>
            </w:r>
          </w:p>
        </w:tc>
        <w:tc>
          <w:tcPr>
            <w:tcW w:w="1328" w:type="dxa"/>
            <w:gridSpan w:val="2"/>
            <w:noWrap w:val="0"/>
            <w:vAlign w:val="center"/>
          </w:tcPr>
          <w:p w14:paraId="35A297B6">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P4</w:t>
            </w:r>
            <w:r>
              <w:rPr>
                <w:rFonts w:hint="eastAsia" w:ascii="Times New Roman" w:hAnsi="Times New Roman" w:cs="Times New Roman"/>
                <w:color w:val="auto"/>
                <w:highlight w:val="none"/>
                <w:lang w:eastAsia="zh-CN"/>
              </w:rPr>
              <w:t>□</w:t>
            </w:r>
          </w:p>
        </w:tc>
      </w:tr>
      <w:tr w14:paraId="0E433A5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832" w:type="dxa"/>
            <w:gridSpan w:val="2"/>
            <w:vMerge w:val="restart"/>
            <w:noWrap w:val="0"/>
            <w:vAlign w:val="center"/>
          </w:tcPr>
          <w:p w14:paraId="418E0722">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环境敏感程度</w:t>
            </w:r>
          </w:p>
        </w:tc>
        <w:tc>
          <w:tcPr>
            <w:tcW w:w="1363" w:type="dxa"/>
            <w:noWrap w:val="0"/>
            <w:vAlign w:val="center"/>
          </w:tcPr>
          <w:p w14:paraId="0CB0C5F1">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sym w:font="Times New Roman" w:char="0000"/>
            </w:r>
            <w:r>
              <w:rPr>
                <w:rFonts w:hint="default" w:ascii="Times New Roman" w:hAnsi="Times New Roman" w:eastAsia="宋体" w:cs="Times New Roman"/>
                <w:color w:val="auto"/>
                <w:sz w:val="21"/>
                <w:szCs w:val="21"/>
                <w:highlight w:val="none"/>
              </w:rPr>
              <w:t>大气</w:t>
            </w:r>
          </w:p>
        </w:tc>
        <w:tc>
          <w:tcPr>
            <w:tcW w:w="1975" w:type="dxa"/>
            <w:gridSpan w:val="3"/>
            <w:noWrap w:val="0"/>
            <w:vAlign w:val="center"/>
          </w:tcPr>
          <w:p w14:paraId="6176B77D">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E1</w:t>
            </w:r>
            <w:r>
              <w:rPr>
                <w:rFonts w:hint="default" w:ascii="Times New Roman" w:hAnsi="Times New Roman" w:eastAsia="宋体" w:cs="Times New Roman"/>
                <w:color w:val="auto"/>
                <w:highlight w:val="none"/>
              </w:rPr>
              <w:t>□</w:t>
            </w:r>
          </w:p>
        </w:tc>
        <w:tc>
          <w:tcPr>
            <w:tcW w:w="2112" w:type="dxa"/>
            <w:gridSpan w:val="3"/>
            <w:noWrap w:val="0"/>
            <w:vAlign w:val="center"/>
          </w:tcPr>
          <w:p w14:paraId="1C73CD27">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E2</w:t>
            </w:r>
            <w:r>
              <w:rPr>
                <w:rFonts w:hint="eastAsia" w:ascii="Times New Roman" w:hAnsi="Times New Roman" w:cs="Times New Roman"/>
                <w:color w:val="auto"/>
                <w:highlight w:val="none"/>
                <w:lang w:eastAsia="zh-CN"/>
              </w:rPr>
              <w:t>□</w:t>
            </w:r>
          </w:p>
        </w:tc>
        <w:tc>
          <w:tcPr>
            <w:tcW w:w="2091" w:type="dxa"/>
            <w:gridSpan w:val="3"/>
            <w:noWrap w:val="0"/>
            <w:vAlign w:val="center"/>
          </w:tcPr>
          <w:p w14:paraId="6C6E5BD4">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E3</w:t>
            </w:r>
            <w:r>
              <w:rPr>
                <w:rFonts w:hint="default" w:ascii="Times New Roman" w:hAnsi="Times New Roman" w:eastAsia="宋体" w:cs="Times New Roman"/>
                <w:color w:val="auto"/>
                <w:highlight w:val="none"/>
              </w:rPr>
              <w:t>□</w:t>
            </w:r>
          </w:p>
        </w:tc>
      </w:tr>
      <w:tr w14:paraId="7671E8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832" w:type="dxa"/>
            <w:gridSpan w:val="2"/>
            <w:vMerge w:val="continue"/>
            <w:noWrap w:val="0"/>
            <w:vAlign w:val="center"/>
          </w:tcPr>
          <w:p w14:paraId="6CF19140">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63" w:type="dxa"/>
            <w:noWrap w:val="0"/>
            <w:vAlign w:val="center"/>
          </w:tcPr>
          <w:p w14:paraId="6DE09E6A">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rPr>
              <w:t>地表水</w:t>
            </w:r>
          </w:p>
        </w:tc>
        <w:tc>
          <w:tcPr>
            <w:tcW w:w="1975" w:type="dxa"/>
            <w:gridSpan w:val="3"/>
            <w:noWrap w:val="0"/>
            <w:vAlign w:val="center"/>
          </w:tcPr>
          <w:p w14:paraId="053D6803">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E1</w:t>
            </w:r>
            <w:r>
              <w:rPr>
                <w:rFonts w:hint="default" w:ascii="Times New Roman" w:hAnsi="Times New Roman" w:eastAsia="宋体" w:cs="Times New Roman"/>
                <w:color w:val="auto"/>
                <w:highlight w:val="none"/>
              </w:rPr>
              <w:t>□</w:t>
            </w:r>
          </w:p>
        </w:tc>
        <w:tc>
          <w:tcPr>
            <w:tcW w:w="2112" w:type="dxa"/>
            <w:gridSpan w:val="3"/>
            <w:noWrap w:val="0"/>
            <w:vAlign w:val="center"/>
          </w:tcPr>
          <w:p w14:paraId="1FEE31AD">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highlight w:val="none"/>
              </w:rPr>
            </w:pPr>
            <w:r>
              <w:rPr>
                <w:rFonts w:hint="default" w:ascii="Times New Roman" w:hAnsi="Times New Roman" w:eastAsia="宋体" w:cs="Times New Roman"/>
                <w:color w:val="auto"/>
                <w:sz w:val="21"/>
                <w:szCs w:val="21"/>
                <w:highlight w:val="none"/>
              </w:rPr>
              <w:t>E2</w:t>
            </w:r>
            <w:r>
              <w:rPr>
                <w:rFonts w:hint="default" w:ascii="Times New Roman" w:hAnsi="Times New Roman" w:eastAsia="宋体" w:cs="Times New Roman"/>
                <w:color w:val="auto"/>
                <w:highlight w:val="none"/>
              </w:rPr>
              <w:t>□</w:t>
            </w:r>
          </w:p>
        </w:tc>
        <w:tc>
          <w:tcPr>
            <w:tcW w:w="2091" w:type="dxa"/>
            <w:gridSpan w:val="3"/>
            <w:noWrap w:val="0"/>
            <w:vAlign w:val="center"/>
          </w:tcPr>
          <w:p w14:paraId="5960C1CB">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E3</w:t>
            </w:r>
            <w:r>
              <w:rPr>
                <w:rFonts w:hint="eastAsia" w:ascii="Times New Roman" w:hAnsi="Times New Roman" w:cs="Times New Roman"/>
                <w:color w:val="auto"/>
                <w:highlight w:val="none"/>
                <w:lang w:eastAsia="zh-CN"/>
              </w:rPr>
              <w:t>□</w:t>
            </w:r>
          </w:p>
        </w:tc>
      </w:tr>
      <w:tr w14:paraId="62056EF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832" w:type="dxa"/>
            <w:gridSpan w:val="2"/>
            <w:vMerge w:val="continue"/>
            <w:noWrap w:val="0"/>
            <w:vAlign w:val="center"/>
          </w:tcPr>
          <w:p w14:paraId="615C52E7">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63" w:type="dxa"/>
            <w:noWrap w:val="0"/>
            <w:vAlign w:val="center"/>
          </w:tcPr>
          <w:p w14:paraId="2A9D90D0">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地下水</w:t>
            </w:r>
          </w:p>
        </w:tc>
        <w:tc>
          <w:tcPr>
            <w:tcW w:w="1975" w:type="dxa"/>
            <w:gridSpan w:val="3"/>
            <w:noWrap w:val="0"/>
            <w:vAlign w:val="center"/>
          </w:tcPr>
          <w:p w14:paraId="3B241B6F">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E1</w:t>
            </w:r>
            <w:r>
              <w:rPr>
                <w:rFonts w:hint="default" w:ascii="Times New Roman" w:hAnsi="Times New Roman" w:eastAsia="宋体" w:cs="Times New Roman"/>
                <w:color w:val="auto"/>
                <w:highlight w:val="none"/>
              </w:rPr>
              <w:t>□</w:t>
            </w:r>
          </w:p>
        </w:tc>
        <w:tc>
          <w:tcPr>
            <w:tcW w:w="2112" w:type="dxa"/>
            <w:gridSpan w:val="3"/>
            <w:noWrap w:val="0"/>
            <w:vAlign w:val="center"/>
          </w:tcPr>
          <w:p w14:paraId="515B63D4">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E2</w:t>
            </w:r>
            <w:r>
              <w:rPr>
                <w:rFonts w:hint="default" w:ascii="Times New Roman" w:hAnsi="Times New Roman" w:eastAsia="宋体" w:cs="Times New Roman"/>
                <w:color w:val="auto"/>
                <w:highlight w:val="none"/>
              </w:rPr>
              <w:t>□</w:t>
            </w:r>
          </w:p>
        </w:tc>
        <w:tc>
          <w:tcPr>
            <w:tcW w:w="2091" w:type="dxa"/>
            <w:gridSpan w:val="3"/>
            <w:noWrap w:val="0"/>
            <w:vAlign w:val="center"/>
          </w:tcPr>
          <w:p w14:paraId="5F1D5C4F">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E3</w:t>
            </w:r>
            <w:r>
              <w:rPr>
                <w:rFonts w:hint="eastAsia" w:ascii="Times New Roman" w:hAnsi="Times New Roman" w:cs="Times New Roman"/>
                <w:color w:val="auto"/>
                <w:highlight w:val="none"/>
                <w:lang w:eastAsia="zh-CN"/>
              </w:rPr>
              <w:t>□</w:t>
            </w:r>
          </w:p>
        </w:tc>
      </w:tr>
      <w:tr w14:paraId="6CCFD4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832" w:type="dxa"/>
            <w:gridSpan w:val="2"/>
            <w:noWrap w:val="0"/>
            <w:vAlign w:val="center"/>
          </w:tcPr>
          <w:p w14:paraId="733DB14F">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环境风险潜势</w:t>
            </w:r>
          </w:p>
        </w:tc>
        <w:tc>
          <w:tcPr>
            <w:tcW w:w="1745" w:type="dxa"/>
            <w:gridSpan w:val="2"/>
            <w:noWrap w:val="0"/>
            <w:vAlign w:val="center"/>
          </w:tcPr>
          <w:p w14:paraId="43071116">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Ⅳ</w:t>
            </w:r>
            <w:r>
              <w:rPr>
                <w:rFonts w:hint="default" w:ascii="Times New Roman" w:hAnsi="Times New Roman" w:eastAsia="宋体" w:cs="Times New Roman"/>
                <w:color w:val="auto"/>
                <w:sz w:val="21"/>
                <w:szCs w:val="21"/>
                <w:highlight w:val="none"/>
                <w:vertAlign w:val="superscript"/>
              </w:rPr>
              <w:t>+</w:t>
            </w:r>
            <w:r>
              <w:rPr>
                <w:rFonts w:hint="default" w:ascii="Times New Roman" w:hAnsi="Times New Roman" w:eastAsia="宋体" w:cs="Times New Roman"/>
                <w:color w:val="auto"/>
                <w:highlight w:val="none"/>
              </w:rPr>
              <w:t>□</w:t>
            </w:r>
          </w:p>
        </w:tc>
        <w:tc>
          <w:tcPr>
            <w:tcW w:w="1593" w:type="dxa"/>
            <w:gridSpan w:val="2"/>
            <w:noWrap w:val="0"/>
            <w:vAlign w:val="center"/>
          </w:tcPr>
          <w:p w14:paraId="0B85F1B3">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Ⅳ</w:t>
            </w:r>
            <w:r>
              <w:rPr>
                <w:rFonts w:hint="default" w:ascii="Times New Roman" w:hAnsi="Times New Roman" w:eastAsia="宋体" w:cs="Times New Roman"/>
                <w:color w:val="auto"/>
                <w:highlight w:val="none"/>
              </w:rPr>
              <w:t>□</w:t>
            </w:r>
          </w:p>
        </w:tc>
        <w:tc>
          <w:tcPr>
            <w:tcW w:w="1400" w:type="dxa"/>
            <w:gridSpan w:val="2"/>
            <w:noWrap w:val="0"/>
            <w:vAlign w:val="center"/>
          </w:tcPr>
          <w:p w14:paraId="3C2957C5">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Ⅲ</w:t>
            </w:r>
            <w:r>
              <w:rPr>
                <w:rFonts w:hint="default" w:ascii="Times New Roman" w:hAnsi="Times New Roman" w:eastAsia="宋体" w:cs="Times New Roman"/>
                <w:color w:val="auto"/>
                <w:highlight w:val="none"/>
              </w:rPr>
              <w:t>□</w:t>
            </w:r>
          </w:p>
        </w:tc>
        <w:tc>
          <w:tcPr>
            <w:tcW w:w="1475" w:type="dxa"/>
            <w:gridSpan w:val="2"/>
            <w:noWrap w:val="0"/>
            <w:vAlign w:val="center"/>
          </w:tcPr>
          <w:p w14:paraId="5A3E68D9">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П</w:t>
            </w:r>
            <w:r>
              <w:rPr>
                <w:rFonts w:hint="eastAsia" w:ascii="Times New Roman" w:hAnsi="Times New Roman" w:cs="Times New Roman"/>
                <w:color w:val="auto"/>
                <w:highlight w:val="none"/>
                <w:lang w:eastAsia="zh-CN"/>
              </w:rPr>
              <w:t>□</w:t>
            </w:r>
          </w:p>
        </w:tc>
        <w:tc>
          <w:tcPr>
            <w:tcW w:w="1328" w:type="dxa"/>
            <w:gridSpan w:val="2"/>
            <w:noWrap w:val="0"/>
            <w:vAlign w:val="center"/>
          </w:tcPr>
          <w:p w14:paraId="643CD081">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Ⅰ</w:t>
            </w:r>
            <w:r>
              <w:rPr>
                <w:rFonts w:hint="eastAsia" w:ascii="Times New Roman" w:hAnsi="Times New Roman" w:cs="Times New Roman"/>
                <w:color w:val="auto"/>
                <w:highlight w:val="none"/>
                <w:lang w:eastAsia="zh-CN"/>
              </w:rPr>
              <w:t>☑</w:t>
            </w:r>
          </w:p>
        </w:tc>
      </w:tr>
      <w:tr w14:paraId="5D6C828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832" w:type="dxa"/>
            <w:gridSpan w:val="2"/>
            <w:noWrap w:val="0"/>
            <w:vAlign w:val="center"/>
          </w:tcPr>
          <w:p w14:paraId="1946DBC1">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评价等级</w:t>
            </w:r>
          </w:p>
        </w:tc>
        <w:tc>
          <w:tcPr>
            <w:tcW w:w="3338" w:type="dxa"/>
            <w:gridSpan w:val="4"/>
            <w:noWrap w:val="0"/>
            <w:vAlign w:val="center"/>
          </w:tcPr>
          <w:p w14:paraId="3D449DC4">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一级</w:t>
            </w:r>
            <w:r>
              <w:rPr>
                <w:rFonts w:hint="default" w:ascii="Times New Roman" w:hAnsi="Times New Roman" w:eastAsia="宋体" w:cs="Times New Roman"/>
                <w:color w:val="auto"/>
                <w:highlight w:val="none"/>
              </w:rPr>
              <w:t>□</w:t>
            </w:r>
          </w:p>
        </w:tc>
        <w:tc>
          <w:tcPr>
            <w:tcW w:w="1400" w:type="dxa"/>
            <w:gridSpan w:val="2"/>
            <w:noWrap w:val="0"/>
            <w:vAlign w:val="center"/>
          </w:tcPr>
          <w:p w14:paraId="3005CAC0">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二级</w:t>
            </w:r>
            <w:r>
              <w:rPr>
                <w:rFonts w:hint="default" w:ascii="Times New Roman" w:hAnsi="Times New Roman" w:eastAsia="宋体" w:cs="Times New Roman"/>
                <w:color w:val="auto"/>
                <w:highlight w:val="none"/>
              </w:rPr>
              <w:t>□</w:t>
            </w:r>
          </w:p>
        </w:tc>
        <w:tc>
          <w:tcPr>
            <w:tcW w:w="1475" w:type="dxa"/>
            <w:gridSpan w:val="2"/>
            <w:noWrap w:val="0"/>
            <w:vAlign w:val="center"/>
          </w:tcPr>
          <w:p w14:paraId="29A39F05">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三级</w:t>
            </w:r>
            <w:r>
              <w:rPr>
                <w:rFonts w:hint="eastAsia" w:ascii="Times New Roman" w:hAnsi="Times New Roman" w:cs="Times New Roman"/>
                <w:color w:val="auto"/>
                <w:highlight w:val="none"/>
                <w:lang w:eastAsia="zh-CN"/>
              </w:rPr>
              <w:t>□</w:t>
            </w:r>
          </w:p>
        </w:tc>
        <w:tc>
          <w:tcPr>
            <w:tcW w:w="1328" w:type="dxa"/>
            <w:gridSpan w:val="2"/>
            <w:noWrap w:val="0"/>
            <w:vAlign w:val="center"/>
          </w:tcPr>
          <w:p w14:paraId="57D0851E">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简单分析</w:t>
            </w:r>
            <w:r>
              <w:rPr>
                <w:rFonts w:hint="eastAsia" w:ascii="Times New Roman" w:hAnsi="Times New Roman" w:cs="Times New Roman"/>
                <w:color w:val="auto"/>
                <w:highlight w:val="none"/>
                <w:lang w:eastAsia="zh-CN"/>
              </w:rPr>
              <w:t>☑</w:t>
            </w:r>
          </w:p>
        </w:tc>
      </w:tr>
      <w:tr w14:paraId="453446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20" w:type="dxa"/>
            <w:vMerge w:val="restart"/>
            <w:noWrap w:val="0"/>
            <w:vAlign w:val="center"/>
          </w:tcPr>
          <w:p w14:paraId="44B3F43F">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风险识别</w:t>
            </w:r>
          </w:p>
        </w:tc>
        <w:tc>
          <w:tcPr>
            <w:tcW w:w="1312" w:type="dxa"/>
            <w:noWrap w:val="0"/>
            <w:vAlign w:val="center"/>
          </w:tcPr>
          <w:p w14:paraId="49DBC221">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物质危险性</w:t>
            </w:r>
          </w:p>
        </w:tc>
        <w:tc>
          <w:tcPr>
            <w:tcW w:w="3338" w:type="dxa"/>
            <w:gridSpan w:val="4"/>
            <w:noWrap w:val="0"/>
            <w:vAlign w:val="center"/>
          </w:tcPr>
          <w:p w14:paraId="6DA9615A">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有毒有害</w:t>
            </w:r>
            <w:r>
              <w:rPr>
                <w:rFonts w:hint="eastAsia" w:cs="Times New Roman"/>
                <w:color w:val="auto"/>
                <w:highlight w:val="none"/>
                <w:lang w:eastAsia="zh-CN"/>
              </w:rPr>
              <w:t>☑</w:t>
            </w:r>
          </w:p>
        </w:tc>
        <w:tc>
          <w:tcPr>
            <w:tcW w:w="4203" w:type="dxa"/>
            <w:gridSpan w:val="6"/>
            <w:noWrap w:val="0"/>
            <w:vAlign w:val="center"/>
          </w:tcPr>
          <w:p w14:paraId="35F8F4FF">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易燃易爆</w:t>
            </w:r>
            <w:r>
              <w:rPr>
                <w:rFonts w:hint="eastAsia" w:cs="Times New Roman"/>
                <w:color w:val="auto"/>
                <w:highlight w:val="none"/>
                <w:lang w:eastAsia="zh-CN"/>
              </w:rPr>
              <w:t>□</w:t>
            </w:r>
          </w:p>
        </w:tc>
      </w:tr>
      <w:tr w14:paraId="7ABAA5C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20" w:type="dxa"/>
            <w:vMerge w:val="continue"/>
            <w:noWrap w:val="0"/>
            <w:vAlign w:val="center"/>
          </w:tcPr>
          <w:p w14:paraId="579E428B">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12" w:type="dxa"/>
            <w:noWrap w:val="0"/>
            <w:vAlign w:val="center"/>
          </w:tcPr>
          <w:p w14:paraId="4132413B">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环境风险</w:t>
            </w:r>
          </w:p>
          <w:p w14:paraId="545BBCD8">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类型</w:t>
            </w:r>
          </w:p>
        </w:tc>
        <w:tc>
          <w:tcPr>
            <w:tcW w:w="3338" w:type="dxa"/>
            <w:gridSpan w:val="4"/>
            <w:noWrap w:val="0"/>
            <w:vAlign w:val="center"/>
          </w:tcPr>
          <w:p w14:paraId="6A442F76">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泄漏</w:t>
            </w:r>
            <w:r>
              <w:rPr>
                <w:rFonts w:hint="eastAsia" w:ascii="Times New Roman" w:hAnsi="Times New Roman" w:eastAsia="宋体" w:cs="Times New Roman"/>
                <w:color w:val="auto"/>
                <w:highlight w:val="none"/>
                <w:lang w:eastAsia="zh-CN"/>
              </w:rPr>
              <w:t>☑</w:t>
            </w:r>
          </w:p>
        </w:tc>
        <w:tc>
          <w:tcPr>
            <w:tcW w:w="4203" w:type="dxa"/>
            <w:gridSpan w:val="6"/>
            <w:noWrap w:val="0"/>
            <w:vAlign w:val="center"/>
          </w:tcPr>
          <w:p w14:paraId="67A273E2">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火灾/爆炸引发伴生/次生污染物排放</w:t>
            </w:r>
            <w:r>
              <w:rPr>
                <w:rFonts w:hint="eastAsia" w:cs="Times New Roman"/>
                <w:color w:val="auto"/>
                <w:highlight w:val="none"/>
                <w:lang w:eastAsia="zh-CN"/>
              </w:rPr>
              <w:t>□</w:t>
            </w:r>
          </w:p>
        </w:tc>
      </w:tr>
      <w:tr w14:paraId="1040EA7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20" w:type="dxa"/>
            <w:vMerge w:val="continue"/>
            <w:noWrap w:val="0"/>
            <w:vAlign w:val="center"/>
          </w:tcPr>
          <w:p w14:paraId="275DD6E9">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12" w:type="dxa"/>
            <w:noWrap w:val="0"/>
            <w:vAlign w:val="center"/>
          </w:tcPr>
          <w:p w14:paraId="4FF2175F">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影响途径</w:t>
            </w:r>
          </w:p>
        </w:tc>
        <w:tc>
          <w:tcPr>
            <w:tcW w:w="3338" w:type="dxa"/>
            <w:gridSpan w:val="4"/>
            <w:noWrap w:val="0"/>
            <w:vAlign w:val="center"/>
          </w:tcPr>
          <w:p w14:paraId="2AB21BE0">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大气</w:t>
            </w:r>
            <w:r>
              <w:rPr>
                <w:rFonts w:hint="eastAsia" w:ascii="Times New Roman" w:hAnsi="Times New Roman" w:eastAsia="宋体" w:cs="Times New Roman"/>
                <w:color w:val="auto"/>
                <w:highlight w:val="none"/>
                <w:lang w:eastAsia="zh-CN"/>
              </w:rPr>
              <w:t>☑</w:t>
            </w:r>
          </w:p>
        </w:tc>
        <w:tc>
          <w:tcPr>
            <w:tcW w:w="2112" w:type="dxa"/>
            <w:gridSpan w:val="3"/>
            <w:noWrap w:val="0"/>
            <w:vAlign w:val="center"/>
          </w:tcPr>
          <w:p w14:paraId="0304741E">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地表水</w:t>
            </w:r>
            <w:r>
              <w:rPr>
                <w:rFonts w:hint="eastAsia" w:ascii="Times New Roman" w:hAnsi="Times New Roman" w:cs="Times New Roman"/>
                <w:color w:val="auto"/>
                <w:highlight w:val="none"/>
                <w:lang w:eastAsia="zh-CN"/>
              </w:rPr>
              <w:t>☑</w:t>
            </w:r>
          </w:p>
        </w:tc>
        <w:tc>
          <w:tcPr>
            <w:tcW w:w="2091" w:type="dxa"/>
            <w:gridSpan w:val="3"/>
            <w:noWrap w:val="0"/>
            <w:vAlign w:val="center"/>
          </w:tcPr>
          <w:p w14:paraId="0578A54E">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地下水</w:t>
            </w:r>
            <w:r>
              <w:rPr>
                <w:rFonts w:hint="eastAsia" w:ascii="Times New Roman" w:hAnsi="Times New Roman" w:eastAsia="宋体" w:cs="Times New Roman"/>
                <w:color w:val="auto"/>
                <w:highlight w:val="none"/>
                <w:lang w:eastAsia="zh-CN"/>
              </w:rPr>
              <w:t>☑</w:t>
            </w:r>
          </w:p>
        </w:tc>
      </w:tr>
      <w:tr w14:paraId="19C21F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832" w:type="dxa"/>
            <w:gridSpan w:val="2"/>
            <w:noWrap w:val="0"/>
            <w:vAlign w:val="center"/>
          </w:tcPr>
          <w:p w14:paraId="20F4255F">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事故情景分析</w:t>
            </w:r>
          </w:p>
        </w:tc>
        <w:tc>
          <w:tcPr>
            <w:tcW w:w="1363" w:type="dxa"/>
            <w:noWrap w:val="0"/>
            <w:vAlign w:val="center"/>
          </w:tcPr>
          <w:p w14:paraId="31E1D6CD">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1"/>
                <w:sz w:val="21"/>
                <w:szCs w:val="21"/>
                <w:highlight w:val="none"/>
              </w:rPr>
              <w:t>源强设定方法</w:t>
            </w:r>
          </w:p>
        </w:tc>
        <w:tc>
          <w:tcPr>
            <w:tcW w:w="1975" w:type="dxa"/>
            <w:gridSpan w:val="3"/>
            <w:noWrap w:val="0"/>
            <w:vAlign w:val="center"/>
          </w:tcPr>
          <w:p w14:paraId="4E7FFA7F">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计算法</w:t>
            </w:r>
            <w:r>
              <w:rPr>
                <w:rFonts w:hint="eastAsia" w:ascii="Times New Roman" w:hAnsi="Times New Roman" w:cs="Times New Roman"/>
                <w:color w:val="auto"/>
                <w:highlight w:val="none"/>
                <w:lang w:eastAsia="zh-CN"/>
              </w:rPr>
              <w:t>□</w:t>
            </w:r>
          </w:p>
        </w:tc>
        <w:tc>
          <w:tcPr>
            <w:tcW w:w="2112" w:type="dxa"/>
            <w:gridSpan w:val="3"/>
            <w:noWrap w:val="0"/>
            <w:vAlign w:val="center"/>
          </w:tcPr>
          <w:p w14:paraId="4F216224">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经验估算法</w:t>
            </w:r>
            <w:r>
              <w:rPr>
                <w:rFonts w:hint="default" w:ascii="Times New Roman" w:hAnsi="Times New Roman" w:eastAsia="宋体" w:cs="Times New Roman"/>
                <w:color w:val="auto"/>
                <w:highlight w:val="none"/>
              </w:rPr>
              <w:t>□</w:t>
            </w:r>
          </w:p>
        </w:tc>
        <w:tc>
          <w:tcPr>
            <w:tcW w:w="2091" w:type="dxa"/>
            <w:gridSpan w:val="3"/>
            <w:noWrap w:val="0"/>
            <w:vAlign w:val="center"/>
          </w:tcPr>
          <w:p w14:paraId="3F208B89">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其它估算法</w:t>
            </w:r>
            <w:r>
              <w:rPr>
                <w:rFonts w:hint="default" w:ascii="Times New Roman" w:hAnsi="Times New Roman" w:eastAsia="宋体" w:cs="Times New Roman"/>
                <w:color w:val="auto"/>
                <w:highlight w:val="none"/>
              </w:rPr>
              <w:t>□</w:t>
            </w:r>
          </w:p>
        </w:tc>
      </w:tr>
      <w:tr w14:paraId="1CABCB3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20" w:type="dxa"/>
            <w:vMerge w:val="restart"/>
            <w:noWrap w:val="0"/>
            <w:vAlign w:val="center"/>
          </w:tcPr>
          <w:p w14:paraId="08D4CC62">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风险预测与评价</w:t>
            </w:r>
          </w:p>
        </w:tc>
        <w:tc>
          <w:tcPr>
            <w:tcW w:w="1312" w:type="dxa"/>
            <w:vMerge w:val="restart"/>
            <w:noWrap w:val="0"/>
            <w:vAlign w:val="center"/>
          </w:tcPr>
          <w:p w14:paraId="6E07FE84">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w:t>
            </w:r>
          </w:p>
        </w:tc>
        <w:tc>
          <w:tcPr>
            <w:tcW w:w="1363" w:type="dxa"/>
            <w:noWrap w:val="0"/>
            <w:vAlign w:val="center"/>
          </w:tcPr>
          <w:p w14:paraId="03BF775E">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预测模型</w:t>
            </w:r>
          </w:p>
        </w:tc>
        <w:tc>
          <w:tcPr>
            <w:tcW w:w="1975" w:type="dxa"/>
            <w:gridSpan w:val="3"/>
            <w:noWrap w:val="0"/>
            <w:vAlign w:val="center"/>
          </w:tcPr>
          <w:p w14:paraId="4A747FD7">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SLAB</w:t>
            </w:r>
            <w:r>
              <w:rPr>
                <w:rFonts w:hint="default" w:ascii="Times New Roman" w:hAnsi="Times New Roman" w:eastAsia="宋体" w:cs="Times New Roman"/>
                <w:color w:val="auto"/>
                <w:highlight w:val="none"/>
              </w:rPr>
              <w:t>□</w:t>
            </w:r>
          </w:p>
        </w:tc>
        <w:tc>
          <w:tcPr>
            <w:tcW w:w="2112" w:type="dxa"/>
            <w:gridSpan w:val="3"/>
            <w:noWrap w:val="0"/>
            <w:vAlign w:val="center"/>
          </w:tcPr>
          <w:p w14:paraId="75EA46A9">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AFTOX</w:t>
            </w:r>
            <w:r>
              <w:rPr>
                <w:rFonts w:hint="eastAsia" w:ascii="Times New Roman" w:hAnsi="Times New Roman" w:cs="Times New Roman"/>
                <w:color w:val="auto"/>
                <w:highlight w:val="none"/>
                <w:lang w:eastAsia="zh-CN"/>
              </w:rPr>
              <w:t>□</w:t>
            </w:r>
          </w:p>
        </w:tc>
        <w:tc>
          <w:tcPr>
            <w:tcW w:w="2091" w:type="dxa"/>
            <w:gridSpan w:val="3"/>
            <w:noWrap w:val="0"/>
            <w:vAlign w:val="center"/>
          </w:tcPr>
          <w:p w14:paraId="7AF23D59">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其它</w:t>
            </w:r>
            <w:r>
              <w:rPr>
                <w:rFonts w:hint="default" w:ascii="Times New Roman" w:hAnsi="Times New Roman" w:eastAsia="宋体" w:cs="Times New Roman"/>
                <w:color w:val="auto"/>
                <w:highlight w:val="none"/>
              </w:rPr>
              <w:t>□</w:t>
            </w:r>
          </w:p>
        </w:tc>
      </w:tr>
      <w:tr w14:paraId="476BEC1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520" w:type="dxa"/>
            <w:vMerge w:val="continue"/>
            <w:noWrap w:val="0"/>
            <w:vAlign w:val="center"/>
          </w:tcPr>
          <w:p w14:paraId="214FDBA5">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12" w:type="dxa"/>
            <w:vMerge w:val="continue"/>
            <w:noWrap w:val="0"/>
            <w:vAlign w:val="center"/>
          </w:tcPr>
          <w:p w14:paraId="534F512B">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63" w:type="dxa"/>
            <w:vMerge w:val="restart"/>
            <w:noWrap w:val="0"/>
            <w:vAlign w:val="center"/>
          </w:tcPr>
          <w:p w14:paraId="274883E6">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预测结果</w:t>
            </w:r>
          </w:p>
        </w:tc>
        <w:tc>
          <w:tcPr>
            <w:tcW w:w="6178" w:type="dxa"/>
            <w:gridSpan w:val="9"/>
            <w:noWrap w:val="0"/>
            <w:vAlign w:val="center"/>
          </w:tcPr>
          <w:p w14:paraId="5E504B8A">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大气毒性终点浓度-1 最大影响范围</w:t>
            </w:r>
            <w:r>
              <w:rPr>
                <w:rFonts w:hint="default" w:ascii="Times New Roman" w:hAnsi="Times New Roman" w:cs="Times New Roman"/>
                <w:color w:val="auto"/>
                <w:sz w:val="21"/>
                <w:szCs w:val="21"/>
                <w:highlight w:val="none"/>
                <w:lang w:val="en-US"/>
              </w:rPr>
              <w:t>_____</w:t>
            </w:r>
            <w:r>
              <w:rPr>
                <w:rFonts w:hint="default" w:ascii="Times New Roman" w:hAnsi="Times New Roman" w:eastAsia="宋体" w:cs="Times New Roman"/>
                <w:color w:val="auto"/>
                <w:sz w:val="21"/>
                <w:szCs w:val="21"/>
                <w:highlight w:val="none"/>
              </w:rPr>
              <w:t>m</w:t>
            </w:r>
          </w:p>
        </w:tc>
      </w:tr>
      <w:tr w14:paraId="3340E1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520" w:type="dxa"/>
            <w:vMerge w:val="continue"/>
            <w:noWrap w:val="0"/>
            <w:vAlign w:val="center"/>
          </w:tcPr>
          <w:p w14:paraId="7581D890">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highlight w:val="none"/>
              </w:rPr>
            </w:pPr>
          </w:p>
        </w:tc>
        <w:tc>
          <w:tcPr>
            <w:tcW w:w="1312" w:type="dxa"/>
            <w:vMerge w:val="continue"/>
            <w:noWrap w:val="0"/>
            <w:vAlign w:val="center"/>
          </w:tcPr>
          <w:p w14:paraId="2E2C38FA">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63" w:type="dxa"/>
            <w:vMerge w:val="continue"/>
            <w:noWrap w:val="0"/>
            <w:vAlign w:val="center"/>
          </w:tcPr>
          <w:p w14:paraId="17172888">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highlight w:val="none"/>
              </w:rPr>
            </w:pPr>
          </w:p>
        </w:tc>
        <w:tc>
          <w:tcPr>
            <w:tcW w:w="6178" w:type="dxa"/>
            <w:gridSpan w:val="9"/>
            <w:noWrap w:val="0"/>
            <w:vAlign w:val="center"/>
          </w:tcPr>
          <w:p w14:paraId="555DB9BC">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大气毒性终点浓度-2 最大影响范围</w:t>
            </w:r>
            <w:r>
              <w:rPr>
                <w:rFonts w:hint="default" w:ascii="Times New Roman" w:hAnsi="Times New Roman" w:cs="Times New Roman"/>
                <w:color w:val="auto"/>
                <w:sz w:val="21"/>
                <w:szCs w:val="21"/>
                <w:highlight w:val="none"/>
                <w:lang w:val="en-US"/>
              </w:rPr>
              <w:t>_____</w:t>
            </w:r>
            <w:r>
              <w:rPr>
                <w:rFonts w:hint="default" w:ascii="Times New Roman" w:hAnsi="Times New Roman" w:eastAsia="宋体" w:cs="Times New Roman"/>
                <w:color w:val="auto"/>
                <w:sz w:val="21"/>
                <w:szCs w:val="21"/>
                <w:highlight w:val="none"/>
              </w:rPr>
              <w:t xml:space="preserve"> m</w:t>
            </w:r>
          </w:p>
        </w:tc>
      </w:tr>
      <w:tr w14:paraId="4022B1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520" w:type="dxa"/>
            <w:vMerge w:val="continue"/>
            <w:noWrap w:val="0"/>
            <w:vAlign w:val="center"/>
          </w:tcPr>
          <w:p w14:paraId="3A7E5869">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12" w:type="dxa"/>
            <w:noWrap w:val="0"/>
            <w:vAlign w:val="center"/>
          </w:tcPr>
          <w:p w14:paraId="7822739B">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地表水</w:t>
            </w:r>
          </w:p>
        </w:tc>
        <w:tc>
          <w:tcPr>
            <w:tcW w:w="7541" w:type="dxa"/>
            <w:gridSpan w:val="10"/>
            <w:noWrap w:val="0"/>
            <w:vAlign w:val="center"/>
          </w:tcPr>
          <w:p w14:paraId="36BB23F9">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最近环境敏感目标</w:t>
            </w:r>
            <w:r>
              <w:rPr>
                <w:rFonts w:hint="default" w:ascii="Times New Roman" w:hAnsi="Times New Roman" w:cs="Times New Roman"/>
                <w:color w:val="auto"/>
                <w:sz w:val="21"/>
                <w:szCs w:val="21"/>
                <w:highlight w:val="none"/>
                <w:lang w:val="en-US"/>
              </w:rPr>
              <w:t>_____</w:t>
            </w:r>
            <w:r>
              <w:rPr>
                <w:rFonts w:hint="default" w:ascii="Times New Roman" w:hAnsi="Times New Roman" w:eastAsia="宋体" w:cs="Times New Roman"/>
                <w:color w:val="auto"/>
                <w:sz w:val="21"/>
                <w:szCs w:val="21"/>
                <w:highlight w:val="none"/>
              </w:rPr>
              <w:t>，到达时间</w:t>
            </w:r>
            <w:r>
              <w:rPr>
                <w:rFonts w:hint="default" w:ascii="Times New Roman" w:hAnsi="Times New Roman" w:cs="Times New Roman"/>
                <w:color w:val="auto"/>
                <w:sz w:val="21"/>
                <w:szCs w:val="21"/>
                <w:highlight w:val="none"/>
                <w:lang w:val="en-US"/>
              </w:rPr>
              <w:t>_____</w:t>
            </w:r>
            <w:r>
              <w:rPr>
                <w:rFonts w:hint="default" w:ascii="Times New Roman" w:hAnsi="Times New Roman" w:eastAsia="宋体" w:cs="Times New Roman"/>
                <w:color w:val="auto"/>
                <w:sz w:val="21"/>
                <w:szCs w:val="21"/>
                <w:highlight w:val="none"/>
              </w:rPr>
              <w:t>h</w:t>
            </w:r>
          </w:p>
        </w:tc>
      </w:tr>
      <w:tr w14:paraId="0402E17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20" w:type="dxa"/>
            <w:vMerge w:val="continue"/>
            <w:noWrap w:val="0"/>
            <w:vAlign w:val="center"/>
          </w:tcPr>
          <w:p w14:paraId="23804FB0">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12" w:type="dxa"/>
            <w:vMerge w:val="restart"/>
            <w:noWrap w:val="0"/>
            <w:vAlign w:val="center"/>
          </w:tcPr>
          <w:p w14:paraId="1EE2C99C">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地下水</w:t>
            </w:r>
          </w:p>
        </w:tc>
        <w:tc>
          <w:tcPr>
            <w:tcW w:w="7541" w:type="dxa"/>
            <w:gridSpan w:val="10"/>
            <w:noWrap w:val="0"/>
            <w:vAlign w:val="center"/>
          </w:tcPr>
          <w:p w14:paraId="6AD84165">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下游厂区边界到达时间</w:t>
            </w:r>
            <w:r>
              <w:rPr>
                <w:rFonts w:hint="default" w:ascii="Times New Roman" w:hAnsi="Times New Roman" w:cs="Times New Roman"/>
                <w:color w:val="auto"/>
                <w:sz w:val="21"/>
                <w:szCs w:val="21"/>
                <w:highlight w:val="none"/>
                <w:lang w:val="en-US"/>
              </w:rPr>
              <w:t>_____</w:t>
            </w:r>
            <w:r>
              <w:rPr>
                <w:rFonts w:hint="default" w:ascii="Times New Roman" w:hAnsi="Times New Roman" w:eastAsia="宋体" w:cs="Times New Roman"/>
                <w:color w:val="auto"/>
                <w:sz w:val="21"/>
                <w:szCs w:val="21"/>
                <w:highlight w:val="none"/>
              </w:rPr>
              <w:t>d</w:t>
            </w:r>
          </w:p>
        </w:tc>
      </w:tr>
      <w:tr w14:paraId="7F76ECE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20" w:type="dxa"/>
            <w:vMerge w:val="continue"/>
            <w:noWrap w:val="0"/>
            <w:vAlign w:val="center"/>
          </w:tcPr>
          <w:p w14:paraId="5F91B630">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1312" w:type="dxa"/>
            <w:vMerge w:val="continue"/>
            <w:noWrap w:val="0"/>
            <w:vAlign w:val="center"/>
          </w:tcPr>
          <w:p w14:paraId="0C43C766">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p>
        </w:tc>
        <w:tc>
          <w:tcPr>
            <w:tcW w:w="7541" w:type="dxa"/>
            <w:gridSpan w:val="10"/>
            <w:noWrap w:val="0"/>
            <w:vAlign w:val="center"/>
          </w:tcPr>
          <w:p w14:paraId="39B2CA4F">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最近环境敏感目标</w:t>
            </w:r>
            <w:r>
              <w:rPr>
                <w:rFonts w:hint="default" w:ascii="Times New Roman" w:hAnsi="Times New Roman" w:cs="Times New Roman"/>
                <w:color w:val="auto"/>
                <w:sz w:val="21"/>
                <w:szCs w:val="21"/>
                <w:highlight w:val="none"/>
                <w:lang w:val="en-US"/>
              </w:rPr>
              <w:t>_____</w:t>
            </w:r>
            <w:r>
              <w:rPr>
                <w:rFonts w:hint="default" w:ascii="Times New Roman" w:hAnsi="Times New Roman" w:eastAsia="宋体" w:cs="Times New Roman"/>
                <w:color w:val="auto"/>
                <w:sz w:val="21"/>
                <w:szCs w:val="21"/>
                <w:highlight w:val="none"/>
              </w:rPr>
              <w:t>，到达时间</w:t>
            </w:r>
            <w:r>
              <w:rPr>
                <w:rFonts w:hint="default" w:ascii="Times New Roman" w:hAnsi="Times New Roman" w:cs="Times New Roman"/>
                <w:color w:val="auto"/>
                <w:sz w:val="21"/>
                <w:szCs w:val="21"/>
                <w:highlight w:val="none"/>
                <w:lang w:val="en-US"/>
              </w:rPr>
              <w:t>_____</w:t>
            </w:r>
            <w:r>
              <w:rPr>
                <w:rFonts w:hint="default" w:ascii="Times New Roman" w:hAnsi="Times New Roman" w:eastAsia="宋体" w:cs="Times New Roman"/>
                <w:color w:val="auto"/>
                <w:sz w:val="21"/>
                <w:szCs w:val="21"/>
                <w:highlight w:val="none"/>
              </w:rPr>
              <w:t xml:space="preserve"> d</w:t>
            </w:r>
          </w:p>
        </w:tc>
      </w:tr>
      <w:tr w14:paraId="61C66B8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832" w:type="dxa"/>
            <w:gridSpan w:val="2"/>
            <w:noWrap w:val="0"/>
            <w:vAlign w:val="center"/>
          </w:tcPr>
          <w:p w14:paraId="11520D34">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重点风险防范措施</w:t>
            </w:r>
          </w:p>
        </w:tc>
        <w:tc>
          <w:tcPr>
            <w:tcW w:w="7541" w:type="dxa"/>
            <w:gridSpan w:val="10"/>
            <w:noWrap w:val="0"/>
            <w:vAlign w:val="center"/>
          </w:tcPr>
          <w:p w14:paraId="6516A90E">
            <w:pPr>
              <w:pStyle w:val="23"/>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420" w:firstLineChars="200"/>
              <w:textAlignment w:val="auto"/>
              <w:outlineLvl w:val="9"/>
              <w:rPr>
                <w:rFonts w:hint="default"/>
                <w:color w:val="auto"/>
                <w:sz w:val="21"/>
                <w:szCs w:val="21"/>
                <w:highlight w:val="none"/>
                <w:lang w:val="en-US" w:eastAsia="zh-CN"/>
              </w:rPr>
            </w:pPr>
            <w:r>
              <w:rPr>
                <w:rFonts w:hint="default"/>
                <w:color w:val="auto"/>
                <w:sz w:val="21"/>
                <w:szCs w:val="21"/>
                <w:highlight w:val="none"/>
                <w:lang w:val="en-US" w:eastAsia="zh-CN"/>
              </w:rPr>
              <w:t>1.</w:t>
            </w:r>
            <w:r>
              <w:rPr>
                <w:rFonts w:hint="eastAsia"/>
                <w:color w:val="auto"/>
                <w:sz w:val="21"/>
                <w:szCs w:val="21"/>
                <w:highlight w:val="none"/>
                <w:lang w:val="en-US" w:eastAsia="zh-CN"/>
              </w:rPr>
              <w:t>二氧化氯发生器</w:t>
            </w:r>
            <w:r>
              <w:rPr>
                <w:rFonts w:hint="default"/>
                <w:color w:val="auto"/>
                <w:sz w:val="21"/>
                <w:szCs w:val="21"/>
                <w:highlight w:val="none"/>
                <w:lang w:val="en-US" w:eastAsia="zh-CN"/>
              </w:rPr>
              <w:t>泄漏风险防范及应急措施</w:t>
            </w:r>
          </w:p>
          <w:p w14:paraId="1BFFA56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textAlignment w:val="auto"/>
              <w:outlineLvl w:val="9"/>
              <w:rPr>
                <w:rFonts w:hint="default"/>
                <w:color w:val="auto"/>
                <w:sz w:val="21"/>
                <w:szCs w:val="21"/>
                <w:highlight w:val="none"/>
                <w:lang w:val="en-US" w:eastAsia="zh-CN"/>
              </w:rPr>
            </w:pPr>
            <w:r>
              <w:rPr>
                <w:rFonts w:hint="default"/>
                <w:color w:val="auto"/>
                <w:sz w:val="21"/>
                <w:szCs w:val="21"/>
                <w:highlight w:val="none"/>
                <w:lang w:val="en-US" w:eastAsia="zh-CN"/>
              </w:rPr>
              <w:t>①严格执行二氧化氯发生器设备的维护保养，定期对设备、管道、阀门、仪表、安全装置等进行检查和校验。</w:t>
            </w:r>
          </w:p>
          <w:p w14:paraId="37D63C4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outlineLvl w:val="9"/>
              <w:rPr>
                <w:rFonts w:hint="default"/>
                <w:color w:val="auto"/>
                <w:sz w:val="21"/>
                <w:szCs w:val="21"/>
                <w:highlight w:val="none"/>
                <w:lang w:val="en-US" w:eastAsia="zh-CN"/>
              </w:rPr>
            </w:pPr>
            <w:r>
              <w:rPr>
                <w:rFonts w:hint="default"/>
                <w:color w:val="auto"/>
                <w:sz w:val="21"/>
                <w:szCs w:val="21"/>
                <w:highlight w:val="none"/>
                <w:lang w:val="en-US" w:eastAsia="zh-CN"/>
              </w:rPr>
              <w:t>②选择全自动控制系统设备，实现二氧化氯和进水流量的在线闭环控制。</w:t>
            </w:r>
          </w:p>
          <w:p w14:paraId="4123F00C">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outlineLvl w:val="9"/>
              <w:rPr>
                <w:rFonts w:hint="default"/>
                <w:color w:val="auto"/>
                <w:sz w:val="21"/>
                <w:szCs w:val="21"/>
                <w:highlight w:val="none"/>
                <w:lang w:val="en-US" w:eastAsia="zh-CN"/>
              </w:rPr>
            </w:pPr>
            <w:r>
              <w:rPr>
                <w:rFonts w:hint="default"/>
                <w:color w:val="auto"/>
                <w:sz w:val="21"/>
                <w:szCs w:val="21"/>
                <w:highlight w:val="none"/>
                <w:lang w:val="en-US" w:eastAsia="zh-CN"/>
              </w:rPr>
              <w:t>③严格执行操作规程，密切注视设备工艺参数的变化，发现异常及时处理。</w:t>
            </w:r>
          </w:p>
          <w:p w14:paraId="23FF79B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outlineLvl w:val="9"/>
              <w:rPr>
                <w:rFonts w:hint="eastAsia"/>
                <w:color w:val="auto"/>
                <w:sz w:val="21"/>
                <w:szCs w:val="21"/>
                <w:highlight w:val="none"/>
                <w:lang w:val="en-US" w:eastAsia="zh-CN"/>
              </w:rPr>
            </w:pPr>
            <w:r>
              <w:rPr>
                <w:rFonts w:hint="default"/>
                <w:color w:val="auto"/>
                <w:sz w:val="21"/>
                <w:szCs w:val="21"/>
                <w:highlight w:val="none"/>
                <w:lang w:val="en-US" w:eastAsia="zh-CN"/>
              </w:rPr>
              <w:t>④盐酸</w:t>
            </w:r>
            <w:r>
              <w:rPr>
                <w:rFonts w:hint="eastAsia"/>
                <w:color w:val="auto"/>
                <w:sz w:val="21"/>
                <w:szCs w:val="21"/>
                <w:highlight w:val="none"/>
                <w:lang w:val="en-US" w:eastAsia="zh-CN"/>
              </w:rPr>
              <w:t>、二氧化氯及氯酸钠一旦出现泄漏时，采取相应应急处理措施。</w:t>
            </w:r>
          </w:p>
          <w:p w14:paraId="3BBA8B0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default"/>
                <w:color w:val="auto"/>
                <w:sz w:val="21"/>
                <w:szCs w:val="21"/>
                <w:highlight w:val="none"/>
                <w:lang w:val="en-US" w:eastAsia="zh-CN"/>
              </w:rPr>
            </w:pPr>
            <w:r>
              <w:rPr>
                <w:rFonts w:hint="default"/>
                <w:color w:val="auto"/>
                <w:sz w:val="21"/>
                <w:szCs w:val="21"/>
                <w:highlight w:val="none"/>
                <w:lang w:val="en-US" w:eastAsia="zh-CN"/>
              </w:rPr>
              <w:t>2.污水处理设施泄漏风险防范及应急措施</w:t>
            </w:r>
          </w:p>
          <w:p w14:paraId="6DE558DE">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420" w:firstLineChars="200"/>
              <w:textAlignment w:val="auto"/>
              <w:outlineLvl w:val="9"/>
              <w:rPr>
                <w:rFonts w:hint="default"/>
                <w:color w:val="auto"/>
                <w:sz w:val="21"/>
                <w:szCs w:val="21"/>
                <w:highlight w:val="none"/>
                <w:lang w:val="en-US" w:eastAsia="zh-CN"/>
              </w:rPr>
            </w:pPr>
            <w:r>
              <w:rPr>
                <w:rFonts w:hint="default"/>
                <w:color w:val="auto"/>
                <w:sz w:val="21"/>
                <w:szCs w:val="21"/>
                <w:highlight w:val="none"/>
                <w:lang w:val="en-US" w:eastAsia="zh-CN"/>
              </w:rPr>
              <w:t>①对院区内排水系统、各污水处理设施池体、事故池及排放管道均做防腐、防渗处理，防止污染物的跑冒滴漏，将污染物的泄漏环境风险事故降到最低限度。</w:t>
            </w:r>
          </w:p>
          <w:p w14:paraId="780291F7">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420" w:firstLineChars="200"/>
              <w:textAlignment w:val="auto"/>
              <w:outlineLvl w:val="9"/>
              <w:rPr>
                <w:rFonts w:hint="default"/>
                <w:color w:val="auto"/>
                <w:sz w:val="21"/>
                <w:szCs w:val="21"/>
                <w:highlight w:val="none"/>
                <w:lang w:val="en-US" w:eastAsia="zh-CN"/>
              </w:rPr>
            </w:pPr>
            <w:r>
              <w:rPr>
                <w:rFonts w:hint="default"/>
                <w:color w:val="auto"/>
                <w:sz w:val="21"/>
                <w:szCs w:val="21"/>
                <w:highlight w:val="none"/>
                <w:lang w:val="en-US" w:eastAsia="zh-CN"/>
              </w:rPr>
              <w:t>②强化管道、水池的转弯、承抽、对接等处的防渗工程，并做好隐蔽工程记录。</w:t>
            </w:r>
          </w:p>
          <w:p w14:paraId="6CFCCB53">
            <w:pPr>
              <w:pStyle w:val="2"/>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420" w:firstLineChars="200"/>
              <w:textAlignment w:val="auto"/>
              <w:outlineLvl w:val="9"/>
              <w:rPr>
                <w:rFonts w:hint="default"/>
                <w:color w:val="auto"/>
                <w:sz w:val="21"/>
                <w:szCs w:val="21"/>
                <w:highlight w:val="none"/>
                <w:lang w:val="en-US" w:eastAsia="zh-CN"/>
              </w:rPr>
            </w:pPr>
            <w:r>
              <w:rPr>
                <w:rFonts w:hint="default"/>
                <w:color w:val="auto"/>
                <w:sz w:val="21"/>
                <w:szCs w:val="21"/>
                <w:highlight w:val="none"/>
                <w:lang w:val="en-US" w:eastAsia="zh-CN"/>
              </w:rPr>
              <w:t>③必须定期进行捡漏监测。</w:t>
            </w:r>
          </w:p>
          <w:p w14:paraId="29D4C7D1">
            <w:pPr>
              <w:pStyle w:val="23"/>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420" w:firstLineChars="200"/>
              <w:textAlignment w:val="auto"/>
              <w:outlineLvl w:val="9"/>
              <w:rPr>
                <w:rFonts w:hint="default"/>
                <w:color w:val="auto"/>
                <w:sz w:val="21"/>
                <w:szCs w:val="21"/>
                <w:highlight w:val="none"/>
                <w:lang w:val="en-US" w:eastAsia="zh-CN"/>
              </w:rPr>
            </w:pPr>
            <w:r>
              <w:rPr>
                <w:rFonts w:hint="default"/>
                <w:color w:val="auto"/>
                <w:sz w:val="21"/>
                <w:szCs w:val="21"/>
                <w:highlight w:val="none"/>
                <w:lang w:val="en-US" w:eastAsia="zh-CN"/>
              </w:rPr>
              <w:t>3.</w:t>
            </w:r>
            <w:r>
              <w:rPr>
                <w:rFonts w:hint="default"/>
                <w:color w:val="auto"/>
                <w:sz w:val="21"/>
                <w:szCs w:val="21"/>
                <w:highlight w:val="none"/>
              </w:rPr>
              <w:t>医疗废水事故排放</w:t>
            </w:r>
            <w:r>
              <w:rPr>
                <w:rFonts w:hint="default"/>
                <w:color w:val="auto"/>
                <w:sz w:val="21"/>
                <w:szCs w:val="21"/>
                <w:highlight w:val="none"/>
                <w:lang w:val="en-US" w:eastAsia="zh-CN"/>
              </w:rPr>
              <w:t>风险防范及应急措施</w:t>
            </w:r>
          </w:p>
          <w:p w14:paraId="2115D67B">
            <w:pPr>
              <w:pStyle w:val="23"/>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420" w:firstLineChars="200"/>
              <w:textAlignment w:val="auto"/>
              <w:outlineLvl w:val="9"/>
              <w:rPr>
                <w:rFonts w:hint="default"/>
                <w:color w:val="auto"/>
                <w:sz w:val="21"/>
                <w:szCs w:val="21"/>
                <w:highlight w:val="none"/>
                <w:lang w:val="en-US" w:eastAsia="zh-CN"/>
              </w:rPr>
            </w:pPr>
            <w:r>
              <w:rPr>
                <w:rFonts w:hint="default"/>
                <w:color w:val="auto"/>
                <w:sz w:val="21"/>
                <w:szCs w:val="21"/>
                <w:highlight w:val="none"/>
                <w:lang w:val="en-US" w:eastAsia="zh-CN"/>
              </w:rPr>
              <w:t>①为保证废水的消毒效果，建设项目污水处理消毒设施设置</w:t>
            </w:r>
            <w:r>
              <w:rPr>
                <w:rFonts w:hint="eastAsia"/>
                <w:color w:val="auto"/>
                <w:sz w:val="21"/>
                <w:szCs w:val="21"/>
                <w:highlight w:val="none"/>
                <w:lang w:val="en-US" w:eastAsia="zh-CN"/>
              </w:rPr>
              <w:t>2套</w:t>
            </w:r>
            <w:r>
              <w:rPr>
                <w:rFonts w:hint="default"/>
                <w:color w:val="auto"/>
                <w:sz w:val="21"/>
                <w:szCs w:val="21"/>
                <w:highlight w:val="none"/>
                <w:lang w:val="en-US" w:eastAsia="zh-CN"/>
              </w:rPr>
              <w:t>（</w:t>
            </w:r>
            <w:r>
              <w:rPr>
                <w:rFonts w:hint="eastAsia"/>
                <w:color w:val="auto"/>
                <w:sz w:val="21"/>
                <w:szCs w:val="21"/>
                <w:highlight w:val="none"/>
                <w:lang w:val="en-US" w:eastAsia="zh-CN"/>
              </w:rPr>
              <w:t>1</w:t>
            </w:r>
            <w:r>
              <w:rPr>
                <w:rFonts w:hint="default"/>
                <w:color w:val="auto"/>
                <w:sz w:val="21"/>
                <w:szCs w:val="21"/>
                <w:highlight w:val="none"/>
                <w:lang w:val="en-US" w:eastAsia="zh-CN"/>
              </w:rPr>
              <w:t>用1备），并设置自动控制系统。当污水处理站消毒设施失效时，可自动切换到另1台设备，确保消毒到位。</w:t>
            </w:r>
          </w:p>
          <w:p w14:paraId="34B1792E">
            <w:pPr>
              <w:pStyle w:val="23"/>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420" w:firstLineChars="200"/>
              <w:textAlignment w:val="auto"/>
              <w:outlineLvl w:val="9"/>
              <w:rPr>
                <w:rFonts w:hint="default"/>
                <w:color w:val="auto"/>
                <w:sz w:val="21"/>
                <w:szCs w:val="21"/>
                <w:highlight w:val="none"/>
                <w:lang w:val="en-US" w:eastAsia="zh-CN"/>
              </w:rPr>
            </w:pPr>
            <w:r>
              <w:rPr>
                <w:rFonts w:hint="default"/>
                <w:color w:val="auto"/>
                <w:sz w:val="21"/>
                <w:szCs w:val="21"/>
                <w:highlight w:val="none"/>
                <w:lang w:val="en-US" w:eastAsia="zh-CN"/>
              </w:rPr>
              <w:t>②设置1座</w:t>
            </w:r>
            <w:r>
              <w:rPr>
                <w:rFonts w:hint="eastAsia"/>
                <w:color w:val="auto"/>
                <w:sz w:val="21"/>
                <w:szCs w:val="21"/>
                <w:highlight w:val="none"/>
                <w:lang w:val="en-US" w:eastAsia="zh-CN"/>
              </w:rPr>
              <w:t>6</w:t>
            </w:r>
            <w:r>
              <w:rPr>
                <w:rFonts w:hint="default"/>
                <w:color w:val="auto"/>
                <w:sz w:val="21"/>
                <w:szCs w:val="21"/>
                <w:highlight w:val="none"/>
                <w:lang w:val="en-US" w:eastAsia="zh-CN"/>
              </w:rPr>
              <w:t>m</w:t>
            </w:r>
            <w:r>
              <w:rPr>
                <w:rFonts w:hint="default"/>
                <w:color w:val="auto"/>
                <w:sz w:val="21"/>
                <w:szCs w:val="21"/>
                <w:highlight w:val="none"/>
                <w:vertAlign w:val="superscript"/>
                <w:lang w:val="en-US" w:eastAsia="zh-CN"/>
              </w:rPr>
              <w:t>3</w:t>
            </w:r>
            <w:r>
              <w:rPr>
                <w:rFonts w:hint="default"/>
                <w:color w:val="auto"/>
                <w:sz w:val="21"/>
                <w:szCs w:val="21"/>
                <w:highlight w:val="none"/>
                <w:lang w:val="en-US" w:eastAsia="zh-CN"/>
              </w:rPr>
              <w:t>事故应急池，事故排放情况下可将事故排水导入事故应急池暂存。</w:t>
            </w:r>
          </w:p>
          <w:p w14:paraId="3B9EDABE">
            <w:pPr>
              <w:pStyle w:val="23"/>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420" w:firstLineChars="200"/>
              <w:textAlignment w:val="auto"/>
              <w:outlineLvl w:val="9"/>
              <w:rPr>
                <w:rFonts w:hint="default"/>
                <w:color w:val="auto"/>
                <w:sz w:val="21"/>
                <w:szCs w:val="21"/>
                <w:highlight w:val="none"/>
                <w:lang w:val="en-US" w:eastAsia="zh-CN"/>
              </w:rPr>
            </w:pPr>
            <w:r>
              <w:rPr>
                <w:rFonts w:hint="default"/>
                <w:color w:val="auto"/>
                <w:sz w:val="21"/>
                <w:szCs w:val="21"/>
                <w:highlight w:val="none"/>
                <w:lang w:val="en-US" w:eastAsia="zh-CN"/>
              </w:rPr>
              <w:t>③各类电气设备均设置电路短路和过载保护装置。</w:t>
            </w:r>
          </w:p>
          <w:p w14:paraId="56914264">
            <w:pPr>
              <w:pStyle w:val="23"/>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420" w:firstLineChars="200"/>
              <w:textAlignment w:val="auto"/>
              <w:outlineLvl w:val="9"/>
              <w:rPr>
                <w:rFonts w:hint="default"/>
                <w:color w:val="auto"/>
                <w:sz w:val="21"/>
                <w:szCs w:val="21"/>
                <w:highlight w:val="none"/>
                <w:lang w:val="en-US" w:eastAsia="zh-CN"/>
              </w:rPr>
            </w:pPr>
            <w:r>
              <w:rPr>
                <w:rFonts w:hint="default"/>
                <w:color w:val="auto"/>
                <w:sz w:val="21"/>
                <w:szCs w:val="21"/>
                <w:highlight w:val="none"/>
                <w:lang w:val="en-US" w:eastAsia="zh-CN"/>
              </w:rPr>
              <w:t>④污水处理站应配备专门人员管理，定期巡展，严格按照操作说明进行操作，定期对各机器进行维修和保养，防止出现污水事故排放。通过以上措施，可有效防止建设项目废水的事故性排放，确保废水经院内污水站处理达标后排放。</w:t>
            </w:r>
          </w:p>
          <w:p w14:paraId="637B31C0">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420" w:firstLineChars="200"/>
              <w:textAlignment w:val="auto"/>
              <w:rPr>
                <w:rFonts w:hint="default"/>
                <w:color w:val="auto"/>
                <w:sz w:val="21"/>
                <w:szCs w:val="21"/>
                <w:highlight w:val="none"/>
              </w:rPr>
            </w:pPr>
            <w:r>
              <w:rPr>
                <w:rFonts w:hint="default"/>
                <w:color w:val="auto"/>
                <w:sz w:val="21"/>
                <w:szCs w:val="21"/>
                <w:highlight w:val="none"/>
                <w:lang w:val="en-US" w:eastAsia="zh-CN"/>
              </w:rPr>
              <w:t>4.</w:t>
            </w:r>
            <w:r>
              <w:rPr>
                <w:rFonts w:hint="default"/>
                <w:color w:val="auto"/>
                <w:sz w:val="21"/>
                <w:szCs w:val="21"/>
                <w:highlight w:val="none"/>
              </w:rPr>
              <w:t>医疗废物在收集、贮存、运送过程中的风险防范</w:t>
            </w:r>
            <w:r>
              <w:rPr>
                <w:rFonts w:hint="default"/>
                <w:color w:val="auto"/>
                <w:sz w:val="21"/>
                <w:szCs w:val="21"/>
                <w:highlight w:val="none"/>
                <w:lang w:val="en-US" w:eastAsia="zh-CN"/>
              </w:rPr>
              <w:t>及应急措施</w:t>
            </w:r>
          </w:p>
          <w:p w14:paraId="6243F6F7">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color w:val="auto"/>
                <w:sz w:val="21"/>
                <w:szCs w:val="21"/>
                <w:highlight w:val="none"/>
              </w:rPr>
            </w:pPr>
            <w:r>
              <w:rPr>
                <w:rFonts w:hint="default"/>
                <w:color w:val="auto"/>
                <w:sz w:val="21"/>
                <w:szCs w:val="21"/>
                <w:highlight w:val="none"/>
              </w:rPr>
              <w:t>①医疗废物暂时贮存处应设有明显的医疗废物警示标识和“禁止吸烟、饮食”的警示标识。</w:t>
            </w:r>
          </w:p>
          <w:p w14:paraId="77C0EC5D">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color w:val="auto"/>
                <w:sz w:val="21"/>
                <w:szCs w:val="21"/>
                <w:highlight w:val="none"/>
              </w:rPr>
            </w:pPr>
            <w:r>
              <w:rPr>
                <w:rFonts w:hint="default"/>
                <w:color w:val="auto"/>
                <w:sz w:val="21"/>
                <w:szCs w:val="21"/>
                <w:highlight w:val="none"/>
              </w:rPr>
              <w:t>②要有严格的封闭措施，设专人管理，防止非工作人员接触医疗废物。</w:t>
            </w:r>
          </w:p>
          <w:p w14:paraId="567E914D">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color w:val="auto"/>
                <w:sz w:val="21"/>
                <w:szCs w:val="21"/>
                <w:highlight w:val="none"/>
              </w:rPr>
            </w:pPr>
            <w:r>
              <w:rPr>
                <w:rFonts w:hint="default"/>
                <w:color w:val="auto"/>
                <w:sz w:val="21"/>
                <w:szCs w:val="21"/>
                <w:highlight w:val="none"/>
              </w:rPr>
              <w:t>③认真执行各项安全措施，做到</w:t>
            </w:r>
            <w:r>
              <w:rPr>
                <w:rFonts w:hint="default"/>
                <w:color w:val="auto"/>
                <w:sz w:val="21"/>
                <w:szCs w:val="21"/>
                <w:highlight w:val="none"/>
                <w:lang w:val="en-US" w:eastAsia="zh-CN"/>
              </w:rPr>
              <w:t>“防风、防雨、防晒、防渗漏”</w:t>
            </w:r>
            <w:r>
              <w:rPr>
                <w:rFonts w:hint="default"/>
                <w:color w:val="auto"/>
                <w:sz w:val="21"/>
                <w:szCs w:val="21"/>
                <w:highlight w:val="none"/>
              </w:rPr>
              <w:t>。</w:t>
            </w:r>
          </w:p>
          <w:p w14:paraId="7AAAB6F4">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color w:val="auto"/>
                <w:sz w:val="21"/>
                <w:szCs w:val="21"/>
                <w:highlight w:val="none"/>
              </w:rPr>
            </w:pPr>
            <w:r>
              <w:rPr>
                <w:rFonts w:hint="default"/>
                <w:color w:val="auto"/>
                <w:sz w:val="21"/>
                <w:szCs w:val="21"/>
                <w:highlight w:val="none"/>
              </w:rPr>
              <w:t>④禁止将医疗废物混入其他废物和生活垃圾。</w:t>
            </w:r>
          </w:p>
          <w:p w14:paraId="0B7AFF1C">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color w:val="auto"/>
                <w:sz w:val="21"/>
                <w:szCs w:val="21"/>
                <w:highlight w:val="none"/>
                <w:lang w:val="en-US" w:eastAsia="zh-CN"/>
              </w:rPr>
            </w:pPr>
            <w:r>
              <w:rPr>
                <w:rFonts w:hint="default"/>
                <w:color w:val="auto"/>
                <w:sz w:val="21"/>
                <w:szCs w:val="21"/>
                <w:highlight w:val="none"/>
              </w:rPr>
              <w:t>⑤医疗废物分类管理、感染性废物、病理性废物、损伤性废物、药物性废、物化学性废物不能混合收集。</w:t>
            </w:r>
            <w:r>
              <w:rPr>
                <w:rFonts w:hint="default"/>
                <w:color w:val="auto"/>
                <w:sz w:val="21"/>
                <w:szCs w:val="21"/>
                <w:highlight w:val="none"/>
                <w:lang w:val="en-US" w:eastAsia="zh-CN"/>
              </w:rPr>
              <w:t xml:space="preserve">                                                                                  </w:t>
            </w:r>
          </w:p>
          <w:p w14:paraId="6D3021F0">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textAlignment w:val="auto"/>
              <w:rPr>
                <w:rFonts w:hint="default"/>
                <w:color w:val="auto"/>
                <w:sz w:val="21"/>
                <w:szCs w:val="21"/>
                <w:highlight w:val="none"/>
              </w:rPr>
            </w:pPr>
            <w:r>
              <w:rPr>
                <w:rFonts w:hint="default"/>
                <w:color w:val="auto"/>
                <w:sz w:val="21"/>
                <w:szCs w:val="21"/>
                <w:highlight w:val="none"/>
                <w:lang w:val="en-US" w:eastAsia="zh-CN"/>
              </w:rPr>
              <w:t xml:space="preserve">    ⑥</w:t>
            </w:r>
            <w:r>
              <w:rPr>
                <w:rFonts w:hint="default"/>
                <w:color w:val="auto"/>
                <w:sz w:val="21"/>
                <w:szCs w:val="21"/>
                <w:highlight w:val="none"/>
              </w:rPr>
              <w:t>专职人员必须按制定时间、路线，并使用专用密闭运输工具，收集、运送医疗废物。</w:t>
            </w:r>
          </w:p>
          <w:p w14:paraId="5F6777BA">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outlineLvl w:val="9"/>
              <w:rPr>
                <w:rFonts w:hint="default"/>
                <w:color w:val="auto"/>
                <w:sz w:val="21"/>
                <w:szCs w:val="21"/>
                <w:highlight w:val="none"/>
                <w:lang w:val="en-US" w:eastAsia="zh-CN"/>
              </w:rPr>
            </w:pPr>
            <w:r>
              <w:rPr>
                <w:rFonts w:hint="default"/>
                <w:color w:val="auto"/>
                <w:sz w:val="21"/>
                <w:szCs w:val="21"/>
                <w:highlight w:val="none"/>
              </w:rPr>
              <w:t>⑦从各医疗废物产生点收集回的医疗废物要分类放置于符合《医疗废物专用包装、容器标准和警示标识的规定》的包装物或容器内。</w:t>
            </w:r>
            <w:r>
              <w:rPr>
                <w:rFonts w:hint="default"/>
                <w:color w:val="auto"/>
                <w:sz w:val="21"/>
                <w:szCs w:val="21"/>
                <w:highlight w:val="none"/>
                <w:lang w:val="en-US" w:eastAsia="zh-CN"/>
              </w:rPr>
              <w:t xml:space="preserve">                                 </w:t>
            </w:r>
          </w:p>
          <w:p w14:paraId="54FF6D32">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outlineLvl w:val="9"/>
              <w:rPr>
                <w:rFonts w:hint="default"/>
                <w:color w:val="auto"/>
                <w:sz w:val="21"/>
                <w:szCs w:val="21"/>
                <w:highlight w:val="none"/>
              </w:rPr>
            </w:pPr>
            <w:r>
              <w:rPr>
                <w:rFonts w:hint="default"/>
                <w:color w:val="auto"/>
                <w:sz w:val="21"/>
                <w:szCs w:val="21"/>
                <w:highlight w:val="none"/>
                <w:lang w:eastAsia="zh-CN"/>
              </w:rPr>
              <w:t>⑧</w:t>
            </w:r>
            <w:r>
              <w:rPr>
                <w:rFonts w:hint="default"/>
                <w:color w:val="auto"/>
                <w:sz w:val="21"/>
                <w:szCs w:val="21"/>
                <w:highlight w:val="none"/>
              </w:rPr>
              <w:t>认真执行登记制度，收集医疗废物及时登记，登记内容包括：医疗废物的来源种类、重量或数量、交接时间、最终去向以及经办人签名等项目，并保存登记资料至少三年。</w:t>
            </w:r>
          </w:p>
          <w:p w14:paraId="22F09220">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color w:val="auto"/>
                <w:sz w:val="21"/>
                <w:szCs w:val="21"/>
                <w:highlight w:val="none"/>
              </w:rPr>
            </w:pPr>
            <w:r>
              <w:rPr>
                <w:rFonts w:hint="default"/>
                <w:color w:val="auto"/>
                <w:sz w:val="21"/>
                <w:szCs w:val="21"/>
                <w:highlight w:val="none"/>
              </w:rPr>
              <w:t>⑨收集的医疗废物不能外流、泄漏、扩散，只能交给指定的医疗废物集中处置单位，进行焚烧处理。</w:t>
            </w:r>
          </w:p>
          <w:p w14:paraId="1B87B8FC">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color w:val="auto"/>
                <w:sz w:val="21"/>
                <w:szCs w:val="21"/>
                <w:highlight w:val="none"/>
              </w:rPr>
            </w:pPr>
            <w:r>
              <w:rPr>
                <w:rFonts w:hint="default"/>
                <w:color w:val="auto"/>
                <w:sz w:val="21"/>
                <w:szCs w:val="21"/>
                <w:highlight w:val="none"/>
              </w:rPr>
              <w:t>⑩将医疗废物交医疗废物集中处置单位处置时，依照危险废物转移联单制度填写和保存转移联单。</w:t>
            </w:r>
          </w:p>
          <w:p w14:paraId="70F34D8C">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color w:val="auto"/>
                <w:sz w:val="21"/>
                <w:szCs w:val="21"/>
                <w:highlight w:val="none"/>
              </w:rPr>
            </w:pPr>
            <w:r>
              <w:rPr>
                <w:rFonts w:hint="default"/>
                <w:color w:val="auto"/>
                <w:sz w:val="21"/>
                <w:szCs w:val="21"/>
                <w:highlight w:val="none"/>
              </w:rPr>
              <w:t>⑪每次收集完毕，在暂存点及时对运送工具进行清洁和消毒，先</w:t>
            </w:r>
            <w:r>
              <w:rPr>
                <w:rFonts w:hint="default"/>
                <w:color w:val="auto"/>
                <w:sz w:val="21"/>
                <w:szCs w:val="21"/>
                <w:highlight w:val="none"/>
                <w:lang w:eastAsia="zh-CN"/>
              </w:rPr>
              <w:t>用</w:t>
            </w:r>
            <w:r>
              <w:rPr>
                <w:rFonts w:hint="default"/>
                <w:color w:val="auto"/>
                <w:sz w:val="21"/>
                <w:szCs w:val="21"/>
                <w:highlight w:val="none"/>
              </w:rPr>
              <w:t>1000</w:t>
            </w:r>
            <w:r>
              <w:rPr>
                <w:rFonts w:hint="default"/>
                <w:color w:val="auto"/>
                <w:sz w:val="21"/>
                <w:szCs w:val="21"/>
                <w:highlight w:val="none"/>
                <w:lang w:val="en-US" w:eastAsia="zh-CN"/>
              </w:rPr>
              <w:t>-</w:t>
            </w:r>
            <w:r>
              <w:rPr>
                <w:rFonts w:hint="default"/>
                <w:color w:val="auto"/>
                <w:sz w:val="21"/>
                <w:szCs w:val="21"/>
                <w:highlight w:val="none"/>
              </w:rPr>
              <w:t>2000mg∕L含氯消毒液刷洗，再用清水冲洗干净。</w:t>
            </w:r>
          </w:p>
          <w:p w14:paraId="5DE366DC">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color w:val="auto"/>
                <w:sz w:val="21"/>
                <w:szCs w:val="21"/>
                <w:highlight w:val="none"/>
              </w:rPr>
            </w:pPr>
            <w:r>
              <w:rPr>
                <w:rFonts w:hint="default"/>
                <w:color w:val="auto"/>
                <w:sz w:val="21"/>
                <w:szCs w:val="21"/>
                <w:highlight w:val="none"/>
              </w:rPr>
              <w:t>⑫当医疗废物转交出去后，及时对贮存点、设施进行消毒和清洁处理，先用高压水冲洗，再用1000—2000mg∕L含氯消毒液喷洒或擦拭。</w:t>
            </w:r>
          </w:p>
          <w:p w14:paraId="1B0A8F77">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color w:val="auto"/>
                <w:sz w:val="21"/>
                <w:szCs w:val="21"/>
                <w:highlight w:val="none"/>
              </w:rPr>
            </w:pPr>
            <w:r>
              <w:rPr>
                <w:rFonts w:hint="default"/>
                <w:color w:val="auto"/>
                <w:sz w:val="21"/>
                <w:szCs w:val="21"/>
                <w:highlight w:val="none"/>
              </w:rPr>
              <w:t>⑬专职人员在收集或运送医疗废物时，要穿防护服、戴口罩、帽子、一次性手套、穿胶鞋。接触医疗废物后，脱去手套要按照六步洗手法认真的洗净双手。</w:t>
            </w:r>
          </w:p>
          <w:p w14:paraId="1468017E">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textAlignment w:val="auto"/>
              <w:rPr>
                <w:rFonts w:hint="default"/>
                <w:color w:val="auto"/>
                <w:sz w:val="21"/>
                <w:szCs w:val="21"/>
                <w:highlight w:val="none"/>
              </w:rPr>
            </w:pPr>
            <w:r>
              <w:rPr>
                <w:rFonts w:hint="default"/>
                <w:color w:val="auto"/>
                <w:sz w:val="21"/>
                <w:szCs w:val="21"/>
                <w:highlight w:val="none"/>
              </w:rPr>
              <w:t> </w:t>
            </w:r>
            <w:r>
              <w:rPr>
                <w:rFonts w:hint="default"/>
                <w:color w:val="auto"/>
                <w:sz w:val="21"/>
                <w:szCs w:val="21"/>
                <w:highlight w:val="none"/>
                <w:lang w:val="en-US" w:eastAsia="zh-CN"/>
              </w:rPr>
              <w:t xml:space="preserve">  </w:t>
            </w:r>
            <w:r>
              <w:rPr>
                <w:rFonts w:hint="default"/>
                <w:color w:val="auto"/>
                <w:sz w:val="21"/>
                <w:szCs w:val="21"/>
                <w:highlight w:val="none"/>
              </w:rPr>
              <w:t>⑭在工作中要防止被锐器刺伤，一旦发生刺伤要及时向医院感染管理科报告，并采取应急处理措施。 </w:t>
            </w:r>
          </w:p>
          <w:p w14:paraId="654BD788">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color w:val="auto"/>
                <w:sz w:val="21"/>
                <w:szCs w:val="21"/>
                <w:highlight w:val="none"/>
              </w:rPr>
            </w:pPr>
            <w:r>
              <w:rPr>
                <w:rFonts w:hint="default"/>
                <w:color w:val="auto"/>
                <w:sz w:val="21"/>
                <w:szCs w:val="21"/>
                <w:highlight w:val="none"/>
              </w:rPr>
              <w:t>⑮一旦发生医疗废物流失、泄漏、扩散时，即刻向医院感染管理科报告。</w:t>
            </w:r>
          </w:p>
          <w:p w14:paraId="51C30F5F">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rPr>
                <w:rFonts w:hint="default"/>
                <w:color w:val="auto"/>
                <w:sz w:val="21"/>
                <w:szCs w:val="21"/>
                <w:highlight w:val="none"/>
              </w:rPr>
            </w:pPr>
            <w:r>
              <w:rPr>
                <w:rFonts w:hint="default"/>
                <w:color w:val="auto"/>
                <w:sz w:val="21"/>
                <w:szCs w:val="21"/>
                <w:highlight w:val="none"/>
              </w:rPr>
              <w:t>⑯因管理失误，发生医疗废物丢失、泄漏、扩散，要承担相应责任，并根据情况给予罚款处理。</w:t>
            </w:r>
          </w:p>
          <w:p w14:paraId="65B1DAB9">
            <w:pPr>
              <w:keepNext w:val="0"/>
              <w:keepLines w:val="0"/>
              <w:pageBreakBefore w:val="0"/>
              <w:numPr>
                <w:ilvl w:val="0"/>
                <w:numId w:val="0"/>
              </w:numPr>
              <w:kinsoku/>
              <w:wordWrap/>
              <w:overflowPunct/>
              <w:topLinePunct w:val="0"/>
              <w:autoSpaceDE/>
              <w:autoSpaceDN/>
              <w:bidi w:val="0"/>
              <w:adjustRightInd w:val="0"/>
              <w:snapToGrid w:val="0"/>
              <w:ind w:firstLine="420" w:firstLineChars="200"/>
              <w:textAlignment w:val="auto"/>
              <w:outlineLvl w:val="9"/>
              <w:rPr>
                <w:rFonts w:hint="default"/>
                <w:color w:val="auto"/>
                <w:highlight w:val="none"/>
              </w:rPr>
            </w:pPr>
            <w:r>
              <w:rPr>
                <w:rFonts w:hint="default"/>
                <w:color w:val="auto"/>
                <w:sz w:val="21"/>
                <w:szCs w:val="21"/>
                <w:highlight w:val="none"/>
              </w:rPr>
              <w:t>⑰</w:t>
            </w:r>
            <w:r>
              <w:rPr>
                <w:rFonts w:hint="eastAsia"/>
                <w:color w:val="auto"/>
                <w:sz w:val="21"/>
                <w:szCs w:val="21"/>
                <w:highlight w:val="none"/>
                <w:lang w:eastAsia="zh-CN"/>
              </w:rPr>
              <w:t>医疗废物</w:t>
            </w:r>
            <w:r>
              <w:rPr>
                <w:rFonts w:hint="default"/>
                <w:color w:val="auto"/>
                <w:sz w:val="21"/>
                <w:szCs w:val="21"/>
                <w:highlight w:val="none"/>
              </w:rPr>
              <w:t>、生活垃圾、日产日清，分别运送。</w:t>
            </w:r>
            <w:r>
              <w:rPr>
                <w:rFonts w:hint="eastAsia"/>
                <w:color w:val="auto"/>
                <w:sz w:val="21"/>
                <w:szCs w:val="21"/>
                <w:highlight w:val="none"/>
                <w:lang w:eastAsia="zh-CN"/>
              </w:rPr>
              <w:t>医疗废物</w:t>
            </w:r>
            <w:r>
              <w:rPr>
                <w:rFonts w:hint="default"/>
                <w:color w:val="auto"/>
                <w:sz w:val="21"/>
                <w:szCs w:val="21"/>
                <w:highlight w:val="none"/>
              </w:rPr>
              <w:t>暂时贮存不能超过</w:t>
            </w:r>
            <w:r>
              <w:rPr>
                <w:rFonts w:hint="eastAsia"/>
                <w:color w:val="auto"/>
                <w:sz w:val="21"/>
                <w:szCs w:val="21"/>
                <w:highlight w:val="none"/>
                <w:lang w:val="en-US" w:eastAsia="zh-CN"/>
              </w:rPr>
              <w:t>24</w:t>
            </w:r>
            <w:r>
              <w:rPr>
                <w:rFonts w:hint="default"/>
                <w:color w:val="auto"/>
                <w:sz w:val="21"/>
                <w:szCs w:val="21"/>
                <w:highlight w:val="none"/>
              </w:rPr>
              <w:t>小时。</w:t>
            </w:r>
          </w:p>
          <w:p w14:paraId="08C84098">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outlineLvl w:val="9"/>
              <w:rPr>
                <w:rFonts w:hint="default" w:ascii="Times New Roman" w:hAnsi="Times New Roman"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5.氧气泄漏</w:t>
            </w:r>
            <w:r>
              <w:rPr>
                <w:rFonts w:hint="default" w:ascii="Times New Roman" w:hAnsi="Times New Roman" w:cs="Times New Roman"/>
                <w:color w:val="auto"/>
                <w:kern w:val="2"/>
                <w:sz w:val="21"/>
                <w:szCs w:val="21"/>
                <w:highlight w:val="none"/>
                <w:lang w:val="en-US" w:eastAsia="zh-CN"/>
              </w:rPr>
              <w:t>风险防范及应急措施</w:t>
            </w:r>
          </w:p>
          <w:p w14:paraId="0E2695EE">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textAlignment w:val="auto"/>
              <w:outlineLvl w:val="9"/>
              <w:rPr>
                <w:rFonts w:hint="default" w:ascii="Times New Roman" w:hAnsi="Times New Roman"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lang w:val="en-US" w:eastAsia="zh-CN"/>
              </w:rPr>
              <w:t>①氧气吸氧的操作人员严格遵守操作规程，使用时应远离火种、热源，远离易燃、可燃物，还</w:t>
            </w:r>
            <w:r>
              <w:rPr>
                <w:rFonts w:hint="eastAsia" w:ascii="Times New Roman" w:hAnsi="Times New Roman" w:cs="Times New Roman"/>
                <w:color w:val="auto"/>
                <w:kern w:val="2"/>
                <w:sz w:val="21"/>
                <w:szCs w:val="21"/>
                <w:highlight w:val="none"/>
                <w:lang w:val="en-US" w:eastAsia="zh-CN"/>
              </w:rPr>
              <w:t>要</w:t>
            </w:r>
            <w:r>
              <w:rPr>
                <w:rFonts w:hint="default" w:ascii="Times New Roman" w:hAnsi="Times New Roman" w:cs="Times New Roman"/>
                <w:color w:val="auto"/>
                <w:kern w:val="2"/>
                <w:sz w:val="21"/>
                <w:szCs w:val="21"/>
                <w:highlight w:val="none"/>
                <w:lang w:val="en-US" w:eastAsia="zh-CN"/>
              </w:rPr>
              <w:t>避免高浓度吸入。</w:t>
            </w:r>
          </w:p>
          <w:p w14:paraId="4BB7212F">
            <w:pPr>
              <w:pStyle w:val="2"/>
              <w:keepNext w:val="0"/>
              <w:keepLines w:val="0"/>
              <w:pageBreakBefore w:val="0"/>
              <w:kinsoku/>
              <w:wordWrap/>
              <w:overflowPunct/>
              <w:topLinePunct w:val="0"/>
              <w:autoSpaceDE/>
              <w:autoSpaceDN/>
              <w:bidi w:val="0"/>
              <w:adjustRightInd w:val="0"/>
              <w:snapToGrid w:val="0"/>
              <w:spacing w:after="0" w:afterLines="0" w:line="240" w:lineRule="auto"/>
              <w:ind w:left="0" w:leftChars="0" w:firstLine="420" w:firstLineChars="200"/>
              <w:textAlignment w:val="auto"/>
              <w:outlineLvl w:val="9"/>
              <w:rPr>
                <w:rFonts w:hint="default"/>
                <w:color w:val="auto"/>
                <w:highlight w:val="none"/>
              </w:rPr>
            </w:pPr>
            <w:r>
              <w:rPr>
                <w:rFonts w:hint="default" w:ascii="Times New Roman" w:hAnsi="Times New Roman" w:cs="Times New Roman"/>
                <w:color w:val="auto"/>
                <w:kern w:val="2"/>
                <w:sz w:val="21"/>
                <w:szCs w:val="21"/>
                <w:highlight w:val="none"/>
                <w:lang w:val="en-US" w:eastAsia="zh-CN"/>
              </w:rPr>
              <w:t>②</w:t>
            </w:r>
            <w:r>
              <w:rPr>
                <w:rFonts w:hint="eastAsia" w:ascii="Times New Roman" w:hAnsi="Times New Roman" w:cs="Times New Roman"/>
                <w:color w:val="auto"/>
                <w:kern w:val="2"/>
                <w:sz w:val="21"/>
                <w:szCs w:val="21"/>
                <w:highlight w:val="none"/>
                <w:lang w:val="en-US" w:eastAsia="zh-CN"/>
              </w:rPr>
              <w:t>氧气泄漏时，要迅速撤离泄漏污染区人员至上风处，并对污染区进行隔离，切断火源。应急人员戴自给正压式呼吸器，避免与可燃物或易燃物接触。</w:t>
            </w:r>
          </w:p>
        </w:tc>
      </w:tr>
      <w:tr w14:paraId="394381F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832" w:type="dxa"/>
            <w:gridSpan w:val="2"/>
            <w:noWrap w:val="0"/>
            <w:vAlign w:val="center"/>
          </w:tcPr>
          <w:p w14:paraId="7B66BCC2">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评价结论与建议</w:t>
            </w:r>
          </w:p>
        </w:tc>
        <w:tc>
          <w:tcPr>
            <w:tcW w:w="7541" w:type="dxa"/>
            <w:gridSpan w:val="10"/>
            <w:noWrap w:val="0"/>
            <w:vAlign w:val="center"/>
          </w:tcPr>
          <w:p w14:paraId="741A0C57">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outlineLvl w:val="9"/>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SA"/>
              </w:rPr>
              <w:t>项目要按照安全评价和环境影响报告提出的相关要求，切实落实各项防范措施和应急预案提出的要求，确保发生泄漏导致环境污染时环境风险降至最低。建设单位必须按要求做好风险防范和事故应急工作，通过落实设计说明、消防和劳动安全主管部门的要求、本报告中提出的各项环保措施和对策建议，本项目可最大限度地降低环境风险，一旦意外事件发生，也能最大限度地减少环境污染危害和人们生命财产的损失。通过实施严格的管理制度和风险防范措施，本项目的环境风险是可以接受的。</w:t>
            </w:r>
          </w:p>
        </w:tc>
      </w:tr>
      <w:tr w14:paraId="3C33060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73" w:type="dxa"/>
            <w:gridSpan w:val="12"/>
            <w:noWrap w:val="0"/>
            <w:vAlign w:val="center"/>
          </w:tcPr>
          <w:p w14:paraId="0D718CE4">
            <w:pPr>
              <w:pStyle w:val="39"/>
              <w:keepNext w:val="0"/>
              <w:keepLines w:val="0"/>
              <w:pageBreakBefore w:val="0"/>
              <w:kinsoku/>
              <w:wordWrap/>
              <w:overflowPunct/>
              <w:topLinePunct/>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注：“</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sz w:val="21"/>
                <w:szCs w:val="21"/>
                <w:highlight w:val="none"/>
              </w:rPr>
              <w:t>”为勾选项，填“√”；“一”为内容填写项</w:t>
            </w:r>
          </w:p>
        </w:tc>
      </w:tr>
    </w:tbl>
    <w:p w14:paraId="452C5A14">
      <w:pPr>
        <w:pStyle w:val="31"/>
        <w:jc w:val="left"/>
        <w:rPr>
          <w:rFonts w:hint="eastAsia"/>
          <w:b/>
          <w:bCs/>
          <w:color w:val="auto"/>
          <w:highlight w:val="none"/>
          <w:lang w:val="en-US" w:eastAsia="zh-CN"/>
        </w:rPr>
        <w:sectPr>
          <w:footerReference r:id="rId5" w:type="default"/>
          <w:pgSz w:w="11907" w:h="16840"/>
          <w:pgMar w:top="1757" w:right="1474" w:bottom="1757" w:left="1276" w:header="851" w:footer="567" w:gutter="0"/>
          <w:pgNumType w:fmt="decimal"/>
          <w:cols w:space="720" w:num="1"/>
          <w:docGrid w:type="lines" w:linePitch="319" w:charSpace="0"/>
        </w:sectPr>
      </w:pPr>
    </w:p>
    <w:p w14:paraId="57C12B5D">
      <w:pPr>
        <w:pStyle w:val="31"/>
        <w:jc w:val="center"/>
        <w:rPr>
          <w:rFonts w:hint="eastAsia"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1"/>
          <w:szCs w:val="21"/>
          <w:highlight w:val="none"/>
        </w:rPr>
        <w:t>附件</w:t>
      </w:r>
      <w:r>
        <w:rPr>
          <w:rFonts w:hint="eastAsia" w:eastAsia="宋体" w:cs="Times New Roman"/>
          <w:b/>
          <w:bCs/>
          <w:color w:val="auto"/>
          <w:sz w:val="21"/>
          <w:szCs w:val="21"/>
          <w:highlight w:val="none"/>
          <w:lang w:val="en-US" w:eastAsia="zh-CN"/>
        </w:rPr>
        <w:t>6</w:t>
      </w:r>
      <w:r>
        <w:rPr>
          <w:rFonts w:hint="eastAsia" w:eastAsia="宋体" w:cs="Times New Roman"/>
          <w:b/>
          <w:bCs/>
          <w:color w:val="auto"/>
          <w:sz w:val="24"/>
          <w:szCs w:val="24"/>
          <w:highlight w:val="none"/>
          <w:lang w:val="en-US" w:eastAsia="zh-CN"/>
        </w:rPr>
        <w:t>地表水环境影响评价自查表</w:t>
      </w:r>
    </w:p>
    <w:tbl>
      <w:tblPr>
        <w:tblStyle w:val="24"/>
        <w:tblW w:w="13542"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01"/>
        <w:gridCol w:w="3079"/>
        <w:gridCol w:w="1130"/>
        <w:gridCol w:w="94"/>
        <w:gridCol w:w="650"/>
        <w:gridCol w:w="89"/>
        <w:gridCol w:w="1237"/>
        <w:gridCol w:w="675"/>
        <w:gridCol w:w="725"/>
        <w:gridCol w:w="1375"/>
        <w:gridCol w:w="488"/>
        <w:gridCol w:w="931"/>
        <w:gridCol w:w="150"/>
        <w:gridCol w:w="469"/>
        <w:gridCol w:w="1949"/>
      </w:tblGrid>
      <w:tr w14:paraId="4BEC50B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580" w:type="dxa"/>
            <w:gridSpan w:val="2"/>
            <w:noWrap w:val="0"/>
            <w:vAlign w:val="center"/>
          </w:tcPr>
          <w:p w14:paraId="0C1ED2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工作内容</w:t>
            </w:r>
          </w:p>
        </w:tc>
        <w:tc>
          <w:tcPr>
            <w:tcW w:w="9962" w:type="dxa"/>
            <w:gridSpan w:val="13"/>
            <w:noWrap w:val="0"/>
            <w:vAlign w:val="center"/>
          </w:tcPr>
          <w:p w14:paraId="209CA1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自查项目</w:t>
            </w:r>
          </w:p>
        </w:tc>
      </w:tr>
      <w:tr w14:paraId="6042C19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restart"/>
            <w:noWrap w:val="0"/>
            <w:vAlign w:val="center"/>
          </w:tcPr>
          <w:p w14:paraId="46B140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影响识别</w:t>
            </w:r>
          </w:p>
        </w:tc>
        <w:tc>
          <w:tcPr>
            <w:tcW w:w="3079" w:type="dxa"/>
            <w:noWrap w:val="0"/>
            <w:vAlign w:val="center"/>
          </w:tcPr>
          <w:p w14:paraId="02668E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影响类型</w:t>
            </w:r>
          </w:p>
        </w:tc>
        <w:tc>
          <w:tcPr>
            <w:tcW w:w="9962" w:type="dxa"/>
            <w:gridSpan w:val="13"/>
            <w:noWrap w:val="0"/>
            <w:vAlign w:val="center"/>
          </w:tcPr>
          <w:p w14:paraId="26E436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 w:val="21"/>
                <w:szCs w:val="21"/>
                <w:highlight w:val="none"/>
              </w:rPr>
              <w:t>水污染影响型☑；水文要素影响型□</w:t>
            </w:r>
          </w:p>
        </w:tc>
      </w:tr>
      <w:tr w14:paraId="4C49D5F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281E7E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noWrap w:val="0"/>
            <w:vAlign w:val="center"/>
          </w:tcPr>
          <w:p w14:paraId="59FE86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水环境保护目标</w:t>
            </w:r>
          </w:p>
        </w:tc>
        <w:tc>
          <w:tcPr>
            <w:tcW w:w="9962" w:type="dxa"/>
            <w:gridSpan w:val="13"/>
            <w:noWrap w:val="0"/>
            <w:vAlign w:val="center"/>
          </w:tcPr>
          <w:p w14:paraId="6BFEE7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饮用水水源保护区 □；饮用水取水□；涉水的自然保护区 □；重要湿地 □；</w:t>
            </w:r>
          </w:p>
          <w:p w14:paraId="3695F5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 xml:space="preserve">重点保护与珍稀水生生物的栖息地 □；重要水生生物的自然产卵地及索耳场、越冬场和洄游通道、天然渔场等水体；涉水的风景名胜区 □；其他 </w:t>
            </w:r>
            <w:r>
              <w:rPr>
                <w:rFonts w:hint="default" w:ascii="Times New Roman" w:hAnsi="Times New Roman" w:eastAsia="宋体" w:cs="Times New Roman"/>
                <w:color w:val="auto"/>
                <w:sz w:val="21"/>
                <w:szCs w:val="21"/>
                <w:highlight w:val="none"/>
              </w:rPr>
              <w:t>☑</w:t>
            </w:r>
          </w:p>
        </w:tc>
      </w:tr>
      <w:tr w14:paraId="3ABEDE9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3B5C37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restart"/>
            <w:noWrap w:val="0"/>
            <w:vAlign w:val="center"/>
          </w:tcPr>
          <w:p w14:paraId="6EBF84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影响途径</w:t>
            </w:r>
          </w:p>
        </w:tc>
        <w:tc>
          <w:tcPr>
            <w:tcW w:w="4600" w:type="dxa"/>
            <w:gridSpan w:val="7"/>
            <w:noWrap w:val="0"/>
            <w:vAlign w:val="center"/>
          </w:tcPr>
          <w:p w14:paraId="210175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水污染影响型</w:t>
            </w:r>
          </w:p>
        </w:tc>
        <w:tc>
          <w:tcPr>
            <w:tcW w:w="5362" w:type="dxa"/>
            <w:gridSpan w:val="6"/>
            <w:noWrap w:val="0"/>
            <w:vAlign w:val="center"/>
          </w:tcPr>
          <w:p w14:paraId="3BEA41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水文要素影响型</w:t>
            </w:r>
          </w:p>
        </w:tc>
      </w:tr>
      <w:tr w14:paraId="47B0199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371F1D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continue"/>
            <w:noWrap w:val="0"/>
            <w:vAlign w:val="center"/>
          </w:tcPr>
          <w:p w14:paraId="55872B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4600" w:type="dxa"/>
            <w:gridSpan w:val="7"/>
            <w:noWrap w:val="0"/>
            <w:vAlign w:val="center"/>
          </w:tcPr>
          <w:p w14:paraId="478F90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 w:val="21"/>
                <w:szCs w:val="21"/>
                <w:highlight w:val="none"/>
              </w:rPr>
              <w:t>直接排放 □；间接排放</w:t>
            </w:r>
            <w:r>
              <w:rPr>
                <w:rFonts w:hint="eastAsia"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 xml:space="preserve"> ；其他</w:t>
            </w:r>
            <w:r>
              <w:rPr>
                <w:rFonts w:hint="eastAsia" w:ascii="Times New Roman" w:hAnsi="Times New Roman" w:eastAsia="宋体" w:cs="Times New Roman"/>
                <w:color w:val="auto"/>
                <w:sz w:val="21"/>
                <w:szCs w:val="21"/>
                <w:highlight w:val="none"/>
                <w:lang w:eastAsia="zh-CN"/>
              </w:rPr>
              <w:t>□</w:t>
            </w:r>
          </w:p>
        </w:tc>
        <w:tc>
          <w:tcPr>
            <w:tcW w:w="5362" w:type="dxa"/>
            <w:gridSpan w:val="6"/>
            <w:noWrap w:val="0"/>
            <w:vAlign w:val="center"/>
          </w:tcPr>
          <w:p w14:paraId="3E6E29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水温 □；径流 □；水域面积 □</w:t>
            </w:r>
          </w:p>
        </w:tc>
      </w:tr>
      <w:tr w14:paraId="022CF61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6BAD40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noWrap w:val="0"/>
            <w:vAlign w:val="center"/>
          </w:tcPr>
          <w:p w14:paraId="33CD56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影响因子</w:t>
            </w:r>
          </w:p>
        </w:tc>
        <w:tc>
          <w:tcPr>
            <w:tcW w:w="4600" w:type="dxa"/>
            <w:gridSpan w:val="7"/>
            <w:noWrap w:val="0"/>
            <w:vAlign w:val="center"/>
          </w:tcPr>
          <w:p w14:paraId="2CCC13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 xml:space="preserve">持久性污染物 □；有毒有害污染物 □；非持久性污染物 </w:t>
            </w:r>
            <w:r>
              <w:rPr>
                <w:rFonts w:hint="eastAsia"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；pH值 □；热污染 □；富营养化 □；其他□</w:t>
            </w:r>
          </w:p>
        </w:tc>
        <w:tc>
          <w:tcPr>
            <w:tcW w:w="5362" w:type="dxa"/>
            <w:gridSpan w:val="6"/>
            <w:noWrap w:val="0"/>
            <w:vAlign w:val="center"/>
          </w:tcPr>
          <w:p w14:paraId="089678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水温 □；水位（水深）□；流速 □；流量 □；其他 □</w:t>
            </w:r>
          </w:p>
        </w:tc>
      </w:tr>
      <w:tr w14:paraId="15F2751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80" w:type="dxa"/>
            <w:gridSpan w:val="2"/>
            <w:vMerge w:val="restart"/>
            <w:noWrap w:val="0"/>
            <w:vAlign w:val="center"/>
          </w:tcPr>
          <w:p w14:paraId="6CF7EA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评价等级</w:t>
            </w:r>
          </w:p>
        </w:tc>
        <w:tc>
          <w:tcPr>
            <w:tcW w:w="4600" w:type="dxa"/>
            <w:gridSpan w:val="7"/>
            <w:noWrap w:val="0"/>
            <w:vAlign w:val="center"/>
          </w:tcPr>
          <w:p w14:paraId="261FF6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水污染影响型</w:t>
            </w:r>
          </w:p>
        </w:tc>
        <w:tc>
          <w:tcPr>
            <w:tcW w:w="5362" w:type="dxa"/>
            <w:gridSpan w:val="6"/>
            <w:noWrap w:val="0"/>
            <w:vAlign w:val="center"/>
          </w:tcPr>
          <w:p w14:paraId="423C72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水文要素影响型</w:t>
            </w:r>
          </w:p>
        </w:tc>
      </w:tr>
      <w:tr w14:paraId="7910745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80" w:type="dxa"/>
            <w:gridSpan w:val="2"/>
            <w:vMerge w:val="continue"/>
            <w:noWrap w:val="0"/>
            <w:vAlign w:val="center"/>
          </w:tcPr>
          <w:p w14:paraId="551108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4600" w:type="dxa"/>
            <w:gridSpan w:val="7"/>
            <w:noWrap w:val="0"/>
            <w:vAlign w:val="center"/>
          </w:tcPr>
          <w:p w14:paraId="1A1AC0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 w:val="21"/>
                <w:szCs w:val="21"/>
                <w:highlight w:val="none"/>
              </w:rPr>
              <w:t>一级 □；二级 □；三级A □；三级B</w:t>
            </w:r>
            <w:r>
              <w:rPr>
                <w:rFonts w:hint="eastAsia" w:ascii="Times New Roman" w:hAnsi="Times New Roman" w:eastAsia="宋体" w:cs="Times New Roman"/>
                <w:color w:val="auto"/>
                <w:sz w:val="21"/>
                <w:szCs w:val="21"/>
                <w:highlight w:val="none"/>
                <w:lang w:eastAsia="zh-CN"/>
              </w:rPr>
              <w:t>☑</w:t>
            </w:r>
          </w:p>
        </w:tc>
        <w:tc>
          <w:tcPr>
            <w:tcW w:w="5362" w:type="dxa"/>
            <w:gridSpan w:val="6"/>
            <w:noWrap w:val="0"/>
            <w:vAlign w:val="center"/>
          </w:tcPr>
          <w:p w14:paraId="326EEC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一级 □；二级 □；三级 □</w:t>
            </w:r>
          </w:p>
        </w:tc>
      </w:tr>
      <w:tr w14:paraId="2984EC2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restart"/>
            <w:noWrap w:val="0"/>
            <w:vAlign w:val="center"/>
          </w:tcPr>
          <w:p w14:paraId="4ACF91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现状调查</w:t>
            </w:r>
          </w:p>
        </w:tc>
        <w:tc>
          <w:tcPr>
            <w:tcW w:w="3079" w:type="dxa"/>
            <w:vMerge w:val="restart"/>
            <w:noWrap w:val="0"/>
            <w:vAlign w:val="center"/>
          </w:tcPr>
          <w:p w14:paraId="70436D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区域污染源</w:t>
            </w:r>
          </w:p>
        </w:tc>
        <w:tc>
          <w:tcPr>
            <w:tcW w:w="4600" w:type="dxa"/>
            <w:gridSpan w:val="7"/>
            <w:noWrap w:val="0"/>
            <w:vAlign w:val="center"/>
          </w:tcPr>
          <w:p w14:paraId="1F741E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调查项目</w:t>
            </w:r>
          </w:p>
        </w:tc>
        <w:tc>
          <w:tcPr>
            <w:tcW w:w="5362" w:type="dxa"/>
            <w:gridSpan w:val="6"/>
            <w:noWrap w:val="0"/>
            <w:vAlign w:val="center"/>
          </w:tcPr>
          <w:p w14:paraId="3CC6A1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数据来源</w:t>
            </w:r>
          </w:p>
        </w:tc>
      </w:tr>
      <w:tr w14:paraId="3C5B300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636792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continue"/>
            <w:noWrap w:val="0"/>
            <w:vAlign w:val="center"/>
          </w:tcPr>
          <w:p w14:paraId="107702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1874" w:type="dxa"/>
            <w:gridSpan w:val="3"/>
            <w:noWrap w:val="0"/>
            <w:vAlign w:val="center"/>
          </w:tcPr>
          <w:p w14:paraId="2B7F2C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已建 □；在建 □；拟建 □；其他 □；</w:t>
            </w:r>
          </w:p>
        </w:tc>
        <w:tc>
          <w:tcPr>
            <w:tcW w:w="2726" w:type="dxa"/>
            <w:gridSpan w:val="4"/>
            <w:noWrap w:val="0"/>
            <w:vAlign w:val="center"/>
          </w:tcPr>
          <w:p w14:paraId="54CEE3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拟替代的污染源 □</w:t>
            </w:r>
          </w:p>
        </w:tc>
        <w:tc>
          <w:tcPr>
            <w:tcW w:w="5362" w:type="dxa"/>
            <w:gridSpan w:val="6"/>
            <w:noWrap w:val="0"/>
            <w:vAlign w:val="center"/>
          </w:tcPr>
          <w:p w14:paraId="0C5F66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排污许可证 □；环评 □；环保验收 □；即有实测 □；现场监测 □；入河排放口数据 □；其他 □</w:t>
            </w:r>
          </w:p>
        </w:tc>
      </w:tr>
      <w:tr w14:paraId="252E68D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6410A7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restart"/>
            <w:noWrap w:val="0"/>
            <w:vAlign w:val="center"/>
          </w:tcPr>
          <w:p w14:paraId="52BC79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受影响水体水环境质量</w:t>
            </w:r>
          </w:p>
        </w:tc>
        <w:tc>
          <w:tcPr>
            <w:tcW w:w="4600" w:type="dxa"/>
            <w:gridSpan w:val="7"/>
            <w:noWrap w:val="0"/>
            <w:vAlign w:val="center"/>
          </w:tcPr>
          <w:p w14:paraId="0D8877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调查时期</w:t>
            </w:r>
          </w:p>
        </w:tc>
        <w:tc>
          <w:tcPr>
            <w:tcW w:w="5362" w:type="dxa"/>
            <w:gridSpan w:val="6"/>
            <w:noWrap w:val="0"/>
            <w:vAlign w:val="center"/>
          </w:tcPr>
          <w:p w14:paraId="341CE6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数据来源</w:t>
            </w:r>
          </w:p>
        </w:tc>
      </w:tr>
      <w:tr w14:paraId="06214CA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0762C0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continue"/>
            <w:noWrap w:val="0"/>
            <w:vAlign w:val="center"/>
          </w:tcPr>
          <w:p w14:paraId="76BC1E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4600" w:type="dxa"/>
            <w:gridSpan w:val="7"/>
            <w:noWrap w:val="0"/>
            <w:vAlign w:val="center"/>
          </w:tcPr>
          <w:p w14:paraId="05DF1E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丰水期 □；平水期 □；枯水期 □；冰封期 □；</w:t>
            </w:r>
          </w:p>
          <w:p w14:paraId="07CA67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春季□ ；夏季</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kern w:val="0"/>
                <w:sz w:val="21"/>
                <w:szCs w:val="21"/>
                <w:highlight w:val="none"/>
              </w:rPr>
              <w:t>；秋季 □；冬季 □</w:t>
            </w:r>
          </w:p>
        </w:tc>
        <w:tc>
          <w:tcPr>
            <w:tcW w:w="5362" w:type="dxa"/>
            <w:gridSpan w:val="6"/>
            <w:noWrap w:val="0"/>
            <w:vAlign w:val="center"/>
          </w:tcPr>
          <w:p w14:paraId="4A6AA0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 xml:space="preserve">生态环境保护主管部门 □；补充监测 </w:t>
            </w:r>
            <w:r>
              <w:rPr>
                <w:rFonts w:hint="eastAsia" w:cs="Times New Roman"/>
                <w:color w:val="auto"/>
                <w:sz w:val="21"/>
                <w:szCs w:val="21"/>
                <w:highlight w:val="none"/>
                <w:lang w:eastAsia="zh-CN"/>
              </w:rPr>
              <w:t>□</w:t>
            </w:r>
            <w:r>
              <w:rPr>
                <w:rFonts w:hint="default" w:ascii="Times New Roman" w:hAnsi="Times New Roman" w:eastAsia="宋体" w:cs="Times New Roman"/>
                <w:color w:val="auto"/>
                <w:kern w:val="0"/>
                <w:sz w:val="21"/>
                <w:szCs w:val="21"/>
                <w:highlight w:val="none"/>
              </w:rPr>
              <w:t>；其他 □</w:t>
            </w:r>
          </w:p>
        </w:tc>
      </w:tr>
      <w:tr w14:paraId="5F5C42B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28891B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noWrap w:val="0"/>
            <w:vAlign w:val="center"/>
          </w:tcPr>
          <w:p w14:paraId="43DB3D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区域水资源开发利用状况</w:t>
            </w:r>
          </w:p>
        </w:tc>
        <w:tc>
          <w:tcPr>
            <w:tcW w:w="9962" w:type="dxa"/>
            <w:gridSpan w:val="13"/>
            <w:noWrap w:val="0"/>
            <w:vAlign w:val="center"/>
          </w:tcPr>
          <w:p w14:paraId="6A44D7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未开发 □；开发量40%以下</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kern w:val="0"/>
                <w:sz w:val="21"/>
                <w:szCs w:val="21"/>
                <w:highlight w:val="none"/>
              </w:rPr>
              <w:t>；发量40%以上 □</w:t>
            </w:r>
          </w:p>
        </w:tc>
      </w:tr>
      <w:tr w14:paraId="4C6B88A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2CB2BA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restart"/>
            <w:noWrap w:val="0"/>
            <w:vAlign w:val="center"/>
          </w:tcPr>
          <w:p w14:paraId="5C412D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水文情势调查</w:t>
            </w:r>
          </w:p>
        </w:tc>
        <w:tc>
          <w:tcPr>
            <w:tcW w:w="4600" w:type="dxa"/>
            <w:gridSpan w:val="7"/>
            <w:noWrap w:val="0"/>
            <w:vAlign w:val="center"/>
          </w:tcPr>
          <w:p w14:paraId="71DFD9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调查时期</w:t>
            </w:r>
          </w:p>
        </w:tc>
        <w:tc>
          <w:tcPr>
            <w:tcW w:w="5362" w:type="dxa"/>
            <w:gridSpan w:val="6"/>
            <w:noWrap w:val="0"/>
            <w:vAlign w:val="center"/>
          </w:tcPr>
          <w:p w14:paraId="089029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数据来源</w:t>
            </w:r>
          </w:p>
        </w:tc>
      </w:tr>
      <w:tr w14:paraId="53162C7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7D1DF4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continue"/>
            <w:noWrap w:val="0"/>
            <w:vAlign w:val="center"/>
          </w:tcPr>
          <w:p w14:paraId="7A1809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4600" w:type="dxa"/>
            <w:gridSpan w:val="7"/>
            <w:noWrap w:val="0"/>
            <w:vAlign w:val="center"/>
          </w:tcPr>
          <w:p w14:paraId="4E8CFF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丰水期 □；平水期 □；枯水期 □；冰封期 □；</w:t>
            </w:r>
          </w:p>
          <w:p w14:paraId="44A5EB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春季 □；夏季 □；秋季 □；冬季 □</w:t>
            </w:r>
          </w:p>
        </w:tc>
        <w:tc>
          <w:tcPr>
            <w:tcW w:w="5362" w:type="dxa"/>
            <w:gridSpan w:val="6"/>
            <w:noWrap w:val="0"/>
            <w:vAlign w:val="center"/>
          </w:tcPr>
          <w:p w14:paraId="7EB6CF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水行政主管部门 □；补充监测 □；其他 □</w:t>
            </w:r>
          </w:p>
        </w:tc>
      </w:tr>
      <w:tr w14:paraId="2CDAB8C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26EB24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restart"/>
            <w:noWrap w:val="0"/>
            <w:vAlign w:val="center"/>
          </w:tcPr>
          <w:p w14:paraId="3976AF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补充监测</w:t>
            </w:r>
          </w:p>
        </w:tc>
        <w:tc>
          <w:tcPr>
            <w:tcW w:w="4600" w:type="dxa"/>
            <w:gridSpan w:val="7"/>
            <w:noWrap w:val="0"/>
            <w:vAlign w:val="center"/>
          </w:tcPr>
          <w:p w14:paraId="37422D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监测时期</w:t>
            </w:r>
          </w:p>
        </w:tc>
        <w:tc>
          <w:tcPr>
            <w:tcW w:w="2944" w:type="dxa"/>
            <w:gridSpan w:val="4"/>
            <w:noWrap w:val="0"/>
            <w:vAlign w:val="center"/>
          </w:tcPr>
          <w:p w14:paraId="0B1F6A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监测因子</w:t>
            </w:r>
          </w:p>
        </w:tc>
        <w:tc>
          <w:tcPr>
            <w:tcW w:w="2418" w:type="dxa"/>
            <w:gridSpan w:val="2"/>
            <w:noWrap w:val="0"/>
            <w:vAlign w:val="center"/>
          </w:tcPr>
          <w:p w14:paraId="3E5E57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监测断面或点位</w:t>
            </w:r>
          </w:p>
        </w:tc>
      </w:tr>
      <w:tr w14:paraId="384BCB6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1BFA83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continue"/>
            <w:noWrap w:val="0"/>
            <w:vAlign w:val="center"/>
          </w:tcPr>
          <w:p w14:paraId="59AD08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4600" w:type="dxa"/>
            <w:gridSpan w:val="7"/>
            <w:noWrap w:val="0"/>
            <w:vAlign w:val="center"/>
          </w:tcPr>
          <w:p w14:paraId="478286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丰水期 □；平水期 □；枯水期 □；冰封期 □；</w:t>
            </w:r>
          </w:p>
          <w:p w14:paraId="16B3B2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春季 □；夏季</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kern w:val="0"/>
                <w:sz w:val="21"/>
                <w:szCs w:val="21"/>
                <w:highlight w:val="none"/>
              </w:rPr>
              <w:t>；秋季 □；冬季 □</w:t>
            </w:r>
          </w:p>
        </w:tc>
        <w:tc>
          <w:tcPr>
            <w:tcW w:w="2944" w:type="dxa"/>
            <w:gridSpan w:val="4"/>
            <w:noWrap w:val="0"/>
            <w:vAlign w:val="center"/>
          </w:tcPr>
          <w:p w14:paraId="05E19E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w:t>
            </w:r>
            <w:r>
              <w:rPr>
                <w:rFonts w:hint="eastAsia" w:ascii="Times New Roman" w:hAnsi="Times New Roman" w:eastAsia="宋体" w:cs="Times New Roman"/>
                <w:color w:val="auto"/>
                <w:kern w:val="0"/>
                <w:sz w:val="21"/>
                <w:szCs w:val="21"/>
                <w:highlight w:val="none"/>
                <w:lang w:val="en-US" w:eastAsia="zh-CN"/>
              </w:rPr>
              <w:t xml:space="preserve">  </w:t>
            </w:r>
            <w:r>
              <w:rPr>
                <w:rFonts w:hint="default" w:ascii="Times New Roman" w:hAnsi="Times New Roman" w:eastAsia="宋体" w:cs="Times New Roman"/>
                <w:color w:val="auto"/>
                <w:kern w:val="0"/>
                <w:sz w:val="21"/>
                <w:szCs w:val="21"/>
                <w:highlight w:val="none"/>
              </w:rPr>
              <w:t xml:space="preserve"> ）</w:t>
            </w:r>
          </w:p>
        </w:tc>
        <w:tc>
          <w:tcPr>
            <w:tcW w:w="2418" w:type="dxa"/>
            <w:gridSpan w:val="2"/>
            <w:noWrap w:val="0"/>
            <w:vAlign w:val="center"/>
          </w:tcPr>
          <w:p w14:paraId="6A481A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监测断面或点位个数</w:t>
            </w:r>
          </w:p>
          <w:p w14:paraId="4AA6FB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w:t>
            </w:r>
            <w:r>
              <w:rPr>
                <w:rFonts w:hint="eastAsia" w:ascii="Times New Roman" w:hAnsi="Times New Roman" w:eastAsia="宋体" w:cs="Times New Roman"/>
                <w:color w:val="auto"/>
                <w:kern w:val="0"/>
                <w:sz w:val="21"/>
                <w:szCs w:val="21"/>
                <w:highlight w:val="none"/>
                <w:lang w:val="en-US" w:eastAsia="zh-CN"/>
              </w:rPr>
              <w:t xml:space="preserve">  </w:t>
            </w:r>
            <w:r>
              <w:rPr>
                <w:rFonts w:hint="default" w:ascii="Times New Roman" w:hAnsi="Times New Roman" w:eastAsia="宋体" w:cs="Times New Roman"/>
                <w:color w:val="auto"/>
                <w:kern w:val="0"/>
                <w:sz w:val="21"/>
                <w:szCs w:val="21"/>
                <w:highlight w:val="none"/>
              </w:rPr>
              <w:t>）个</w:t>
            </w:r>
          </w:p>
        </w:tc>
      </w:tr>
      <w:tr w14:paraId="646971D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restart"/>
            <w:noWrap w:val="0"/>
            <w:vAlign w:val="center"/>
          </w:tcPr>
          <w:p w14:paraId="5CEA83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现状评价</w:t>
            </w:r>
          </w:p>
        </w:tc>
        <w:tc>
          <w:tcPr>
            <w:tcW w:w="3079" w:type="dxa"/>
            <w:noWrap w:val="0"/>
            <w:vAlign w:val="center"/>
          </w:tcPr>
          <w:p w14:paraId="6F5C88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评价范围</w:t>
            </w:r>
          </w:p>
        </w:tc>
        <w:tc>
          <w:tcPr>
            <w:tcW w:w="9962" w:type="dxa"/>
            <w:gridSpan w:val="13"/>
            <w:noWrap w:val="0"/>
            <w:vAlign w:val="center"/>
          </w:tcPr>
          <w:p w14:paraId="6BF012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河流：长度（    ）km；湖库、河口及近岸海域：面积（    ）km</w:t>
            </w:r>
            <w:r>
              <w:rPr>
                <w:rFonts w:hint="default" w:ascii="Times New Roman" w:hAnsi="Times New Roman" w:eastAsia="宋体" w:cs="Times New Roman"/>
                <w:color w:val="auto"/>
                <w:kern w:val="0"/>
                <w:sz w:val="21"/>
                <w:szCs w:val="21"/>
                <w:highlight w:val="none"/>
                <w:vertAlign w:val="superscript"/>
              </w:rPr>
              <w:t>2</w:t>
            </w:r>
          </w:p>
        </w:tc>
      </w:tr>
      <w:tr w14:paraId="5BA5ACE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23EF30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noWrap w:val="0"/>
            <w:vAlign w:val="center"/>
          </w:tcPr>
          <w:p w14:paraId="245474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评价因子</w:t>
            </w:r>
          </w:p>
        </w:tc>
        <w:tc>
          <w:tcPr>
            <w:tcW w:w="9962" w:type="dxa"/>
            <w:gridSpan w:val="13"/>
            <w:noWrap w:val="0"/>
            <w:vAlign w:val="center"/>
          </w:tcPr>
          <w:p w14:paraId="7272CC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 xml:space="preserve">（ </w:t>
            </w:r>
            <w:r>
              <w:rPr>
                <w:rFonts w:hint="eastAsia" w:ascii="Times New Roman" w:hAnsi="Times New Roman" w:eastAsia="宋体" w:cs="Times New Roman"/>
                <w:color w:val="auto"/>
                <w:kern w:val="0"/>
                <w:sz w:val="21"/>
                <w:szCs w:val="21"/>
                <w:highlight w:val="none"/>
                <w:lang w:val="en-US" w:eastAsia="zh-CN"/>
              </w:rPr>
              <w:t xml:space="preserve">  </w:t>
            </w:r>
            <w:r>
              <w:rPr>
                <w:rFonts w:hint="default" w:ascii="Times New Roman" w:hAnsi="Times New Roman" w:eastAsia="宋体" w:cs="Times New Roman"/>
                <w:color w:val="auto"/>
                <w:kern w:val="0"/>
                <w:sz w:val="21"/>
                <w:szCs w:val="21"/>
                <w:highlight w:val="none"/>
              </w:rPr>
              <w:t>）</w:t>
            </w:r>
          </w:p>
        </w:tc>
      </w:tr>
      <w:tr w14:paraId="71E852D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27AF4E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noWrap w:val="0"/>
            <w:vAlign w:val="center"/>
          </w:tcPr>
          <w:p w14:paraId="1802DC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评价标准</w:t>
            </w:r>
          </w:p>
        </w:tc>
        <w:tc>
          <w:tcPr>
            <w:tcW w:w="9962" w:type="dxa"/>
            <w:gridSpan w:val="13"/>
            <w:noWrap w:val="0"/>
            <w:vAlign w:val="center"/>
          </w:tcPr>
          <w:p w14:paraId="405A91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 xml:space="preserve">河流、湖库、河口：Ⅰ类 □；Ⅱ类 □；Ⅲ类 □；Ⅳ类 □；Ⅴ类 </w:t>
            </w:r>
            <w:r>
              <w:rPr>
                <w:rFonts w:hint="eastAsia"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w:t>
            </w:r>
          </w:p>
          <w:p w14:paraId="2490E4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近岸海域：第一类 □；第二类 □；第三类 □；第四类 □</w:t>
            </w:r>
          </w:p>
          <w:p w14:paraId="30C49C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规划年评价标准（  ）</w:t>
            </w:r>
          </w:p>
        </w:tc>
      </w:tr>
      <w:tr w14:paraId="232B9EF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72D576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noWrap w:val="0"/>
            <w:vAlign w:val="center"/>
          </w:tcPr>
          <w:p w14:paraId="23B387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评价时期</w:t>
            </w:r>
          </w:p>
        </w:tc>
        <w:tc>
          <w:tcPr>
            <w:tcW w:w="9962" w:type="dxa"/>
            <w:gridSpan w:val="13"/>
            <w:noWrap w:val="0"/>
            <w:vAlign w:val="center"/>
          </w:tcPr>
          <w:p w14:paraId="11D828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丰水期 □；平水期 □；枯水期 □；冰封期 □；</w:t>
            </w:r>
          </w:p>
          <w:p w14:paraId="54D6D4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 xml:space="preserve">春季 □；夏季 </w:t>
            </w:r>
            <w:r>
              <w:rPr>
                <w:rFonts w:hint="eastAsia"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；秋季 □；冬季 □</w:t>
            </w:r>
          </w:p>
        </w:tc>
      </w:tr>
      <w:tr w14:paraId="5F36634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2A8E29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noWrap w:val="0"/>
            <w:vAlign w:val="center"/>
          </w:tcPr>
          <w:p w14:paraId="0E461B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评价结论</w:t>
            </w:r>
          </w:p>
        </w:tc>
        <w:tc>
          <w:tcPr>
            <w:tcW w:w="7394" w:type="dxa"/>
            <w:gridSpan w:val="10"/>
            <w:noWrap w:val="0"/>
            <w:vAlign w:val="center"/>
          </w:tcPr>
          <w:p w14:paraId="7B939D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水环境功能区或水功能区、近岸海域环境功能区水质达标状况：达标 □；不达标 □</w:t>
            </w:r>
          </w:p>
          <w:p w14:paraId="613A35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 xml:space="preserve">水环境控制单元或断面水质达标状况 □：达标 </w:t>
            </w:r>
            <w:r>
              <w:rPr>
                <w:rFonts w:hint="eastAsia"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；不达标 □</w:t>
            </w:r>
          </w:p>
          <w:p w14:paraId="12F3FD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水环境保护目标质量状况 □：达标 □；不达标 □</w:t>
            </w:r>
          </w:p>
          <w:p w14:paraId="149D29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对照断面、控制断面等代表性断面的水质状况 □：达标 □；不达标 □</w:t>
            </w:r>
          </w:p>
          <w:p w14:paraId="2657DD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底泥污染评价 □</w:t>
            </w:r>
          </w:p>
          <w:p w14:paraId="4D18B9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水资源与开发利用程度及其水文情势评价 □</w:t>
            </w:r>
          </w:p>
          <w:p w14:paraId="5D18D3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水环境质量回顾评价 □</w:t>
            </w:r>
          </w:p>
          <w:p w14:paraId="1F7ABE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流域（区域）水资源（包括水能资源）与开发利用总体状况、生态流量管理要求与现状满足程度、建设项目占用水域空间的水流状况与河湖演变状况 □</w:t>
            </w:r>
          </w:p>
        </w:tc>
        <w:tc>
          <w:tcPr>
            <w:tcW w:w="2568" w:type="dxa"/>
            <w:gridSpan w:val="3"/>
            <w:noWrap w:val="0"/>
            <w:vAlign w:val="center"/>
          </w:tcPr>
          <w:p w14:paraId="757FE0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达标区 □</w:t>
            </w:r>
          </w:p>
          <w:p w14:paraId="572758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不达标区 □</w:t>
            </w:r>
          </w:p>
        </w:tc>
      </w:tr>
      <w:tr w14:paraId="590513F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restart"/>
            <w:noWrap w:val="0"/>
            <w:vAlign w:val="center"/>
          </w:tcPr>
          <w:p w14:paraId="373E51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影响预测</w:t>
            </w:r>
          </w:p>
        </w:tc>
        <w:tc>
          <w:tcPr>
            <w:tcW w:w="3079" w:type="dxa"/>
            <w:noWrap w:val="0"/>
            <w:vAlign w:val="center"/>
          </w:tcPr>
          <w:p w14:paraId="43FB03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预测范围</w:t>
            </w:r>
          </w:p>
        </w:tc>
        <w:tc>
          <w:tcPr>
            <w:tcW w:w="9962" w:type="dxa"/>
            <w:gridSpan w:val="13"/>
            <w:noWrap w:val="0"/>
            <w:vAlign w:val="center"/>
          </w:tcPr>
          <w:p w14:paraId="11BEF2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河流：长度（    ）km；湖库、河口及近岸海域：面积（    ）km</w:t>
            </w:r>
            <w:r>
              <w:rPr>
                <w:rFonts w:hint="default" w:ascii="Times New Roman" w:hAnsi="Times New Roman" w:eastAsia="宋体" w:cs="Times New Roman"/>
                <w:color w:val="auto"/>
                <w:kern w:val="0"/>
                <w:sz w:val="21"/>
                <w:szCs w:val="21"/>
                <w:highlight w:val="none"/>
                <w:vertAlign w:val="superscript"/>
              </w:rPr>
              <w:t>2</w:t>
            </w:r>
          </w:p>
        </w:tc>
      </w:tr>
      <w:tr w14:paraId="408ED5A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268E6E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noWrap w:val="0"/>
            <w:vAlign w:val="center"/>
          </w:tcPr>
          <w:p w14:paraId="67FD31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预测因子</w:t>
            </w:r>
          </w:p>
        </w:tc>
        <w:tc>
          <w:tcPr>
            <w:tcW w:w="9962" w:type="dxa"/>
            <w:gridSpan w:val="13"/>
            <w:noWrap w:val="0"/>
            <w:vAlign w:val="center"/>
          </w:tcPr>
          <w:p w14:paraId="0E90F1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     ）</w:t>
            </w:r>
          </w:p>
        </w:tc>
      </w:tr>
      <w:tr w14:paraId="6CA80C6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6676E0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noWrap w:val="0"/>
            <w:vAlign w:val="center"/>
          </w:tcPr>
          <w:p w14:paraId="5AE4A0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预测时期</w:t>
            </w:r>
          </w:p>
        </w:tc>
        <w:tc>
          <w:tcPr>
            <w:tcW w:w="9962" w:type="dxa"/>
            <w:gridSpan w:val="13"/>
            <w:noWrap w:val="0"/>
            <w:vAlign w:val="center"/>
          </w:tcPr>
          <w:p w14:paraId="74A942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丰水期 □；平水期 □；枯水期 □；冰封期 □；</w:t>
            </w:r>
          </w:p>
          <w:p w14:paraId="56375E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春季 □；夏季 □；秋季 □；冬季 □</w:t>
            </w:r>
          </w:p>
          <w:p w14:paraId="286C33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设计水文条件□</w:t>
            </w:r>
          </w:p>
        </w:tc>
      </w:tr>
      <w:tr w14:paraId="72E9EBD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45A4A5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noWrap w:val="0"/>
            <w:vAlign w:val="center"/>
          </w:tcPr>
          <w:p w14:paraId="1410C0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预测情景</w:t>
            </w:r>
          </w:p>
        </w:tc>
        <w:tc>
          <w:tcPr>
            <w:tcW w:w="9962" w:type="dxa"/>
            <w:gridSpan w:val="13"/>
            <w:noWrap w:val="0"/>
            <w:vAlign w:val="center"/>
          </w:tcPr>
          <w:p w14:paraId="5DCA47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建设期 □；生产运行期 □；服务期满后 □</w:t>
            </w:r>
          </w:p>
          <w:p w14:paraId="1CB611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正常工况 □；非正常工况 □</w:t>
            </w:r>
          </w:p>
          <w:p w14:paraId="51E386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污染控制可减缓措施方案 □</w:t>
            </w:r>
          </w:p>
          <w:p w14:paraId="1D919B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区（流）域环境质量改善目标要求情景 □</w:t>
            </w:r>
          </w:p>
        </w:tc>
      </w:tr>
      <w:tr w14:paraId="1C2F480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54CCB2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noWrap w:val="0"/>
            <w:vAlign w:val="center"/>
          </w:tcPr>
          <w:p w14:paraId="79BA41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预测方法</w:t>
            </w:r>
          </w:p>
        </w:tc>
        <w:tc>
          <w:tcPr>
            <w:tcW w:w="9962" w:type="dxa"/>
            <w:gridSpan w:val="13"/>
            <w:noWrap w:val="0"/>
            <w:vAlign w:val="center"/>
          </w:tcPr>
          <w:p w14:paraId="3137F3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数值解 □；解析解 □；其他 □</w:t>
            </w:r>
          </w:p>
          <w:p w14:paraId="71725B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导则推荐模式 □；其他 □</w:t>
            </w:r>
          </w:p>
        </w:tc>
      </w:tr>
      <w:tr w14:paraId="78384D9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restart"/>
            <w:noWrap w:val="0"/>
            <w:vAlign w:val="center"/>
          </w:tcPr>
          <w:p w14:paraId="2DA704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影响评价</w:t>
            </w:r>
          </w:p>
        </w:tc>
        <w:tc>
          <w:tcPr>
            <w:tcW w:w="3079" w:type="dxa"/>
            <w:noWrap w:val="0"/>
            <w:vAlign w:val="center"/>
          </w:tcPr>
          <w:p w14:paraId="04DD61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水污染控制和水环境影响减缓措施有效性评价</w:t>
            </w:r>
          </w:p>
        </w:tc>
        <w:tc>
          <w:tcPr>
            <w:tcW w:w="9962" w:type="dxa"/>
            <w:gridSpan w:val="13"/>
            <w:noWrap w:val="0"/>
            <w:vAlign w:val="center"/>
          </w:tcPr>
          <w:p w14:paraId="0028BC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区（流）域环境质量改善目标 □； 替代消减源 □</w:t>
            </w:r>
          </w:p>
        </w:tc>
      </w:tr>
      <w:tr w14:paraId="246E8FF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5BFA8E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noWrap w:val="0"/>
            <w:vAlign w:val="center"/>
          </w:tcPr>
          <w:p w14:paraId="68D7FA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水环境影响评价</w:t>
            </w:r>
          </w:p>
        </w:tc>
        <w:tc>
          <w:tcPr>
            <w:tcW w:w="9962" w:type="dxa"/>
            <w:gridSpan w:val="13"/>
            <w:noWrap w:val="0"/>
            <w:vAlign w:val="center"/>
          </w:tcPr>
          <w:p w14:paraId="04568E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排放口混合去外满足水环境保护要求 □</w:t>
            </w:r>
          </w:p>
          <w:p w14:paraId="0AE95A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水环境功能区或水功能区、近岸海域环境功能区水质达标 □</w:t>
            </w:r>
          </w:p>
          <w:p w14:paraId="2598E6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满足水环境保护目标水域水环境质量要求 □</w:t>
            </w:r>
          </w:p>
          <w:p w14:paraId="249E1F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水环境控制单元或断面水质达标 □</w:t>
            </w:r>
          </w:p>
          <w:p w14:paraId="759177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满足重点水污染物排放总量控制指标要求，重点行业建设项目，主要污染物排放满足等量或减量替代要求 □</w:t>
            </w:r>
          </w:p>
          <w:p w14:paraId="7EB422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满足区（流）域环境质量改善目标要求 □</w:t>
            </w:r>
          </w:p>
          <w:p w14:paraId="299B11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水文要素影响型建设项目同时应包括水文情势变化评价、主要水文特征值影响评价、生态流量符合性评价</w:t>
            </w:r>
            <w:r>
              <w:rPr>
                <w:rFonts w:hint="eastAsia" w:ascii="Times New Roman" w:hAnsi="Times New Roman" w:eastAsia="宋体" w:cs="Times New Roman"/>
                <w:color w:val="auto"/>
                <w:kern w:val="0"/>
                <w:sz w:val="21"/>
                <w:szCs w:val="21"/>
                <w:highlight w:val="none"/>
                <w:lang w:val="en-US" w:eastAsia="zh-CN"/>
              </w:rPr>
              <w:t xml:space="preserve"> </w:t>
            </w:r>
            <w:r>
              <w:rPr>
                <w:rFonts w:hint="default" w:ascii="Times New Roman" w:hAnsi="Times New Roman" w:eastAsia="宋体" w:cs="Times New Roman"/>
                <w:color w:val="auto"/>
                <w:kern w:val="0"/>
                <w:sz w:val="21"/>
                <w:szCs w:val="21"/>
                <w:highlight w:val="none"/>
              </w:rPr>
              <w:t>□</w:t>
            </w:r>
          </w:p>
          <w:p w14:paraId="5BC76E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对于新设或调整入河（湖库、近岸海域）排放口的建设项目，应包括排放口设置的环境合理性评价 □</w:t>
            </w:r>
          </w:p>
          <w:p w14:paraId="19C68D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满足生态保护红线、水环境质量底线、资源利用上线和环境准入清单管理要求 □</w:t>
            </w:r>
          </w:p>
        </w:tc>
      </w:tr>
      <w:tr w14:paraId="4473500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4A890F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restart"/>
            <w:noWrap w:val="0"/>
            <w:vAlign w:val="center"/>
          </w:tcPr>
          <w:p w14:paraId="06153C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污染源排放量核算</w:t>
            </w:r>
          </w:p>
        </w:tc>
        <w:tc>
          <w:tcPr>
            <w:tcW w:w="3200" w:type="dxa"/>
            <w:gridSpan w:val="5"/>
            <w:noWrap w:val="0"/>
            <w:vAlign w:val="center"/>
          </w:tcPr>
          <w:p w14:paraId="58923F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污染物名称</w:t>
            </w:r>
          </w:p>
        </w:tc>
        <w:tc>
          <w:tcPr>
            <w:tcW w:w="3263" w:type="dxa"/>
            <w:gridSpan w:val="4"/>
            <w:noWrap w:val="0"/>
            <w:vAlign w:val="center"/>
          </w:tcPr>
          <w:p w14:paraId="605702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排放量/（t/a）</w:t>
            </w:r>
          </w:p>
        </w:tc>
        <w:tc>
          <w:tcPr>
            <w:tcW w:w="3499" w:type="dxa"/>
            <w:gridSpan w:val="4"/>
            <w:noWrap w:val="0"/>
            <w:vAlign w:val="center"/>
          </w:tcPr>
          <w:p w14:paraId="15287B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排放浓度/（mg/L）</w:t>
            </w:r>
          </w:p>
        </w:tc>
      </w:tr>
      <w:tr w14:paraId="43067E4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01" w:type="dxa"/>
            <w:vMerge w:val="continue"/>
            <w:noWrap w:val="0"/>
            <w:vAlign w:val="center"/>
          </w:tcPr>
          <w:p w14:paraId="74C593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continue"/>
            <w:noWrap w:val="0"/>
            <w:vAlign w:val="center"/>
          </w:tcPr>
          <w:p w14:paraId="755E80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1130" w:type="dxa"/>
            <w:vMerge w:val="restart"/>
            <w:noWrap w:val="0"/>
            <w:vAlign w:val="center"/>
          </w:tcPr>
          <w:p w14:paraId="7190B842">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kern w:val="0"/>
                <w:szCs w:val="21"/>
                <w:highlight w:val="none"/>
                <w:lang w:eastAsia="zh-CN"/>
              </w:rPr>
            </w:pPr>
            <w:r>
              <w:rPr>
                <w:rFonts w:hint="eastAsia" w:cs="Times New Roman"/>
                <w:color w:val="auto"/>
                <w:kern w:val="0"/>
                <w:szCs w:val="21"/>
                <w:highlight w:val="none"/>
                <w:lang w:eastAsia="zh-CN"/>
              </w:rPr>
              <w:t>医疗废水</w:t>
            </w:r>
          </w:p>
        </w:tc>
        <w:tc>
          <w:tcPr>
            <w:tcW w:w="2070" w:type="dxa"/>
            <w:gridSpan w:val="4"/>
            <w:noWrap w:val="0"/>
            <w:vAlign w:val="center"/>
          </w:tcPr>
          <w:p w14:paraId="18DB8B90">
            <w:pPr>
              <w:keepNext w:val="0"/>
              <w:keepLines w:val="0"/>
              <w:pageBreakBefore w:val="0"/>
              <w:widowControl/>
              <w:kinsoku/>
              <w:wordWrap/>
              <w:overflowPunct/>
              <w:topLinePunct w:val="0"/>
              <w:autoSpaceDE/>
              <w:autoSpaceDN/>
              <w:bidi w:val="0"/>
              <w:adjustRightInd w:val="0"/>
              <w:snapToGrid w:val="0"/>
              <w:jc w:val="center"/>
              <w:textAlignment w:val="auto"/>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COD</w:t>
            </w:r>
          </w:p>
        </w:tc>
        <w:tc>
          <w:tcPr>
            <w:tcW w:w="3263" w:type="dxa"/>
            <w:gridSpan w:val="4"/>
            <w:noWrap w:val="0"/>
            <w:vAlign w:val="top"/>
          </w:tcPr>
          <w:p w14:paraId="4B9AFD01">
            <w:pPr>
              <w:pStyle w:val="2"/>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kern w:val="0"/>
                <w:sz w:val="21"/>
                <w:szCs w:val="21"/>
                <w:highlight w:val="none"/>
              </w:rPr>
            </w:pPr>
            <w:r>
              <w:rPr>
                <w:rFonts w:hint="eastAsia"/>
                <w:color w:val="auto"/>
                <w:sz w:val="21"/>
                <w:szCs w:val="21"/>
                <w:highlight w:val="none"/>
                <w:vertAlign w:val="baseline"/>
                <w:lang w:val="en-US" w:eastAsia="zh-CN"/>
              </w:rPr>
              <w:t>1.29</w:t>
            </w:r>
          </w:p>
        </w:tc>
        <w:tc>
          <w:tcPr>
            <w:tcW w:w="3499" w:type="dxa"/>
            <w:gridSpan w:val="4"/>
            <w:noWrap w:val="0"/>
            <w:vAlign w:val="top"/>
          </w:tcPr>
          <w:p w14:paraId="5E726599">
            <w:pPr>
              <w:pStyle w:val="2"/>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eastAsia"/>
                <w:color w:val="auto"/>
                <w:sz w:val="21"/>
                <w:szCs w:val="21"/>
                <w:highlight w:val="none"/>
                <w:vertAlign w:val="baseline"/>
                <w:lang w:val="en-US" w:eastAsia="zh-CN"/>
              </w:rPr>
              <w:t>200</w:t>
            </w:r>
          </w:p>
        </w:tc>
      </w:tr>
      <w:tr w14:paraId="303028E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501" w:type="dxa"/>
            <w:vMerge w:val="continue"/>
            <w:noWrap w:val="0"/>
            <w:vAlign w:val="center"/>
          </w:tcPr>
          <w:p w14:paraId="6DC2C0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continue"/>
            <w:noWrap w:val="0"/>
            <w:vAlign w:val="center"/>
          </w:tcPr>
          <w:p w14:paraId="4D3BAB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1130" w:type="dxa"/>
            <w:vMerge w:val="continue"/>
            <w:noWrap w:val="0"/>
            <w:vAlign w:val="center"/>
          </w:tcPr>
          <w:p w14:paraId="2FC27197">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0"/>
                <w:sz w:val="21"/>
                <w:szCs w:val="21"/>
                <w:highlight w:val="none"/>
              </w:rPr>
            </w:pPr>
          </w:p>
        </w:tc>
        <w:tc>
          <w:tcPr>
            <w:tcW w:w="2070" w:type="dxa"/>
            <w:gridSpan w:val="4"/>
            <w:noWrap w:val="0"/>
            <w:vAlign w:val="center"/>
          </w:tcPr>
          <w:p w14:paraId="78E0D8B9">
            <w:pPr>
              <w:keepNext w:val="0"/>
              <w:keepLines w:val="0"/>
              <w:pageBreakBefore w:val="0"/>
              <w:widowControl/>
              <w:kinsoku/>
              <w:wordWrap/>
              <w:overflowPunct/>
              <w:topLinePunct w:val="0"/>
              <w:autoSpaceDE/>
              <w:autoSpaceDN/>
              <w:bidi w:val="0"/>
              <w:adjustRightInd w:val="0"/>
              <w:snapToGrid w:val="0"/>
              <w:jc w:val="center"/>
              <w:textAlignment w:val="auto"/>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SS</w:t>
            </w:r>
          </w:p>
        </w:tc>
        <w:tc>
          <w:tcPr>
            <w:tcW w:w="3263" w:type="dxa"/>
            <w:gridSpan w:val="4"/>
            <w:noWrap w:val="0"/>
            <w:vAlign w:val="top"/>
          </w:tcPr>
          <w:p w14:paraId="4BFF786E">
            <w:pPr>
              <w:pStyle w:val="2"/>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kern w:val="0"/>
                <w:sz w:val="21"/>
                <w:szCs w:val="21"/>
                <w:highlight w:val="none"/>
              </w:rPr>
            </w:pPr>
            <w:r>
              <w:rPr>
                <w:rFonts w:hint="eastAsia"/>
                <w:color w:val="auto"/>
                <w:sz w:val="21"/>
                <w:szCs w:val="21"/>
                <w:highlight w:val="none"/>
                <w:vertAlign w:val="baseline"/>
                <w:lang w:val="en-US" w:eastAsia="zh-CN"/>
              </w:rPr>
              <w:t>0.19</w:t>
            </w:r>
          </w:p>
        </w:tc>
        <w:tc>
          <w:tcPr>
            <w:tcW w:w="3499" w:type="dxa"/>
            <w:gridSpan w:val="4"/>
            <w:noWrap w:val="0"/>
            <w:vAlign w:val="top"/>
          </w:tcPr>
          <w:p w14:paraId="38ED9821">
            <w:pPr>
              <w:pStyle w:val="2"/>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kern w:val="0"/>
                <w:sz w:val="21"/>
                <w:szCs w:val="21"/>
                <w:highlight w:val="none"/>
              </w:rPr>
            </w:pPr>
            <w:r>
              <w:rPr>
                <w:rFonts w:hint="eastAsia"/>
                <w:color w:val="auto"/>
                <w:sz w:val="21"/>
                <w:szCs w:val="21"/>
                <w:highlight w:val="none"/>
                <w:vertAlign w:val="baseline"/>
                <w:lang w:val="en-US" w:eastAsia="zh-CN"/>
              </w:rPr>
              <w:t>30</w:t>
            </w:r>
          </w:p>
        </w:tc>
      </w:tr>
      <w:tr w14:paraId="6FE041E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501" w:type="dxa"/>
            <w:vMerge w:val="continue"/>
            <w:noWrap w:val="0"/>
            <w:vAlign w:val="center"/>
          </w:tcPr>
          <w:p w14:paraId="5F304B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continue"/>
            <w:noWrap w:val="0"/>
            <w:vAlign w:val="center"/>
          </w:tcPr>
          <w:p w14:paraId="216331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1130" w:type="dxa"/>
            <w:vMerge w:val="continue"/>
            <w:noWrap w:val="0"/>
            <w:vAlign w:val="center"/>
          </w:tcPr>
          <w:p w14:paraId="0D4DCC53">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0"/>
                <w:sz w:val="21"/>
                <w:szCs w:val="21"/>
                <w:highlight w:val="none"/>
              </w:rPr>
            </w:pPr>
          </w:p>
        </w:tc>
        <w:tc>
          <w:tcPr>
            <w:tcW w:w="2070" w:type="dxa"/>
            <w:gridSpan w:val="4"/>
            <w:noWrap w:val="0"/>
            <w:vAlign w:val="center"/>
          </w:tcPr>
          <w:p w14:paraId="59C9DB9C">
            <w:pPr>
              <w:keepNext w:val="0"/>
              <w:keepLines w:val="0"/>
              <w:pageBreakBefore w:val="0"/>
              <w:widowControl/>
              <w:kinsoku/>
              <w:wordWrap/>
              <w:overflowPunct/>
              <w:topLinePunct w:val="0"/>
              <w:autoSpaceDE/>
              <w:autoSpaceDN/>
              <w:bidi w:val="0"/>
              <w:adjustRightInd w:val="0"/>
              <w:snapToGrid w:val="0"/>
              <w:jc w:val="center"/>
              <w:textAlignment w:val="auto"/>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氨氮</w:t>
            </w:r>
          </w:p>
        </w:tc>
        <w:tc>
          <w:tcPr>
            <w:tcW w:w="3263" w:type="dxa"/>
            <w:gridSpan w:val="4"/>
            <w:noWrap w:val="0"/>
            <w:vAlign w:val="top"/>
          </w:tcPr>
          <w:p w14:paraId="7A731AA7">
            <w:pPr>
              <w:pStyle w:val="2"/>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kern w:val="0"/>
                <w:sz w:val="21"/>
                <w:szCs w:val="21"/>
                <w:highlight w:val="none"/>
              </w:rPr>
            </w:pPr>
            <w:r>
              <w:rPr>
                <w:rFonts w:hint="eastAsia"/>
                <w:color w:val="auto"/>
                <w:sz w:val="21"/>
                <w:szCs w:val="21"/>
                <w:highlight w:val="none"/>
                <w:vertAlign w:val="baseline"/>
                <w:lang w:val="en-US" w:eastAsia="zh-CN"/>
              </w:rPr>
              <w:t>0.17</w:t>
            </w:r>
          </w:p>
        </w:tc>
        <w:tc>
          <w:tcPr>
            <w:tcW w:w="3499" w:type="dxa"/>
            <w:gridSpan w:val="4"/>
            <w:noWrap w:val="0"/>
            <w:vAlign w:val="top"/>
          </w:tcPr>
          <w:p w14:paraId="12D5A0E2">
            <w:pPr>
              <w:pStyle w:val="2"/>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kern w:val="0"/>
                <w:sz w:val="21"/>
                <w:szCs w:val="21"/>
                <w:highlight w:val="none"/>
              </w:rPr>
            </w:pPr>
            <w:r>
              <w:rPr>
                <w:rFonts w:hint="eastAsia"/>
                <w:color w:val="auto"/>
                <w:sz w:val="21"/>
                <w:szCs w:val="21"/>
                <w:highlight w:val="none"/>
                <w:vertAlign w:val="baseline"/>
                <w:lang w:val="en-US" w:eastAsia="zh-CN"/>
              </w:rPr>
              <w:t>27.2</w:t>
            </w:r>
          </w:p>
        </w:tc>
      </w:tr>
      <w:tr w14:paraId="4C849BD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501" w:type="dxa"/>
            <w:vMerge w:val="continue"/>
            <w:noWrap w:val="0"/>
            <w:vAlign w:val="center"/>
          </w:tcPr>
          <w:p w14:paraId="722B78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continue"/>
            <w:noWrap w:val="0"/>
            <w:vAlign w:val="center"/>
          </w:tcPr>
          <w:p w14:paraId="5C69C8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1130" w:type="dxa"/>
            <w:vMerge w:val="continue"/>
            <w:noWrap w:val="0"/>
            <w:vAlign w:val="center"/>
          </w:tcPr>
          <w:p w14:paraId="7CA7B05B">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0"/>
                <w:sz w:val="21"/>
                <w:szCs w:val="21"/>
                <w:highlight w:val="none"/>
              </w:rPr>
            </w:pPr>
          </w:p>
        </w:tc>
        <w:tc>
          <w:tcPr>
            <w:tcW w:w="2070" w:type="dxa"/>
            <w:gridSpan w:val="4"/>
            <w:noWrap w:val="0"/>
            <w:vAlign w:val="center"/>
          </w:tcPr>
          <w:p w14:paraId="2F70C626">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粪大肠菌群数</w:t>
            </w:r>
          </w:p>
        </w:tc>
        <w:tc>
          <w:tcPr>
            <w:tcW w:w="3263" w:type="dxa"/>
            <w:gridSpan w:val="4"/>
            <w:noWrap w:val="0"/>
            <w:vAlign w:val="center"/>
          </w:tcPr>
          <w:p w14:paraId="4DAE4BAE">
            <w:pPr>
              <w:pStyle w:val="2"/>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kern w:val="0"/>
                <w:sz w:val="21"/>
                <w:szCs w:val="21"/>
                <w:highlight w:val="none"/>
              </w:rPr>
            </w:pPr>
            <w:r>
              <w:rPr>
                <w:rFonts w:hint="eastAsia"/>
                <w:color w:val="auto"/>
                <w:sz w:val="21"/>
                <w:szCs w:val="21"/>
                <w:highlight w:val="none"/>
                <w:vertAlign w:val="baseline"/>
                <w:lang w:val="en-US" w:eastAsia="zh-CN"/>
              </w:rPr>
              <w:t>3.23</w:t>
            </w:r>
            <w:r>
              <w:rPr>
                <w:rFonts w:hint="default"/>
                <w:color w:val="auto"/>
                <w:sz w:val="21"/>
                <w:szCs w:val="21"/>
                <w:highlight w:val="none"/>
                <w:vertAlign w:val="baseline"/>
                <w:lang w:val="en-US" w:eastAsia="zh-CN"/>
              </w:rPr>
              <w:t>×10</w:t>
            </w:r>
            <w:r>
              <w:rPr>
                <w:rFonts w:hint="default"/>
                <w:color w:val="auto"/>
                <w:sz w:val="21"/>
                <w:szCs w:val="21"/>
                <w:highlight w:val="none"/>
                <w:vertAlign w:val="superscript"/>
                <w:lang w:val="en-US" w:eastAsia="zh-CN"/>
              </w:rPr>
              <w:t>1</w:t>
            </w:r>
            <w:r>
              <w:rPr>
                <w:rFonts w:hint="eastAsia"/>
                <w:color w:val="auto"/>
                <w:sz w:val="21"/>
                <w:szCs w:val="21"/>
                <w:highlight w:val="none"/>
                <w:vertAlign w:val="superscript"/>
                <w:lang w:val="en-US" w:eastAsia="zh-CN"/>
              </w:rPr>
              <w:t>0</w:t>
            </w:r>
            <w:r>
              <w:rPr>
                <w:rFonts w:hint="eastAsia"/>
                <w:color w:val="auto"/>
                <w:sz w:val="21"/>
                <w:szCs w:val="21"/>
                <w:highlight w:val="none"/>
                <w:vertAlign w:val="baseline"/>
                <w:lang w:val="en-US" w:eastAsia="zh-CN"/>
              </w:rPr>
              <w:t>个</w:t>
            </w:r>
            <w:r>
              <w:rPr>
                <w:rFonts w:hint="default"/>
                <w:color w:val="auto"/>
                <w:sz w:val="21"/>
                <w:szCs w:val="21"/>
                <w:highlight w:val="none"/>
                <w:vertAlign w:val="baseline"/>
                <w:lang w:val="en-US" w:eastAsia="zh-CN"/>
              </w:rPr>
              <w:t>/</w:t>
            </w:r>
            <w:r>
              <w:rPr>
                <w:rFonts w:hint="eastAsia"/>
                <w:color w:val="auto"/>
                <w:sz w:val="21"/>
                <w:szCs w:val="21"/>
                <w:highlight w:val="none"/>
                <w:vertAlign w:val="baseline"/>
                <w:lang w:val="en-US" w:eastAsia="zh-CN"/>
              </w:rPr>
              <w:t>a</w:t>
            </w:r>
          </w:p>
        </w:tc>
        <w:tc>
          <w:tcPr>
            <w:tcW w:w="3499" w:type="dxa"/>
            <w:gridSpan w:val="4"/>
            <w:noWrap w:val="0"/>
            <w:vAlign w:val="top"/>
          </w:tcPr>
          <w:p w14:paraId="35D97090">
            <w:pPr>
              <w:pStyle w:val="2"/>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kern w:val="0"/>
                <w:sz w:val="21"/>
                <w:szCs w:val="21"/>
                <w:highlight w:val="none"/>
              </w:rPr>
            </w:pPr>
            <w:r>
              <w:rPr>
                <w:rFonts w:hint="eastAsia"/>
                <w:color w:val="auto"/>
                <w:sz w:val="21"/>
                <w:szCs w:val="21"/>
                <w:highlight w:val="none"/>
                <w:vertAlign w:val="baseline"/>
                <w:lang w:val="en-US" w:eastAsia="zh-CN"/>
              </w:rPr>
              <w:t>5000</w:t>
            </w:r>
            <w:r>
              <w:rPr>
                <w:rFonts w:hint="default"/>
                <w:color w:val="auto"/>
                <w:sz w:val="21"/>
                <w:szCs w:val="21"/>
                <w:highlight w:val="none"/>
                <w:vertAlign w:val="baseline"/>
                <w:lang w:val="en-US" w:eastAsia="zh-CN"/>
              </w:rPr>
              <w:t>MPN/</w:t>
            </w:r>
            <w:r>
              <w:rPr>
                <w:rFonts w:hint="eastAsia"/>
                <w:color w:val="auto"/>
                <w:sz w:val="21"/>
                <w:szCs w:val="21"/>
                <w:highlight w:val="none"/>
                <w:vertAlign w:val="baseline"/>
                <w:lang w:val="en-US" w:eastAsia="zh-CN"/>
              </w:rPr>
              <w:t>L</w:t>
            </w:r>
          </w:p>
        </w:tc>
      </w:tr>
      <w:tr w14:paraId="3607180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501" w:type="dxa"/>
            <w:vMerge w:val="continue"/>
            <w:noWrap w:val="0"/>
            <w:vAlign w:val="center"/>
          </w:tcPr>
          <w:p w14:paraId="26349B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continue"/>
            <w:noWrap w:val="0"/>
            <w:vAlign w:val="center"/>
          </w:tcPr>
          <w:p w14:paraId="464CFA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1130" w:type="dxa"/>
            <w:vMerge w:val="continue"/>
            <w:noWrap w:val="0"/>
            <w:vAlign w:val="center"/>
          </w:tcPr>
          <w:p w14:paraId="623EE0B2">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0"/>
                <w:sz w:val="21"/>
                <w:szCs w:val="21"/>
                <w:highlight w:val="none"/>
              </w:rPr>
            </w:pPr>
          </w:p>
        </w:tc>
        <w:tc>
          <w:tcPr>
            <w:tcW w:w="2070" w:type="dxa"/>
            <w:gridSpan w:val="4"/>
            <w:noWrap w:val="0"/>
            <w:vAlign w:val="center"/>
          </w:tcPr>
          <w:p w14:paraId="73B64859">
            <w:pPr>
              <w:keepNext w:val="0"/>
              <w:keepLines w:val="0"/>
              <w:pageBreakBefore w:val="0"/>
              <w:widowControl/>
              <w:kinsoku/>
              <w:wordWrap/>
              <w:overflowPunct/>
              <w:topLinePunct w:val="0"/>
              <w:autoSpaceDE/>
              <w:autoSpaceDN/>
              <w:bidi w:val="0"/>
              <w:adjustRightInd w:val="0"/>
              <w:snapToGrid w:val="0"/>
              <w:jc w:val="center"/>
              <w:textAlignment w:val="auto"/>
              <w:rPr>
                <w:rFonts w:hint="eastAsia" w:cs="Times New Roman"/>
                <w:color w:val="auto"/>
                <w:sz w:val="21"/>
                <w:szCs w:val="21"/>
                <w:highlight w:val="none"/>
                <w:lang w:eastAsia="zh-CN"/>
              </w:rPr>
            </w:pPr>
            <w:r>
              <w:rPr>
                <w:rFonts w:hint="eastAsia" w:cs="Times New Roman"/>
                <w:color w:val="auto"/>
                <w:sz w:val="21"/>
                <w:szCs w:val="21"/>
                <w:highlight w:val="none"/>
                <w:lang w:eastAsia="zh-CN"/>
              </w:rPr>
              <w:t>总余氯</w:t>
            </w:r>
          </w:p>
        </w:tc>
        <w:tc>
          <w:tcPr>
            <w:tcW w:w="3263" w:type="dxa"/>
            <w:gridSpan w:val="4"/>
            <w:noWrap w:val="0"/>
            <w:vAlign w:val="center"/>
          </w:tcPr>
          <w:p w14:paraId="4ADFD175">
            <w:pPr>
              <w:pStyle w:val="2"/>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default" w:ascii="Times New Roman" w:hAnsi="Times New Roman" w:eastAsia="宋体" w:cs="Times New Roman"/>
                <w:color w:val="auto"/>
                <w:kern w:val="0"/>
                <w:sz w:val="21"/>
                <w:szCs w:val="21"/>
                <w:highlight w:val="none"/>
              </w:rPr>
            </w:pPr>
            <w:r>
              <w:rPr>
                <w:rFonts w:hint="eastAsia"/>
                <w:color w:val="auto"/>
                <w:sz w:val="21"/>
                <w:szCs w:val="21"/>
                <w:highlight w:val="none"/>
                <w:vertAlign w:val="baseline"/>
                <w:lang w:val="en-US" w:eastAsia="zh-CN"/>
              </w:rPr>
              <w:t>/</w:t>
            </w:r>
          </w:p>
        </w:tc>
        <w:tc>
          <w:tcPr>
            <w:tcW w:w="3499" w:type="dxa"/>
            <w:gridSpan w:val="4"/>
            <w:noWrap w:val="0"/>
            <w:vAlign w:val="top"/>
          </w:tcPr>
          <w:p w14:paraId="72BE26B1">
            <w:pPr>
              <w:pStyle w:val="2"/>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6</w:t>
            </w:r>
          </w:p>
        </w:tc>
      </w:tr>
      <w:tr w14:paraId="09C7710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501" w:type="dxa"/>
            <w:vMerge w:val="continue"/>
            <w:noWrap w:val="0"/>
            <w:vAlign w:val="center"/>
          </w:tcPr>
          <w:p w14:paraId="5A06D3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continue"/>
            <w:noWrap w:val="0"/>
            <w:vAlign w:val="center"/>
          </w:tcPr>
          <w:p w14:paraId="616FA6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1130" w:type="dxa"/>
            <w:vMerge w:val="restart"/>
            <w:noWrap w:val="0"/>
            <w:vAlign w:val="center"/>
          </w:tcPr>
          <w:p w14:paraId="7CC0D7C5">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kern w:val="0"/>
                <w:sz w:val="21"/>
                <w:szCs w:val="21"/>
                <w:highlight w:val="none"/>
                <w:lang w:eastAsia="zh-CN"/>
              </w:rPr>
            </w:pPr>
            <w:r>
              <w:rPr>
                <w:rFonts w:hint="eastAsia" w:cs="Times New Roman"/>
                <w:color w:val="auto"/>
                <w:kern w:val="0"/>
                <w:sz w:val="21"/>
                <w:szCs w:val="21"/>
                <w:highlight w:val="none"/>
                <w:lang w:eastAsia="zh-CN"/>
              </w:rPr>
              <w:t>生活污水</w:t>
            </w:r>
          </w:p>
        </w:tc>
        <w:tc>
          <w:tcPr>
            <w:tcW w:w="2070" w:type="dxa"/>
            <w:gridSpan w:val="4"/>
            <w:noWrap w:val="0"/>
            <w:vAlign w:val="center"/>
          </w:tcPr>
          <w:p w14:paraId="3424BDE1">
            <w:pPr>
              <w:keepNext w:val="0"/>
              <w:keepLines w:val="0"/>
              <w:pageBreakBefore w:val="0"/>
              <w:widowControl/>
              <w:kinsoku/>
              <w:wordWrap/>
              <w:overflowPunct/>
              <w:topLinePunct w:val="0"/>
              <w:autoSpaceDE/>
              <w:autoSpaceDN/>
              <w:bidi w:val="0"/>
              <w:adjustRightInd w:val="0"/>
              <w:snapToGrid w:val="0"/>
              <w:jc w:val="center"/>
              <w:textAlignment w:val="auto"/>
              <w:rPr>
                <w:rFonts w:hint="eastAsia" w:cs="Times New Roman"/>
                <w:color w:val="auto"/>
                <w:sz w:val="21"/>
                <w:szCs w:val="21"/>
                <w:highlight w:val="none"/>
                <w:lang w:eastAsia="zh-CN"/>
              </w:rPr>
            </w:pPr>
            <w:r>
              <w:rPr>
                <w:rFonts w:hint="eastAsia"/>
                <w:color w:val="auto"/>
                <w:sz w:val="21"/>
                <w:szCs w:val="21"/>
                <w:highlight w:val="none"/>
                <w:vertAlign w:val="baseline"/>
                <w:lang w:val="en-US" w:eastAsia="zh-CN"/>
              </w:rPr>
              <w:t>COD</w:t>
            </w:r>
          </w:p>
        </w:tc>
        <w:tc>
          <w:tcPr>
            <w:tcW w:w="3263" w:type="dxa"/>
            <w:gridSpan w:val="4"/>
            <w:noWrap w:val="0"/>
            <w:vAlign w:val="center"/>
          </w:tcPr>
          <w:p w14:paraId="3B2F1B5D">
            <w:pPr>
              <w:pStyle w:val="2"/>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1.14</w:t>
            </w:r>
          </w:p>
        </w:tc>
        <w:tc>
          <w:tcPr>
            <w:tcW w:w="3499" w:type="dxa"/>
            <w:gridSpan w:val="4"/>
            <w:noWrap w:val="0"/>
            <w:vAlign w:val="top"/>
          </w:tcPr>
          <w:p w14:paraId="7245AE96">
            <w:pPr>
              <w:pStyle w:val="2"/>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238</w:t>
            </w:r>
          </w:p>
        </w:tc>
      </w:tr>
      <w:tr w14:paraId="73ECC3D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501" w:type="dxa"/>
            <w:vMerge w:val="continue"/>
            <w:noWrap w:val="0"/>
            <w:vAlign w:val="center"/>
          </w:tcPr>
          <w:p w14:paraId="5CF703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continue"/>
            <w:noWrap w:val="0"/>
            <w:vAlign w:val="center"/>
          </w:tcPr>
          <w:p w14:paraId="3442B3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1130" w:type="dxa"/>
            <w:vMerge w:val="continue"/>
            <w:noWrap w:val="0"/>
            <w:vAlign w:val="center"/>
          </w:tcPr>
          <w:p w14:paraId="332D74F2">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0"/>
                <w:sz w:val="21"/>
                <w:szCs w:val="21"/>
                <w:highlight w:val="none"/>
              </w:rPr>
            </w:pPr>
          </w:p>
        </w:tc>
        <w:tc>
          <w:tcPr>
            <w:tcW w:w="2070" w:type="dxa"/>
            <w:gridSpan w:val="4"/>
            <w:noWrap w:val="0"/>
            <w:vAlign w:val="center"/>
          </w:tcPr>
          <w:p w14:paraId="42315F71">
            <w:pPr>
              <w:keepNext w:val="0"/>
              <w:keepLines w:val="0"/>
              <w:pageBreakBefore w:val="0"/>
              <w:widowControl/>
              <w:kinsoku/>
              <w:wordWrap/>
              <w:overflowPunct/>
              <w:topLinePunct w:val="0"/>
              <w:autoSpaceDE/>
              <w:autoSpaceDN/>
              <w:bidi w:val="0"/>
              <w:adjustRightInd w:val="0"/>
              <w:snapToGrid w:val="0"/>
              <w:jc w:val="center"/>
              <w:textAlignment w:val="auto"/>
              <w:rPr>
                <w:rFonts w:hint="eastAsia" w:cs="Times New Roman"/>
                <w:color w:val="auto"/>
                <w:sz w:val="21"/>
                <w:szCs w:val="21"/>
                <w:highlight w:val="none"/>
                <w:lang w:eastAsia="zh-CN"/>
              </w:rPr>
            </w:pPr>
            <w:r>
              <w:rPr>
                <w:rFonts w:hint="eastAsia"/>
                <w:color w:val="auto"/>
                <w:sz w:val="21"/>
                <w:szCs w:val="21"/>
                <w:highlight w:val="none"/>
                <w:vertAlign w:val="baseline"/>
                <w:lang w:val="en-US" w:eastAsia="zh-CN"/>
              </w:rPr>
              <w:t>SS</w:t>
            </w:r>
          </w:p>
        </w:tc>
        <w:tc>
          <w:tcPr>
            <w:tcW w:w="3263" w:type="dxa"/>
            <w:gridSpan w:val="4"/>
            <w:noWrap w:val="0"/>
            <w:vAlign w:val="center"/>
          </w:tcPr>
          <w:p w14:paraId="409F864F">
            <w:pPr>
              <w:pStyle w:val="2"/>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0.53</w:t>
            </w:r>
          </w:p>
        </w:tc>
        <w:tc>
          <w:tcPr>
            <w:tcW w:w="3499" w:type="dxa"/>
            <w:gridSpan w:val="4"/>
            <w:noWrap w:val="0"/>
            <w:vAlign w:val="top"/>
          </w:tcPr>
          <w:p w14:paraId="46E69760">
            <w:pPr>
              <w:pStyle w:val="2"/>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110</w:t>
            </w:r>
          </w:p>
        </w:tc>
      </w:tr>
      <w:tr w14:paraId="3472419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501" w:type="dxa"/>
            <w:vMerge w:val="continue"/>
            <w:noWrap w:val="0"/>
            <w:vAlign w:val="center"/>
          </w:tcPr>
          <w:p w14:paraId="4C79CE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continue"/>
            <w:noWrap w:val="0"/>
            <w:vAlign w:val="center"/>
          </w:tcPr>
          <w:p w14:paraId="63BD51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1130" w:type="dxa"/>
            <w:vMerge w:val="continue"/>
            <w:noWrap w:val="0"/>
            <w:vAlign w:val="center"/>
          </w:tcPr>
          <w:p w14:paraId="58BB0812">
            <w:pPr>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0"/>
                <w:sz w:val="21"/>
                <w:szCs w:val="21"/>
                <w:highlight w:val="none"/>
              </w:rPr>
            </w:pPr>
          </w:p>
        </w:tc>
        <w:tc>
          <w:tcPr>
            <w:tcW w:w="2070" w:type="dxa"/>
            <w:gridSpan w:val="4"/>
            <w:noWrap w:val="0"/>
            <w:vAlign w:val="center"/>
          </w:tcPr>
          <w:p w14:paraId="363AF5B6">
            <w:pPr>
              <w:keepNext w:val="0"/>
              <w:keepLines w:val="0"/>
              <w:pageBreakBefore w:val="0"/>
              <w:widowControl/>
              <w:kinsoku/>
              <w:wordWrap/>
              <w:overflowPunct/>
              <w:topLinePunct w:val="0"/>
              <w:autoSpaceDE/>
              <w:autoSpaceDN/>
              <w:bidi w:val="0"/>
              <w:adjustRightInd w:val="0"/>
              <w:snapToGrid w:val="0"/>
              <w:jc w:val="center"/>
              <w:textAlignment w:val="auto"/>
              <w:rPr>
                <w:rFonts w:hint="eastAsia" w:cs="Times New Roman"/>
                <w:color w:val="auto"/>
                <w:sz w:val="21"/>
                <w:szCs w:val="21"/>
                <w:highlight w:val="none"/>
                <w:lang w:eastAsia="zh-CN"/>
              </w:rPr>
            </w:pPr>
            <w:r>
              <w:rPr>
                <w:rFonts w:hint="eastAsia"/>
                <w:color w:val="auto"/>
                <w:sz w:val="21"/>
                <w:szCs w:val="21"/>
                <w:highlight w:val="none"/>
                <w:vertAlign w:val="baseline"/>
                <w:lang w:val="en-US" w:eastAsia="zh-CN"/>
              </w:rPr>
              <w:t>氨氮</w:t>
            </w:r>
          </w:p>
        </w:tc>
        <w:tc>
          <w:tcPr>
            <w:tcW w:w="3263" w:type="dxa"/>
            <w:gridSpan w:val="4"/>
            <w:noWrap w:val="0"/>
            <w:vAlign w:val="center"/>
          </w:tcPr>
          <w:p w14:paraId="04C98159">
            <w:pPr>
              <w:pStyle w:val="2"/>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0.136</w:t>
            </w:r>
          </w:p>
        </w:tc>
        <w:tc>
          <w:tcPr>
            <w:tcW w:w="3499" w:type="dxa"/>
            <w:gridSpan w:val="4"/>
            <w:noWrap w:val="0"/>
            <w:vAlign w:val="top"/>
          </w:tcPr>
          <w:p w14:paraId="5CAE602C">
            <w:pPr>
              <w:pStyle w:val="2"/>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center"/>
              <w:textAlignment w:val="auto"/>
              <w:outlineLvl w:val="9"/>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29.1</w:t>
            </w:r>
          </w:p>
        </w:tc>
      </w:tr>
      <w:tr w14:paraId="15812A0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3FEBEE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restart"/>
            <w:noWrap w:val="0"/>
            <w:vAlign w:val="center"/>
          </w:tcPr>
          <w:p w14:paraId="6A8E85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替代源排放量情况</w:t>
            </w:r>
          </w:p>
        </w:tc>
        <w:tc>
          <w:tcPr>
            <w:tcW w:w="1963" w:type="dxa"/>
            <w:gridSpan w:val="4"/>
            <w:noWrap w:val="0"/>
            <w:vAlign w:val="center"/>
          </w:tcPr>
          <w:p w14:paraId="08D042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污染源名称</w:t>
            </w:r>
          </w:p>
        </w:tc>
        <w:tc>
          <w:tcPr>
            <w:tcW w:w="1912" w:type="dxa"/>
            <w:gridSpan w:val="2"/>
            <w:noWrap w:val="0"/>
            <w:vAlign w:val="center"/>
          </w:tcPr>
          <w:p w14:paraId="2685B8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排污许可证编号</w:t>
            </w:r>
          </w:p>
        </w:tc>
        <w:tc>
          <w:tcPr>
            <w:tcW w:w="2100" w:type="dxa"/>
            <w:gridSpan w:val="2"/>
            <w:noWrap w:val="0"/>
            <w:vAlign w:val="center"/>
          </w:tcPr>
          <w:p w14:paraId="5082CC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污染物名称</w:t>
            </w:r>
          </w:p>
        </w:tc>
        <w:tc>
          <w:tcPr>
            <w:tcW w:w="2038" w:type="dxa"/>
            <w:gridSpan w:val="4"/>
            <w:noWrap w:val="0"/>
            <w:vAlign w:val="center"/>
          </w:tcPr>
          <w:p w14:paraId="24074B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排放量/（t/a）</w:t>
            </w:r>
          </w:p>
        </w:tc>
        <w:tc>
          <w:tcPr>
            <w:tcW w:w="1949" w:type="dxa"/>
            <w:noWrap w:val="0"/>
            <w:vAlign w:val="center"/>
          </w:tcPr>
          <w:p w14:paraId="4FE34A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排放浓度/（mg/L）</w:t>
            </w:r>
          </w:p>
        </w:tc>
      </w:tr>
      <w:tr w14:paraId="043DAE2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4F606D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continue"/>
            <w:noWrap w:val="0"/>
            <w:vAlign w:val="center"/>
          </w:tcPr>
          <w:p w14:paraId="6E640A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1963" w:type="dxa"/>
            <w:gridSpan w:val="4"/>
            <w:noWrap w:val="0"/>
            <w:vAlign w:val="center"/>
          </w:tcPr>
          <w:p w14:paraId="6E88CA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    ）</w:t>
            </w:r>
          </w:p>
        </w:tc>
        <w:tc>
          <w:tcPr>
            <w:tcW w:w="1912" w:type="dxa"/>
            <w:gridSpan w:val="2"/>
            <w:noWrap w:val="0"/>
            <w:vAlign w:val="center"/>
          </w:tcPr>
          <w:p w14:paraId="1AB48F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    ）</w:t>
            </w:r>
          </w:p>
        </w:tc>
        <w:tc>
          <w:tcPr>
            <w:tcW w:w="2100" w:type="dxa"/>
            <w:gridSpan w:val="2"/>
            <w:noWrap w:val="0"/>
            <w:vAlign w:val="center"/>
          </w:tcPr>
          <w:p w14:paraId="768C7E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    ）</w:t>
            </w:r>
          </w:p>
        </w:tc>
        <w:tc>
          <w:tcPr>
            <w:tcW w:w="2038" w:type="dxa"/>
            <w:gridSpan w:val="4"/>
            <w:noWrap w:val="0"/>
            <w:vAlign w:val="center"/>
          </w:tcPr>
          <w:p w14:paraId="03546E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    ）</w:t>
            </w:r>
          </w:p>
        </w:tc>
        <w:tc>
          <w:tcPr>
            <w:tcW w:w="1949" w:type="dxa"/>
            <w:noWrap w:val="0"/>
            <w:vAlign w:val="center"/>
          </w:tcPr>
          <w:p w14:paraId="478D02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    ）</w:t>
            </w:r>
          </w:p>
        </w:tc>
      </w:tr>
      <w:tr w14:paraId="67329EF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74427B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noWrap w:val="0"/>
            <w:vAlign w:val="center"/>
          </w:tcPr>
          <w:p w14:paraId="3D42D7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生态流量确定</w:t>
            </w:r>
          </w:p>
        </w:tc>
        <w:tc>
          <w:tcPr>
            <w:tcW w:w="9962" w:type="dxa"/>
            <w:gridSpan w:val="13"/>
            <w:noWrap w:val="0"/>
            <w:vAlign w:val="center"/>
          </w:tcPr>
          <w:p w14:paraId="4AF546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生态流量：一般水期（  ）m</w:t>
            </w:r>
            <w:r>
              <w:rPr>
                <w:rFonts w:hint="default" w:ascii="Times New Roman" w:hAnsi="Times New Roman" w:eastAsia="宋体" w:cs="Times New Roman"/>
                <w:color w:val="auto"/>
                <w:kern w:val="0"/>
                <w:sz w:val="21"/>
                <w:szCs w:val="21"/>
                <w:highlight w:val="none"/>
                <w:vertAlign w:val="superscript"/>
              </w:rPr>
              <w:t>3</w:t>
            </w:r>
            <w:r>
              <w:rPr>
                <w:rFonts w:hint="default" w:ascii="Times New Roman" w:hAnsi="Times New Roman" w:eastAsia="宋体" w:cs="Times New Roman"/>
                <w:color w:val="auto"/>
                <w:kern w:val="0"/>
                <w:sz w:val="21"/>
                <w:szCs w:val="21"/>
                <w:highlight w:val="none"/>
              </w:rPr>
              <w:t>/s；鱼类繁殖期（  ）m</w:t>
            </w:r>
            <w:r>
              <w:rPr>
                <w:rFonts w:hint="default" w:ascii="Times New Roman" w:hAnsi="Times New Roman" w:eastAsia="宋体" w:cs="Times New Roman"/>
                <w:color w:val="auto"/>
                <w:kern w:val="0"/>
                <w:sz w:val="21"/>
                <w:szCs w:val="21"/>
                <w:highlight w:val="none"/>
                <w:vertAlign w:val="superscript"/>
              </w:rPr>
              <w:t>3</w:t>
            </w:r>
            <w:r>
              <w:rPr>
                <w:rFonts w:hint="default" w:ascii="Times New Roman" w:hAnsi="Times New Roman" w:eastAsia="宋体" w:cs="Times New Roman"/>
                <w:color w:val="auto"/>
                <w:kern w:val="0"/>
                <w:sz w:val="21"/>
                <w:szCs w:val="21"/>
                <w:highlight w:val="none"/>
              </w:rPr>
              <w:t>/s；其他（  ）m</w:t>
            </w:r>
            <w:r>
              <w:rPr>
                <w:rFonts w:hint="default" w:ascii="Times New Roman" w:hAnsi="Times New Roman" w:eastAsia="宋体" w:cs="Times New Roman"/>
                <w:color w:val="auto"/>
                <w:kern w:val="0"/>
                <w:sz w:val="21"/>
                <w:szCs w:val="21"/>
                <w:highlight w:val="none"/>
                <w:vertAlign w:val="superscript"/>
              </w:rPr>
              <w:t>3</w:t>
            </w:r>
            <w:r>
              <w:rPr>
                <w:rFonts w:hint="default" w:ascii="Times New Roman" w:hAnsi="Times New Roman" w:eastAsia="宋体" w:cs="Times New Roman"/>
                <w:color w:val="auto"/>
                <w:kern w:val="0"/>
                <w:sz w:val="21"/>
                <w:szCs w:val="21"/>
                <w:highlight w:val="none"/>
              </w:rPr>
              <w:t>/s</w:t>
            </w:r>
          </w:p>
          <w:p w14:paraId="371470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生态水位：一般水期（  ）m</w:t>
            </w:r>
            <w:r>
              <w:rPr>
                <w:rFonts w:hint="default" w:ascii="Times New Roman" w:hAnsi="Times New Roman" w:eastAsia="宋体" w:cs="Times New Roman"/>
                <w:color w:val="auto"/>
                <w:kern w:val="0"/>
                <w:sz w:val="21"/>
                <w:szCs w:val="21"/>
                <w:highlight w:val="none"/>
                <w:vertAlign w:val="superscript"/>
              </w:rPr>
              <w:t>3</w:t>
            </w:r>
            <w:r>
              <w:rPr>
                <w:rFonts w:hint="default" w:ascii="Times New Roman" w:hAnsi="Times New Roman" w:eastAsia="宋体" w:cs="Times New Roman"/>
                <w:color w:val="auto"/>
                <w:kern w:val="0"/>
                <w:sz w:val="21"/>
                <w:szCs w:val="21"/>
                <w:highlight w:val="none"/>
              </w:rPr>
              <w:t>/s；鱼类繁殖期（  ）m</w:t>
            </w:r>
            <w:r>
              <w:rPr>
                <w:rFonts w:hint="default" w:ascii="Times New Roman" w:hAnsi="Times New Roman" w:eastAsia="宋体" w:cs="Times New Roman"/>
                <w:color w:val="auto"/>
                <w:kern w:val="0"/>
                <w:sz w:val="21"/>
                <w:szCs w:val="21"/>
                <w:highlight w:val="none"/>
                <w:vertAlign w:val="superscript"/>
              </w:rPr>
              <w:t>3</w:t>
            </w:r>
            <w:r>
              <w:rPr>
                <w:rFonts w:hint="default" w:ascii="Times New Roman" w:hAnsi="Times New Roman" w:eastAsia="宋体" w:cs="Times New Roman"/>
                <w:color w:val="auto"/>
                <w:kern w:val="0"/>
                <w:sz w:val="21"/>
                <w:szCs w:val="21"/>
                <w:highlight w:val="none"/>
              </w:rPr>
              <w:t>/s；其他（  ）m</w:t>
            </w:r>
            <w:r>
              <w:rPr>
                <w:rFonts w:hint="default" w:ascii="Times New Roman" w:hAnsi="Times New Roman" w:eastAsia="宋体" w:cs="Times New Roman"/>
                <w:color w:val="auto"/>
                <w:kern w:val="0"/>
                <w:sz w:val="21"/>
                <w:szCs w:val="21"/>
                <w:highlight w:val="none"/>
                <w:vertAlign w:val="superscript"/>
              </w:rPr>
              <w:t>3</w:t>
            </w:r>
            <w:r>
              <w:rPr>
                <w:rFonts w:hint="default" w:ascii="Times New Roman" w:hAnsi="Times New Roman" w:eastAsia="宋体" w:cs="Times New Roman"/>
                <w:color w:val="auto"/>
                <w:kern w:val="0"/>
                <w:sz w:val="21"/>
                <w:szCs w:val="21"/>
                <w:highlight w:val="none"/>
              </w:rPr>
              <w:t>/s</w:t>
            </w:r>
          </w:p>
        </w:tc>
      </w:tr>
      <w:tr w14:paraId="50AEAFB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restart"/>
            <w:noWrap w:val="0"/>
            <w:vAlign w:val="center"/>
          </w:tcPr>
          <w:p w14:paraId="3B6D52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防治措施</w:t>
            </w:r>
          </w:p>
        </w:tc>
        <w:tc>
          <w:tcPr>
            <w:tcW w:w="3079" w:type="dxa"/>
            <w:noWrap w:val="0"/>
            <w:vAlign w:val="center"/>
          </w:tcPr>
          <w:p w14:paraId="3AF309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环保措施</w:t>
            </w:r>
          </w:p>
        </w:tc>
        <w:tc>
          <w:tcPr>
            <w:tcW w:w="9962" w:type="dxa"/>
            <w:gridSpan w:val="13"/>
            <w:noWrap w:val="0"/>
            <w:vAlign w:val="center"/>
          </w:tcPr>
          <w:p w14:paraId="747D57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 w:val="21"/>
                <w:szCs w:val="21"/>
                <w:highlight w:val="none"/>
              </w:rPr>
              <w:t xml:space="preserve">污水处理设施 </w:t>
            </w:r>
            <w:r>
              <w:rPr>
                <w:rFonts w:hint="eastAsia"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 xml:space="preserve">；水文减缓设施 □；生态流量保障设施 □；区域消减依托其他工程措施 □；其他 </w:t>
            </w:r>
            <w:r>
              <w:rPr>
                <w:rFonts w:hint="eastAsia" w:ascii="Times New Roman" w:hAnsi="Times New Roman" w:eastAsia="宋体" w:cs="Times New Roman"/>
                <w:color w:val="auto"/>
                <w:sz w:val="21"/>
                <w:szCs w:val="21"/>
                <w:highlight w:val="none"/>
                <w:lang w:eastAsia="zh-CN"/>
              </w:rPr>
              <w:t>☑</w:t>
            </w:r>
          </w:p>
        </w:tc>
      </w:tr>
      <w:tr w14:paraId="7E89F2A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30B695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restart"/>
            <w:noWrap w:val="0"/>
            <w:vAlign w:val="center"/>
          </w:tcPr>
          <w:p w14:paraId="7D667A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监测计划</w:t>
            </w:r>
          </w:p>
        </w:tc>
        <w:tc>
          <w:tcPr>
            <w:tcW w:w="3200" w:type="dxa"/>
            <w:gridSpan w:val="5"/>
            <w:noWrap w:val="0"/>
            <w:vAlign w:val="center"/>
          </w:tcPr>
          <w:p w14:paraId="2E98E5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263" w:type="dxa"/>
            <w:gridSpan w:val="4"/>
            <w:noWrap w:val="0"/>
            <w:vAlign w:val="center"/>
          </w:tcPr>
          <w:p w14:paraId="635E0D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环境质量</w:t>
            </w:r>
          </w:p>
        </w:tc>
        <w:tc>
          <w:tcPr>
            <w:tcW w:w="3499" w:type="dxa"/>
            <w:gridSpan w:val="4"/>
            <w:noWrap w:val="0"/>
            <w:vAlign w:val="center"/>
          </w:tcPr>
          <w:p w14:paraId="0F48A1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污染源</w:t>
            </w:r>
          </w:p>
        </w:tc>
      </w:tr>
      <w:tr w14:paraId="19EE8F9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2BDAFB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continue"/>
            <w:noWrap w:val="0"/>
            <w:vAlign w:val="center"/>
          </w:tcPr>
          <w:p w14:paraId="089D5C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200" w:type="dxa"/>
            <w:gridSpan w:val="5"/>
            <w:noWrap w:val="0"/>
            <w:vAlign w:val="center"/>
          </w:tcPr>
          <w:p w14:paraId="188538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监测方法</w:t>
            </w:r>
          </w:p>
        </w:tc>
        <w:tc>
          <w:tcPr>
            <w:tcW w:w="3263" w:type="dxa"/>
            <w:gridSpan w:val="4"/>
            <w:noWrap w:val="0"/>
            <w:vAlign w:val="center"/>
          </w:tcPr>
          <w:p w14:paraId="759AC1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 w:val="21"/>
                <w:szCs w:val="21"/>
                <w:highlight w:val="none"/>
              </w:rPr>
              <w:t xml:space="preserve">手动 □；自动 □；无检测 </w:t>
            </w:r>
            <w:r>
              <w:rPr>
                <w:rFonts w:hint="eastAsia" w:ascii="Times New Roman" w:hAnsi="Times New Roman" w:eastAsia="宋体" w:cs="Times New Roman"/>
                <w:color w:val="auto"/>
                <w:sz w:val="21"/>
                <w:szCs w:val="21"/>
                <w:highlight w:val="none"/>
                <w:lang w:eastAsia="zh-CN"/>
              </w:rPr>
              <w:t>☑</w:t>
            </w:r>
          </w:p>
        </w:tc>
        <w:tc>
          <w:tcPr>
            <w:tcW w:w="3499" w:type="dxa"/>
            <w:gridSpan w:val="4"/>
            <w:noWrap w:val="0"/>
            <w:vAlign w:val="center"/>
          </w:tcPr>
          <w:p w14:paraId="0E6940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kern w:val="0"/>
                <w:szCs w:val="21"/>
                <w:highlight w:val="none"/>
                <w:lang w:eastAsia="zh-CN"/>
              </w:rPr>
            </w:pPr>
            <w:r>
              <w:rPr>
                <w:rFonts w:hint="default" w:ascii="Times New Roman" w:hAnsi="Times New Roman" w:eastAsia="宋体" w:cs="Times New Roman"/>
                <w:color w:val="auto"/>
                <w:kern w:val="0"/>
                <w:sz w:val="21"/>
                <w:szCs w:val="21"/>
                <w:highlight w:val="none"/>
              </w:rPr>
              <w:t xml:space="preserve">手动 </w:t>
            </w:r>
            <w:r>
              <w:rPr>
                <w:rFonts w:hint="eastAsia"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；自动 □；无检测□</w:t>
            </w:r>
          </w:p>
        </w:tc>
      </w:tr>
      <w:tr w14:paraId="06F4282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21032C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continue"/>
            <w:noWrap w:val="0"/>
            <w:vAlign w:val="center"/>
          </w:tcPr>
          <w:p w14:paraId="3DE777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200" w:type="dxa"/>
            <w:gridSpan w:val="5"/>
            <w:noWrap w:val="0"/>
            <w:vAlign w:val="center"/>
          </w:tcPr>
          <w:p w14:paraId="006392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监测点位</w:t>
            </w:r>
          </w:p>
        </w:tc>
        <w:tc>
          <w:tcPr>
            <w:tcW w:w="3263" w:type="dxa"/>
            <w:gridSpan w:val="4"/>
            <w:noWrap w:val="0"/>
            <w:vAlign w:val="center"/>
          </w:tcPr>
          <w:p w14:paraId="022AC4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      ）</w:t>
            </w:r>
          </w:p>
        </w:tc>
        <w:tc>
          <w:tcPr>
            <w:tcW w:w="3499" w:type="dxa"/>
            <w:gridSpan w:val="4"/>
            <w:noWrap w:val="0"/>
            <w:vAlign w:val="center"/>
          </w:tcPr>
          <w:p w14:paraId="5FFC1A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w:t>
            </w:r>
            <w:r>
              <w:rPr>
                <w:rFonts w:hint="eastAsia" w:ascii="Times New Roman" w:hAnsi="Times New Roman"/>
                <w:color w:val="auto"/>
                <w:kern w:val="2"/>
                <w:sz w:val="21"/>
                <w:szCs w:val="21"/>
                <w:highlight w:val="none"/>
                <w:vertAlign w:val="baseline"/>
                <w:lang w:val="en-US" w:eastAsia="zh-CN" w:bidi="ar-SA"/>
              </w:rPr>
              <w:t>污水处理设施排口</w:t>
            </w:r>
            <w:r>
              <w:rPr>
                <w:rFonts w:hint="default" w:ascii="Times New Roman" w:hAnsi="Times New Roman" w:eastAsia="宋体" w:cs="Times New Roman"/>
                <w:color w:val="auto"/>
                <w:kern w:val="0"/>
                <w:sz w:val="21"/>
                <w:szCs w:val="21"/>
                <w:highlight w:val="none"/>
              </w:rPr>
              <w:t>）</w:t>
            </w:r>
          </w:p>
        </w:tc>
      </w:tr>
      <w:tr w14:paraId="2ED43E0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3929A3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vMerge w:val="continue"/>
            <w:noWrap w:val="0"/>
            <w:vAlign w:val="center"/>
          </w:tcPr>
          <w:p w14:paraId="06CF77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200" w:type="dxa"/>
            <w:gridSpan w:val="5"/>
            <w:noWrap w:val="0"/>
            <w:vAlign w:val="center"/>
          </w:tcPr>
          <w:p w14:paraId="015614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监测因子</w:t>
            </w:r>
          </w:p>
        </w:tc>
        <w:tc>
          <w:tcPr>
            <w:tcW w:w="3263" w:type="dxa"/>
            <w:gridSpan w:val="4"/>
            <w:noWrap w:val="0"/>
            <w:vAlign w:val="center"/>
          </w:tcPr>
          <w:p w14:paraId="76DE45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      ）</w:t>
            </w:r>
          </w:p>
        </w:tc>
        <w:tc>
          <w:tcPr>
            <w:tcW w:w="3499" w:type="dxa"/>
            <w:gridSpan w:val="4"/>
            <w:noWrap w:val="0"/>
            <w:vAlign w:val="center"/>
          </w:tcPr>
          <w:p w14:paraId="550D2B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w:t>
            </w:r>
            <w:r>
              <w:rPr>
                <w:rFonts w:hint="eastAsia"/>
                <w:color w:val="auto"/>
                <w:sz w:val="21"/>
                <w:szCs w:val="21"/>
                <w:highlight w:val="none"/>
                <w:vertAlign w:val="baseline"/>
                <w:lang w:val="en-US" w:eastAsia="zh-CN"/>
              </w:rPr>
              <w:t>COD、SS、</w:t>
            </w:r>
            <w:r>
              <w:rPr>
                <w:rFonts w:hint="eastAsia"/>
                <w:color w:val="auto"/>
                <w:spacing w:val="-11"/>
                <w:sz w:val="21"/>
                <w:szCs w:val="21"/>
                <w:highlight w:val="none"/>
                <w:lang w:val="en-US" w:eastAsia="zh-CN"/>
              </w:rPr>
              <w:t>氨氮、</w:t>
            </w:r>
            <w:r>
              <w:rPr>
                <w:rFonts w:hint="default" w:ascii="Times New Roman" w:hAnsi="Times New Roman" w:cs="Times New Roman"/>
                <w:color w:val="auto"/>
                <w:sz w:val="21"/>
                <w:szCs w:val="21"/>
                <w:highlight w:val="none"/>
              </w:rPr>
              <w:t>粪大肠菌群数</w:t>
            </w:r>
            <w:r>
              <w:rPr>
                <w:rFonts w:hint="eastAsia" w:cs="Times New Roman"/>
                <w:color w:val="auto"/>
                <w:sz w:val="21"/>
                <w:szCs w:val="21"/>
                <w:highlight w:val="none"/>
                <w:lang w:eastAsia="zh-CN"/>
              </w:rPr>
              <w:t>、总余氯</w:t>
            </w:r>
            <w:r>
              <w:rPr>
                <w:rFonts w:hint="default" w:ascii="Times New Roman" w:hAnsi="Times New Roman" w:eastAsia="宋体" w:cs="Times New Roman"/>
                <w:color w:val="auto"/>
                <w:kern w:val="0"/>
                <w:sz w:val="21"/>
                <w:szCs w:val="21"/>
                <w:highlight w:val="none"/>
              </w:rPr>
              <w:t>）</w:t>
            </w:r>
          </w:p>
        </w:tc>
      </w:tr>
      <w:tr w14:paraId="2330891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1" w:type="dxa"/>
            <w:vMerge w:val="continue"/>
            <w:noWrap w:val="0"/>
            <w:vAlign w:val="center"/>
          </w:tcPr>
          <w:p w14:paraId="5BC611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p>
        </w:tc>
        <w:tc>
          <w:tcPr>
            <w:tcW w:w="3079" w:type="dxa"/>
            <w:noWrap w:val="0"/>
            <w:vAlign w:val="center"/>
          </w:tcPr>
          <w:p w14:paraId="4B64C8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污染物排放清单</w:t>
            </w:r>
          </w:p>
        </w:tc>
        <w:tc>
          <w:tcPr>
            <w:tcW w:w="9962" w:type="dxa"/>
            <w:gridSpan w:val="13"/>
            <w:noWrap w:val="0"/>
            <w:vAlign w:val="center"/>
          </w:tcPr>
          <w:p w14:paraId="187345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宋体" w:cs="Times New Roman"/>
                <w:color w:val="auto"/>
                <w:kern w:val="0"/>
                <w:szCs w:val="21"/>
                <w:highlight w:val="none"/>
                <w:lang w:eastAsia="zh-CN"/>
              </w:rPr>
            </w:pPr>
            <w:r>
              <w:rPr>
                <w:rFonts w:hint="eastAsia" w:ascii="Times New Roman" w:hAnsi="Times New Roman" w:eastAsia="宋体" w:cs="Times New Roman"/>
                <w:color w:val="auto"/>
                <w:kern w:val="0"/>
                <w:sz w:val="21"/>
                <w:szCs w:val="21"/>
                <w:highlight w:val="none"/>
                <w:lang w:eastAsia="zh-CN"/>
              </w:rPr>
              <w:t>☑</w:t>
            </w:r>
          </w:p>
        </w:tc>
      </w:tr>
      <w:tr w14:paraId="6B3BA58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04" w:type="dxa"/>
            <w:gridSpan w:val="4"/>
            <w:noWrap w:val="0"/>
            <w:vAlign w:val="center"/>
          </w:tcPr>
          <w:p w14:paraId="163B9E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评价结论</w:t>
            </w:r>
          </w:p>
        </w:tc>
        <w:tc>
          <w:tcPr>
            <w:tcW w:w="8738" w:type="dxa"/>
            <w:gridSpan w:val="11"/>
            <w:noWrap w:val="0"/>
            <w:vAlign w:val="center"/>
          </w:tcPr>
          <w:p w14:paraId="328FEF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 xml:space="preserve">可以接受 </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kern w:val="0"/>
                <w:sz w:val="21"/>
                <w:szCs w:val="21"/>
                <w:highlight w:val="none"/>
              </w:rPr>
              <w:t>；不可以接受 □；</w:t>
            </w:r>
          </w:p>
        </w:tc>
      </w:tr>
      <w:tr w14:paraId="44B2F8B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42" w:type="dxa"/>
            <w:gridSpan w:val="15"/>
            <w:noWrap w:val="0"/>
            <w:vAlign w:val="center"/>
          </w:tcPr>
          <w:p w14:paraId="763720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auto"/>
                <w:kern w:val="0"/>
                <w:szCs w:val="21"/>
                <w:highlight w:val="none"/>
              </w:rPr>
            </w:pPr>
            <w:r>
              <w:rPr>
                <w:rFonts w:hint="default" w:ascii="Times New Roman" w:hAnsi="Times New Roman" w:eastAsia="宋体" w:cs="Times New Roman"/>
                <w:color w:val="auto"/>
                <w:kern w:val="0"/>
                <w:sz w:val="21"/>
                <w:szCs w:val="21"/>
                <w:highlight w:val="none"/>
              </w:rPr>
              <w:t>注：“□”为勾选项，可√；“（  ）”为内容填写项：“备注”为其他补充内容。</w:t>
            </w:r>
          </w:p>
        </w:tc>
      </w:tr>
    </w:tbl>
    <w:p w14:paraId="1BC7572E">
      <w:pPr>
        <w:pStyle w:val="31"/>
        <w:jc w:val="both"/>
        <w:rPr>
          <w:rFonts w:hint="eastAsia" w:ascii="Times New Roman" w:hAnsi="Times New Roman" w:eastAsia="宋体" w:cs="Times New Roman"/>
          <w:b/>
          <w:bCs/>
          <w:color w:val="auto"/>
          <w:sz w:val="24"/>
          <w:szCs w:val="24"/>
          <w:highlight w:val="none"/>
          <w:lang w:val="en-US" w:eastAsia="zh-CN"/>
        </w:rPr>
      </w:pPr>
    </w:p>
    <w:p w14:paraId="0BC42CAF">
      <w:pPr>
        <w:pStyle w:val="31"/>
        <w:jc w:val="both"/>
        <w:rPr>
          <w:rFonts w:hint="eastAsia" w:ascii="Times New Roman" w:hAnsi="Times New Roman" w:eastAsia="宋体" w:cs="Times New Roman"/>
          <w:b/>
          <w:bCs/>
          <w:color w:val="auto"/>
          <w:sz w:val="24"/>
          <w:szCs w:val="24"/>
          <w:highlight w:val="none"/>
          <w:lang w:val="en-US" w:eastAsia="zh-CN"/>
        </w:rPr>
      </w:pPr>
    </w:p>
    <w:p w14:paraId="37FEAABD">
      <w:pPr>
        <w:pStyle w:val="31"/>
        <w:jc w:val="both"/>
        <w:rPr>
          <w:rFonts w:hint="eastAsia" w:ascii="Times New Roman" w:hAnsi="Times New Roman" w:eastAsia="宋体" w:cs="Times New Roman"/>
          <w:b/>
          <w:bCs/>
          <w:color w:val="auto"/>
          <w:sz w:val="24"/>
          <w:szCs w:val="24"/>
          <w:highlight w:val="none"/>
          <w:lang w:val="en-US" w:eastAsia="zh-CN"/>
        </w:rPr>
      </w:pPr>
    </w:p>
    <w:p w14:paraId="70842D92">
      <w:pPr>
        <w:pStyle w:val="31"/>
        <w:jc w:val="both"/>
        <w:rPr>
          <w:rFonts w:hint="eastAsia" w:ascii="Times New Roman" w:hAnsi="Times New Roman" w:eastAsia="宋体" w:cs="Times New Roman"/>
          <w:b/>
          <w:bCs/>
          <w:color w:val="auto"/>
          <w:sz w:val="24"/>
          <w:szCs w:val="24"/>
          <w:highlight w:val="none"/>
          <w:lang w:val="en-US" w:eastAsia="zh-CN"/>
        </w:rPr>
      </w:pPr>
    </w:p>
    <w:p w14:paraId="537C1D2E">
      <w:pPr>
        <w:pStyle w:val="31"/>
        <w:jc w:val="both"/>
        <w:rPr>
          <w:rFonts w:hint="eastAsia" w:ascii="Times New Roman" w:hAnsi="Times New Roman" w:eastAsia="宋体" w:cs="Times New Roman"/>
          <w:b/>
          <w:bCs/>
          <w:color w:val="auto"/>
          <w:sz w:val="24"/>
          <w:szCs w:val="24"/>
          <w:highlight w:val="none"/>
          <w:lang w:val="en-US" w:eastAsia="zh-CN"/>
        </w:rPr>
      </w:pPr>
    </w:p>
    <w:p w14:paraId="4F241BDF">
      <w:pPr>
        <w:pStyle w:val="31"/>
        <w:jc w:val="both"/>
        <w:rPr>
          <w:rFonts w:hint="eastAsia" w:ascii="Times New Roman" w:hAnsi="Times New Roman" w:eastAsia="宋体" w:cs="Times New Roman"/>
          <w:b/>
          <w:bCs/>
          <w:color w:val="auto"/>
          <w:sz w:val="24"/>
          <w:szCs w:val="24"/>
          <w:highlight w:val="none"/>
          <w:lang w:val="en-US" w:eastAsia="zh-CN"/>
        </w:rPr>
      </w:pPr>
    </w:p>
    <w:p w14:paraId="11FFAE8C">
      <w:pPr>
        <w:pStyle w:val="31"/>
        <w:jc w:val="both"/>
        <w:rPr>
          <w:rFonts w:hint="eastAsia" w:ascii="Times New Roman" w:hAnsi="Times New Roman" w:eastAsia="宋体" w:cs="Times New Roman"/>
          <w:b/>
          <w:bCs/>
          <w:color w:val="auto"/>
          <w:sz w:val="24"/>
          <w:szCs w:val="24"/>
          <w:highlight w:val="none"/>
          <w:lang w:val="en-US" w:eastAsia="zh-CN"/>
        </w:rPr>
      </w:pPr>
    </w:p>
    <w:p w14:paraId="7FD8035E">
      <w:pPr>
        <w:pStyle w:val="31"/>
        <w:jc w:val="both"/>
        <w:rPr>
          <w:rFonts w:hint="eastAsia" w:ascii="Times New Roman" w:hAnsi="Times New Roman" w:eastAsia="宋体" w:cs="Times New Roman"/>
          <w:b/>
          <w:bCs/>
          <w:color w:val="auto"/>
          <w:sz w:val="24"/>
          <w:szCs w:val="24"/>
          <w:highlight w:val="none"/>
          <w:lang w:val="en-US" w:eastAsia="zh-CN"/>
        </w:rPr>
      </w:pPr>
    </w:p>
    <w:p w14:paraId="219DE4F8">
      <w:pPr>
        <w:pStyle w:val="31"/>
        <w:jc w:val="both"/>
        <w:rPr>
          <w:rFonts w:hint="eastAsia" w:ascii="Times New Roman" w:hAnsi="Times New Roman" w:eastAsia="宋体" w:cs="Times New Roman"/>
          <w:b/>
          <w:bCs/>
          <w:color w:val="auto"/>
          <w:sz w:val="24"/>
          <w:szCs w:val="24"/>
          <w:highlight w:val="none"/>
          <w:lang w:val="en-US" w:eastAsia="zh-CN"/>
        </w:rPr>
      </w:pPr>
    </w:p>
    <w:p w14:paraId="0C8461E5">
      <w:pPr>
        <w:pStyle w:val="31"/>
        <w:jc w:val="both"/>
        <w:rPr>
          <w:rFonts w:hint="eastAsia" w:ascii="Times New Roman" w:hAnsi="Times New Roman" w:eastAsia="宋体" w:cs="Times New Roman"/>
          <w:b/>
          <w:bCs/>
          <w:color w:val="auto"/>
          <w:sz w:val="24"/>
          <w:szCs w:val="24"/>
          <w:highlight w:val="none"/>
          <w:lang w:val="en-US" w:eastAsia="zh-CN"/>
        </w:rPr>
      </w:pPr>
    </w:p>
    <w:p w14:paraId="64C9DDFB">
      <w:pPr>
        <w:pStyle w:val="31"/>
        <w:jc w:val="both"/>
        <w:rPr>
          <w:rFonts w:hint="eastAsia" w:ascii="Times New Roman" w:hAnsi="Times New Roman" w:eastAsia="宋体" w:cs="Times New Roman"/>
          <w:b/>
          <w:bCs/>
          <w:color w:val="auto"/>
          <w:sz w:val="24"/>
          <w:szCs w:val="24"/>
          <w:highlight w:val="none"/>
          <w:lang w:val="en-US" w:eastAsia="zh-CN"/>
        </w:rPr>
      </w:pPr>
    </w:p>
    <w:p w14:paraId="1E68A65E">
      <w:pPr>
        <w:pStyle w:val="31"/>
        <w:jc w:val="both"/>
        <w:rPr>
          <w:rFonts w:hint="eastAsia" w:ascii="Times New Roman" w:hAnsi="Times New Roman" w:eastAsia="宋体" w:cs="Times New Roman"/>
          <w:b/>
          <w:bCs/>
          <w:color w:val="auto"/>
          <w:sz w:val="24"/>
          <w:szCs w:val="24"/>
          <w:highlight w:val="none"/>
          <w:lang w:val="en-US" w:eastAsia="zh-CN"/>
        </w:rPr>
      </w:pPr>
    </w:p>
    <w:p w14:paraId="6791D7CD">
      <w:pPr>
        <w:pStyle w:val="31"/>
        <w:jc w:val="both"/>
        <w:rPr>
          <w:rFonts w:hint="eastAsia" w:ascii="Times New Roman" w:hAnsi="Times New Roman" w:eastAsia="宋体" w:cs="Times New Roman"/>
          <w:b/>
          <w:bCs/>
          <w:color w:val="auto"/>
          <w:sz w:val="24"/>
          <w:szCs w:val="24"/>
          <w:highlight w:val="none"/>
          <w:lang w:val="en-US" w:eastAsia="zh-CN"/>
        </w:rPr>
      </w:pPr>
    </w:p>
    <w:p w14:paraId="3DC0F976">
      <w:pPr>
        <w:pStyle w:val="31"/>
        <w:jc w:val="both"/>
        <w:rPr>
          <w:rFonts w:hint="eastAsia" w:ascii="Times New Roman" w:hAnsi="Times New Roman" w:eastAsia="宋体" w:cs="Times New Roman"/>
          <w:b/>
          <w:bCs/>
          <w:color w:val="auto"/>
          <w:sz w:val="24"/>
          <w:szCs w:val="24"/>
          <w:highlight w:val="none"/>
          <w:lang w:val="en-US" w:eastAsia="zh-CN"/>
        </w:rPr>
      </w:pPr>
    </w:p>
    <w:p w14:paraId="68A98B26">
      <w:pPr>
        <w:pStyle w:val="31"/>
        <w:jc w:val="both"/>
        <w:rPr>
          <w:rFonts w:hint="eastAsia" w:ascii="Times New Roman" w:hAnsi="Times New Roman" w:eastAsia="宋体" w:cs="Times New Roman"/>
          <w:b/>
          <w:bCs/>
          <w:color w:val="auto"/>
          <w:sz w:val="24"/>
          <w:szCs w:val="24"/>
          <w:highlight w:val="none"/>
          <w:lang w:val="en-US" w:eastAsia="zh-CN"/>
        </w:rPr>
      </w:pPr>
    </w:p>
    <w:p w14:paraId="15D07895">
      <w:pPr>
        <w:pStyle w:val="31"/>
        <w:jc w:val="both"/>
        <w:rPr>
          <w:rFonts w:hint="eastAsia" w:ascii="Times New Roman" w:hAnsi="Times New Roman" w:eastAsia="宋体" w:cs="Times New Roman"/>
          <w:b/>
          <w:bCs/>
          <w:color w:val="auto"/>
          <w:sz w:val="24"/>
          <w:szCs w:val="24"/>
          <w:highlight w:val="none"/>
          <w:lang w:val="en-US" w:eastAsia="zh-CN"/>
        </w:rPr>
      </w:pPr>
    </w:p>
    <w:p w14:paraId="61F113EE">
      <w:pPr>
        <w:pStyle w:val="31"/>
        <w:jc w:val="both"/>
        <w:rPr>
          <w:rFonts w:hint="eastAsia" w:ascii="Times New Roman" w:hAnsi="Times New Roman" w:eastAsia="宋体" w:cs="Times New Roman"/>
          <w:b/>
          <w:bCs/>
          <w:color w:val="auto"/>
          <w:sz w:val="24"/>
          <w:szCs w:val="24"/>
          <w:highlight w:val="none"/>
          <w:lang w:val="en-US" w:eastAsia="zh-CN"/>
        </w:rPr>
      </w:pPr>
    </w:p>
    <w:p w14:paraId="083C18D1">
      <w:pPr>
        <w:pStyle w:val="31"/>
        <w:jc w:val="both"/>
        <w:rPr>
          <w:rFonts w:hint="eastAsia" w:ascii="Times New Roman" w:hAnsi="Times New Roman" w:eastAsia="宋体" w:cs="Times New Roman"/>
          <w:b/>
          <w:bCs/>
          <w:color w:val="auto"/>
          <w:sz w:val="24"/>
          <w:szCs w:val="24"/>
          <w:highlight w:val="none"/>
          <w:lang w:val="en-US" w:eastAsia="zh-CN"/>
        </w:rPr>
      </w:pPr>
    </w:p>
    <w:p w14:paraId="733EAA9F">
      <w:pPr>
        <w:pStyle w:val="31"/>
        <w:jc w:val="both"/>
        <w:rPr>
          <w:rFonts w:hint="eastAsia" w:ascii="Times New Roman" w:hAnsi="Times New Roman" w:eastAsia="宋体" w:cs="Times New Roman"/>
          <w:b/>
          <w:bCs/>
          <w:color w:val="auto"/>
          <w:sz w:val="24"/>
          <w:szCs w:val="24"/>
          <w:highlight w:val="none"/>
          <w:lang w:val="en-US" w:eastAsia="zh-CN"/>
        </w:rPr>
      </w:pPr>
    </w:p>
    <w:p w14:paraId="2E37F879">
      <w:pPr>
        <w:pStyle w:val="31"/>
        <w:jc w:val="both"/>
        <w:rPr>
          <w:rFonts w:hint="eastAsia" w:ascii="Times New Roman" w:hAnsi="Times New Roman" w:eastAsia="宋体" w:cs="Times New Roman"/>
          <w:b/>
          <w:bCs/>
          <w:color w:val="auto"/>
          <w:sz w:val="24"/>
          <w:szCs w:val="24"/>
          <w:highlight w:val="none"/>
          <w:lang w:val="en-US" w:eastAsia="zh-CN"/>
        </w:rPr>
      </w:pPr>
    </w:p>
    <w:p w14:paraId="316C9EDD">
      <w:pPr>
        <w:pStyle w:val="31"/>
        <w:jc w:val="both"/>
        <w:rPr>
          <w:rFonts w:hint="eastAsia" w:ascii="Times New Roman" w:hAnsi="Times New Roman" w:eastAsia="宋体" w:cs="Times New Roman"/>
          <w:b/>
          <w:bCs/>
          <w:color w:val="auto"/>
          <w:sz w:val="24"/>
          <w:szCs w:val="24"/>
          <w:highlight w:val="none"/>
          <w:lang w:val="en-US" w:eastAsia="zh-CN"/>
        </w:rPr>
      </w:pPr>
    </w:p>
    <w:p w14:paraId="1C7953DC">
      <w:pPr>
        <w:pStyle w:val="31"/>
        <w:jc w:val="both"/>
        <w:rPr>
          <w:rFonts w:hint="eastAsia" w:ascii="Times New Roman" w:hAnsi="Times New Roman" w:eastAsia="宋体" w:cs="Times New Roman"/>
          <w:b/>
          <w:bCs/>
          <w:color w:val="auto"/>
          <w:sz w:val="24"/>
          <w:szCs w:val="24"/>
          <w:highlight w:val="none"/>
          <w:lang w:val="en-US" w:eastAsia="zh-CN"/>
        </w:rPr>
      </w:pPr>
    </w:p>
    <w:p w14:paraId="6BF247EE">
      <w:pPr>
        <w:pStyle w:val="31"/>
        <w:jc w:val="both"/>
        <w:rPr>
          <w:rFonts w:hint="eastAsia" w:ascii="Times New Roman" w:hAnsi="Times New Roman" w:eastAsia="宋体" w:cs="Times New Roman"/>
          <w:b/>
          <w:bCs/>
          <w:color w:val="auto"/>
          <w:sz w:val="24"/>
          <w:szCs w:val="24"/>
          <w:highlight w:val="none"/>
          <w:lang w:val="en-US" w:eastAsia="zh-CN"/>
        </w:rPr>
      </w:pPr>
      <w:r>
        <w:rPr>
          <w:color w:val="auto"/>
          <w:highlight w:val="none"/>
        </w:rPr>
        <w:drawing>
          <wp:anchor distT="0" distB="0" distL="114300" distR="114300" simplePos="0" relativeHeight="251713536" behindDoc="0" locked="0" layoutInCell="1" allowOverlap="1">
            <wp:simplePos x="0" y="0"/>
            <wp:positionH relativeFrom="column">
              <wp:posOffset>7912100</wp:posOffset>
            </wp:positionH>
            <wp:positionV relativeFrom="paragraph">
              <wp:posOffset>-168275</wp:posOffset>
            </wp:positionV>
            <wp:extent cx="543560" cy="567690"/>
            <wp:effectExtent l="0" t="0" r="8890" b="3810"/>
            <wp:wrapNone/>
            <wp:docPr id="7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4"/>
                    <pic:cNvPicPr>
                      <a:picLocks noChangeAspect="1"/>
                    </pic:cNvPicPr>
                  </pic:nvPicPr>
                  <pic:blipFill>
                    <a:blip r:embed="rId30"/>
                    <a:stretch>
                      <a:fillRect/>
                    </a:stretch>
                  </pic:blipFill>
                  <pic:spPr>
                    <a:xfrm>
                      <a:off x="0" y="0"/>
                      <a:ext cx="543560" cy="567690"/>
                    </a:xfrm>
                    <a:prstGeom prst="rect">
                      <a:avLst/>
                    </a:prstGeom>
                    <a:noFill/>
                    <a:ln w="9525">
                      <a:noFill/>
                    </a:ln>
                  </pic:spPr>
                </pic:pic>
              </a:graphicData>
            </a:graphic>
          </wp:anchor>
        </w:drawing>
      </w:r>
      <w:r>
        <w:rPr>
          <w:color w:val="auto"/>
          <w:highlight w:val="none"/>
        </w:rPr>
        <w:drawing>
          <wp:anchor distT="0" distB="0" distL="114300" distR="114300" simplePos="0" relativeHeight="251741184" behindDoc="1" locked="0" layoutInCell="1" allowOverlap="1">
            <wp:simplePos x="0" y="0"/>
            <wp:positionH relativeFrom="column">
              <wp:posOffset>8255</wp:posOffset>
            </wp:positionH>
            <wp:positionV relativeFrom="paragraph">
              <wp:posOffset>-175895</wp:posOffset>
            </wp:positionV>
            <wp:extent cx="8460740" cy="5751830"/>
            <wp:effectExtent l="0" t="0" r="16510" b="1270"/>
            <wp:wrapNone/>
            <wp:docPr id="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
                    <pic:cNvPicPr>
                      <a:picLocks noChangeAspect="1"/>
                    </pic:cNvPicPr>
                  </pic:nvPicPr>
                  <pic:blipFill>
                    <a:blip r:embed="rId31"/>
                    <a:stretch>
                      <a:fillRect/>
                    </a:stretch>
                  </pic:blipFill>
                  <pic:spPr>
                    <a:xfrm>
                      <a:off x="0" y="0"/>
                      <a:ext cx="8460740" cy="5751830"/>
                    </a:xfrm>
                    <a:prstGeom prst="rect">
                      <a:avLst/>
                    </a:prstGeom>
                    <a:noFill/>
                    <a:ln w="9525">
                      <a:noFill/>
                    </a:ln>
                  </pic:spPr>
                </pic:pic>
              </a:graphicData>
            </a:graphic>
          </wp:anchor>
        </w:drawing>
      </w:r>
    </w:p>
    <w:p w14:paraId="7A591521">
      <w:pPr>
        <w:pStyle w:val="31"/>
        <w:jc w:val="both"/>
        <w:rPr>
          <w:rFonts w:hint="eastAsia" w:ascii="Times New Roman" w:hAnsi="Times New Roman" w:eastAsia="宋体" w:cs="Times New Roman"/>
          <w:b/>
          <w:bCs/>
          <w:color w:val="auto"/>
          <w:sz w:val="24"/>
          <w:szCs w:val="24"/>
          <w:highlight w:val="none"/>
          <w:lang w:val="en-US" w:eastAsia="zh-CN"/>
        </w:rPr>
      </w:pPr>
    </w:p>
    <w:p w14:paraId="0A0C6CCB">
      <w:pPr>
        <w:pStyle w:val="31"/>
        <w:jc w:val="center"/>
        <w:rPr>
          <w:rFonts w:hint="eastAsia" w:ascii="Times New Roman" w:hAnsi="Times New Roman" w:eastAsia="宋体" w:cs="Times New Roman"/>
          <w:b/>
          <w:bCs/>
          <w:color w:val="auto"/>
          <w:sz w:val="24"/>
          <w:szCs w:val="24"/>
          <w:highlight w:val="none"/>
          <w:lang w:val="en-US" w:eastAsia="zh-CN"/>
        </w:rPr>
      </w:pPr>
    </w:p>
    <w:p w14:paraId="46790AFD">
      <w:pPr>
        <w:pStyle w:val="31"/>
        <w:jc w:val="center"/>
        <w:rPr>
          <w:color w:val="auto"/>
          <w:sz w:val="21"/>
          <w:highlight w:val="none"/>
        </w:rPr>
      </w:pPr>
    </w:p>
    <w:p w14:paraId="7D436389">
      <w:pPr>
        <w:rPr>
          <w:color w:val="auto"/>
          <w:sz w:val="21"/>
          <w:highlight w:val="none"/>
        </w:rPr>
      </w:pPr>
    </w:p>
    <w:p w14:paraId="50D14664">
      <w:pPr>
        <w:rPr>
          <w:color w:val="auto"/>
          <w:sz w:val="21"/>
          <w:highlight w:val="none"/>
        </w:rPr>
      </w:pPr>
    </w:p>
    <w:p w14:paraId="5B18EFA7">
      <w:pPr>
        <w:rPr>
          <w:color w:val="auto"/>
          <w:sz w:val="21"/>
          <w:highlight w:val="none"/>
        </w:rPr>
      </w:pPr>
    </w:p>
    <w:p w14:paraId="73A15224">
      <w:pPr>
        <w:rPr>
          <w:color w:val="auto"/>
          <w:sz w:val="21"/>
          <w:highlight w:val="none"/>
        </w:rPr>
      </w:pPr>
    </w:p>
    <w:p w14:paraId="553687B8">
      <w:pPr>
        <w:rPr>
          <w:color w:val="auto"/>
          <w:sz w:val="21"/>
          <w:highlight w:val="none"/>
        </w:rPr>
      </w:pPr>
    </w:p>
    <w:p w14:paraId="08E92423">
      <w:pPr>
        <w:rPr>
          <w:color w:val="auto"/>
          <w:sz w:val="21"/>
          <w:highlight w:val="none"/>
        </w:rPr>
      </w:pPr>
    </w:p>
    <w:p w14:paraId="096D49FB">
      <w:pPr>
        <w:rPr>
          <w:color w:val="auto"/>
          <w:sz w:val="21"/>
          <w:highlight w:val="none"/>
        </w:rPr>
      </w:pPr>
    </w:p>
    <w:p w14:paraId="534EC94D">
      <w:pPr>
        <w:rPr>
          <w:color w:val="auto"/>
          <w:sz w:val="21"/>
          <w:highlight w:val="none"/>
        </w:rPr>
      </w:pPr>
    </w:p>
    <w:p w14:paraId="67D9867D">
      <w:pPr>
        <w:rPr>
          <w:color w:val="auto"/>
          <w:sz w:val="21"/>
          <w:highlight w:val="none"/>
        </w:rPr>
      </w:pPr>
    </w:p>
    <w:p w14:paraId="6B4C4C07">
      <w:pPr>
        <w:rPr>
          <w:color w:val="auto"/>
          <w:sz w:val="21"/>
          <w:highlight w:val="none"/>
        </w:rPr>
      </w:pPr>
    </w:p>
    <w:p w14:paraId="50B2ED8E">
      <w:pPr>
        <w:rPr>
          <w:color w:val="auto"/>
          <w:sz w:val="21"/>
          <w:highlight w:val="none"/>
        </w:rPr>
      </w:pPr>
      <w:r>
        <w:rPr>
          <w:color w:val="auto"/>
          <w:sz w:val="21"/>
          <w:highlight w:val="none"/>
        </w:rPr>
        <mc:AlternateContent>
          <mc:Choice Requires="wps">
            <w:drawing>
              <wp:anchor distT="0" distB="0" distL="114300" distR="114300" simplePos="0" relativeHeight="251712512" behindDoc="0" locked="0" layoutInCell="1" allowOverlap="1">
                <wp:simplePos x="0" y="0"/>
                <wp:positionH relativeFrom="column">
                  <wp:posOffset>4643120</wp:posOffset>
                </wp:positionH>
                <wp:positionV relativeFrom="paragraph">
                  <wp:posOffset>55245</wp:posOffset>
                </wp:positionV>
                <wp:extent cx="885825" cy="295275"/>
                <wp:effectExtent l="259715" t="5080" r="16510" b="4445"/>
                <wp:wrapNone/>
                <wp:docPr id="77" name="矩形标注 77"/>
                <wp:cNvGraphicFramePr/>
                <a:graphic xmlns:a="http://schemas.openxmlformats.org/drawingml/2006/main">
                  <a:graphicData uri="http://schemas.microsoft.com/office/word/2010/wordprocessingShape">
                    <wps:wsp>
                      <wps:cNvSpPr/>
                      <wps:spPr>
                        <a:xfrm>
                          <a:off x="0" y="0"/>
                          <a:ext cx="885825" cy="295275"/>
                        </a:xfrm>
                        <a:prstGeom prst="wedgeRectCallout">
                          <a:avLst>
                            <a:gd name="adj1" fmla="val -75949"/>
                            <a:gd name="adj2" fmla="val -27204"/>
                          </a:avLst>
                        </a:prstGeom>
                        <a:noFill/>
                        <a:ln w="9525" cap="flat" cmpd="sng">
                          <a:solidFill>
                            <a:srgbClr val="000000"/>
                          </a:solidFill>
                          <a:prstDash val="solid"/>
                          <a:miter/>
                          <a:headEnd type="none" w="med" len="med"/>
                          <a:tailEnd type="none" w="med" len="med"/>
                        </a:ln>
                      </wps:spPr>
                      <wps:txbx>
                        <w:txbxContent>
                          <w:p w14:paraId="4DCA38C5">
                            <w:pPr>
                              <w:rPr>
                                <w:rFonts w:hint="eastAsia" w:eastAsia="宋体"/>
                                <w:lang w:eastAsia="zh-CN"/>
                              </w:rPr>
                            </w:pPr>
                            <w:r>
                              <w:rPr>
                                <w:rFonts w:hint="eastAsia"/>
                                <w:lang w:eastAsia="zh-CN"/>
                              </w:rPr>
                              <w:t>本项目位置</w:t>
                            </w:r>
                          </w:p>
                        </w:txbxContent>
                      </wps:txbx>
                      <wps:bodyPr upright="1"/>
                    </wps:wsp>
                  </a:graphicData>
                </a:graphic>
              </wp:anchor>
            </w:drawing>
          </mc:Choice>
          <mc:Fallback>
            <w:pict>
              <v:shape id="_x0000_s1026" o:spid="_x0000_s1026" o:spt="61" type="#_x0000_t61" style="position:absolute;left:0pt;margin-left:365.6pt;margin-top:4.35pt;height:23.25pt;width:69.75pt;z-index:251712512;mso-width-relative:page;mso-height-relative:page;" filled="f" stroked="t" coordsize="21600,21600" o:gfxdata="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dE2cLXAAAACAEAAA8AAAAAAAAAAQAgAAAAIgAAAGRycy9kb3ducmV2Lnht&#10;bFBLAQIUABQAAAAIAIdO4kDmPtccMwIAAGYEAAAOAAAAAAAAAAEAIAAAACYBAABkcnMvZTJvRG9j&#10;LnhtbFBLBQYAAAAABgAGAFkBAADLBQAAAAA=&#10;" adj="-5605,4924">
                <v:fill on="f" focussize="0,0"/>
                <v:stroke color="#000000" joinstyle="miter"/>
                <v:imagedata o:title=""/>
                <o:lock v:ext="edit" aspectratio="f"/>
                <v:textbox>
                  <w:txbxContent>
                    <w:p w14:paraId="4DCA38C5">
                      <w:pPr>
                        <w:rPr>
                          <w:rFonts w:hint="eastAsia" w:eastAsia="宋体"/>
                          <w:lang w:eastAsia="zh-CN"/>
                        </w:rPr>
                      </w:pPr>
                      <w:r>
                        <w:rPr>
                          <w:rFonts w:hint="eastAsia"/>
                          <w:lang w:eastAsia="zh-CN"/>
                        </w:rPr>
                        <w:t>本项目位置</w:t>
                      </w:r>
                    </w:p>
                  </w:txbxContent>
                </v:textbox>
              </v:shape>
            </w:pict>
          </mc:Fallback>
        </mc:AlternateContent>
      </w:r>
      <w:r>
        <w:rPr>
          <w:color w:val="auto"/>
          <w:sz w:val="21"/>
          <w:highlight w:val="none"/>
        </w:rPr>
        <mc:AlternateContent>
          <mc:Choice Requires="wps">
            <w:drawing>
              <wp:anchor distT="0" distB="0" distL="114300" distR="114300" simplePos="0" relativeHeight="251741184" behindDoc="0" locked="0" layoutInCell="1" allowOverlap="1">
                <wp:simplePos x="0" y="0"/>
                <wp:positionH relativeFrom="column">
                  <wp:posOffset>4305935</wp:posOffset>
                </wp:positionH>
                <wp:positionV relativeFrom="paragraph">
                  <wp:posOffset>50800</wp:posOffset>
                </wp:positionV>
                <wp:extent cx="75565" cy="75565"/>
                <wp:effectExtent l="11430" t="11430" r="8255" b="27305"/>
                <wp:wrapNone/>
                <wp:docPr id="58" name="L 形 58"/>
                <wp:cNvGraphicFramePr/>
                <a:graphic xmlns:a="http://schemas.openxmlformats.org/drawingml/2006/main">
                  <a:graphicData uri="http://schemas.microsoft.com/office/word/2010/wordprocessingShape">
                    <wps:wsp>
                      <wps:cNvSpPr/>
                      <wps:spPr>
                        <a:xfrm rot="420000">
                          <a:off x="5216525" y="3705860"/>
                          <a:ext cx="75565" cy="75565"/>
                        </a:xfrm>
                        <a:prstGeom prst="corne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39.05pt;margin-top:4pt;height:5.95pt;width:5.95pt;rotation:458752f;z-index:251741184;v-text-anchor:middle;mso-width-relative:page;mso-height-relative:page;" fillcolor="#FF0000" filled="t" stroked="t" coordsize="75565,75565" o:gfxdata="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Y3P0F1QAAAAgBAAAPAAAAAAAAAAEAIAAAACIAAABkcnMvZG93&#10;bnJldi54bWxQSwECFAAUAAAACACHTuJAQ5HKxHUCAAANBQAADgAAAAAAAAABACAAAAAkAQAAZHJz&#10;L2Uyb0RvYy54bWxQSwUGAAAAAAYABgBZAQAACwYAAAAA&#10;" path="m0,0l37782,0,37782,37782,75565,37782,75565,75565,0,75565xe">
                <v:path o:connectlocs="75565,56673;37782,75565;0,37782;18891,0" o:connectangles="0,82,164,247"/>
                <v:fill on="t" focussize="0,0"/>
                <v:stroke weight="1pt" color="#FF0000 [3204]" miterlimit="8" joinstyle="miter"/>
                <v:imagedata o:title=""/>
                <o:lock v:ext="edit" aspectratio="f"/>
              </v:shape>
            </w:pict>
          </mc:Fallback>
        </mc:AlternateContent>
      </w:r>
    </w:p>
    <w:p w14:paraId="44651BC2">
      <w:pPr>
        <w:rPr>
          <w:color w:val="auto"/>
          <w:sz w:val="21"/>
          <w:highlight w:val="none"/>
        </w:rPr>
      </w:pPr>
    </w:p>
    <w:p w14:paraId="64DE1FBE">
      <w:pPr>
        <w:rPr>
          <w:color w:val="auto"/>
          <w:sz w:val="21"/>
          <w:highlight w:val="none"/>
        </w:rPr>
      </w:pPr>
    </w:p>
    <w:p w14:paraId="5B859CE7">
      <w:pPr>
        <w:rPr>
          <w:color w:val="auto"/>
          <w:sz w:val="21"/>
          <w:highlight w:val="none"/>
        </w:rPr>
      </w:pPr>
    </w:p>
    <w:p w14:paraId="27AE12C5">
      <w:pPr>
        <w:rPr>
          <w:color w:val="auto"/>
          <w:sz w:val="21"/>
          <w:highlight w:val="none"/>
        </w:rPr>
      </w:pPr>
    </w:p>
    <w:p w14:paraId="725D3614">
      <w:pPr>
        <w:rPr>
          <w:color w:val="auto"/>
          <w:sz w:val="21"/>
          <w:highlight w:val="none"/>
        </w:rPr>
      </w:pPr>
    </w:p>
    <w:p w14:paraId="170837CD">
      <w:pPr>
        <w:rPr>
          <w:color w:val="auto"/>
          <w:sz w:val="21"/>
          <w:highlight w:val="none"/>
        </w:rPr>
      </w:pPr>
    </w:p>
    <w:p w14:paraId="1A78486E">
      <w:pPr>
        <w:rPr>
          <w:color w:val="auto"/>
          <w:sz w:val="21"/>
          <w:highlight w:val="none"/>
        </w:rPr>
      </w:pPr>
    </w:p>
    <w:p w14:paraId="78943948">
      <w:pPr>
        <w:rPr>
          <w:color w:val="auto"/>
          <w:sz w:val="21"/>
          <w:highlight w:val="none"/>
        </w:rPr>
      </w:pPr>
    </w:p>
    <w:p w14:paraId="01965160">
      <w:pPr>
        <w:tabs>
          <w:tab w:val="left" w:pos="3263"/>
        </w:tabs>
        <w:jc w:val="center"/>
        <w:rPr>
          <w:rFonts w:hint="eastAsia"/>
          <w:b/>
          <w:bCs/>
          <w:color w:val="auto"/>
          <w:sz w:val="24"/>
          <w:szCs w:val="24"/>
          <w:highlight w:val="none"/>
          <w:lang w:val="en-US" w:eastAsia="zh-CN"/>
        </w:rPr>
      </w:pPr>
    </w:p>
    <w:p w14:paraId="53E9CEF0">
      <w:pPr>
        <w:tabs>
          <w:tab w:val="left" w:pos="3263"/>
        </w:tabs>
        <w:jc w:val="center"/>
        <w:rPr>
          <w:rFonts w:hint="eastAsia"/>
          <w:b/>
          <w:bCs/>
          <w:color w:val="auto"/>
          <w:sz w:val="24"/>
          <w:szCs w:val="24"/>
          <w:highlight w:val="none"/>
          <w:lang w:val="en-US" w:eastAsia="zh-CN"/>
        </w:rPr>
      </w:pPr>
    </w:p>
    <w:p w14:paraId="0D0B5F1F">
      <w:pPr>
        <w:tabs>
          <w:tab w:val="left" w:pos="3263"/>
        </w:tabs>
        <w:jc w:val="center"/>
        <w:rPr>
          <w:rFonts w:hint="eastAsia"/>
          <w:b/>
          <w:bCs/>
          <w:color w:val="auto"/>
          <w:sz w:val="24"/>
          <w:szCs w:val="24"/>
          <w:highlight w:val="none"/>
          <w:lang w:val="en-US" w:eastAsia="zh-CN"/>
        </w:rPr>
      </w:pPr>
    </w:p>
    <w:p w14:paraId="3527AD01">
      <w:pPr>
        <w:tabs>
          <w:tab w:val="left" w:pos="3263"/>
        </w:tabs>
        <w:jc w:val="center"/>
        <w:rPr>
          <w:rFonts w:hint="eastAsia"/>
          <w:b/>
          <w:bCs/>
          <w:color w:val="auto"/>
          <w:sz w:val="24"/>
          <w:szCs w:val="24"/>
          <w:highlight w:val="none"/>
          <w:lang w:val="en-US" w:eastAsia="zh-CN"/>
        </w:rPr>
      </w:pPr>
    </w:p>
    <w:p w14:paraId="5F231D17">
      <w:pPr>
        <w:tabs>
          <w:tab w:val="left" w:pos="3263"/>
        </w:tabs>
        <w:jc w:val="center"/>
        <w:rPr>
          <w:rFonts w:hint="eastAsia"/>
          <w:b/>
          <w:bCs/>
          <w:color w:val="auto"/>
          <w:sz w:val="24"/>
          <w:szCs w:val="24"/>
          <w:highlight w:val="none"/>
          <w:lang w:val="en-US" w:eastAsia="zh-CN"/>
        </w:rPr>
      </w:pPr>
      <w:r>
        <w:rPr>
          <w:rFonts w:hint="eastAsia"/>
          <w:b/>
          <w:bCs/>
          <w:color w:val="auto"/>
          <w:sz w:val="24"/>
          <w:szCs w:val="24"/>
          <w:highlight w:val="none"/>
          <w:lang w:val="en-US" w:eastAsia="zh-CN"/>
        </w:rPr>
        <w:t>附图1地理位置图</w:t>
      </w:r>
    </w:p>
    <w:p w14:paraId="5D1B62FD">
      <w:pPr>
        <w:pStyle w:val="31"/>
        <w:jc w:val="right"/>
        <w:rPr>
          <w:rFonts w:hint="eastAsia"/>
          <w:b/>
          <w:bCs/>
          <w:color w:val="auto"/>
          <w:sz w:val="24"/>
          <w:szCs w:val="24"/>
          <w:highlight w:val="none"/>
          <w:lang w:val="en-US" w:eastAsia="zh-CN"/>
        </w:rPr>
        <w:sectPr>
          <w:footerReference r:id="rId6" w:type="default"/>
          <w:pgSz w:w="16840" w:h="11907" w:orient="landscape"/>
          <w:pgMar w:top="1276" w:right="1757" w:bottom="1474" w:left="1757" w:header="851" w:footer="567" w:gutter="0"/>
          <w:pgNumType w:fmt="decimal"/>
          <w:cols w:space="0" w:num="1"/>
          <w:rtlGutter w:val="0"/>
          <w:docGrid w:type="lines" w:linePitch="327" w:charSpace="0"/>
        </w:sectPr>
      </w:pPr>
    </w:p>
    <w:p w14:paraId="39BDE2E3">
      <w:pPr>
        <w:pStyle w:val="31"/>
        <w:jc w:val="both"/>
        <w:rPr>
          <w:rFonts w:hint="eastAsia"/>
          <w:b/>
          <w:bCs/>
          <w:color w:val="auto"/>
          <w:sz w:val="24"/>
          <w:szCs w:val="24"/>
          <w:highlight w:val="none"/>
          <w:lang w:val="en-US" w:eastAsia="zh-CN"/>
        </w:rPr>
      </w:pPr>
    </w:p>
    <w:p w14:paraId="119BBCCC">
      <w:pPr>
        <w:pStyle w:val="31"/>
        <w:jc w:val="both"/>
        <w:rPr>
          <w:rFonts w:hint="eastAsia"/>
          <w:b/>
          <w:bCs/>
          <w:color w:val="auto"/>
          <w:sz w:val="24"/>
          <w:szCs w:val="24"/>
          <w:highlight w:val="none"/>
          <w:lang w:val="en-US" w:eastAsia="zh-CN"/>
        </w:rPr>
      </w:pPr>
      <w:r>
        <w:rPr>
          <w:color w:val="auto"/>
          <w:highlight w:val="none"/>
        </w:rPr>
        <w:drawing>
          <wp:anchor distT="0" distB="0" distL="114300" distR="114300" simplePos="0" relativeHeight="251726848" behindDoc="0" locked="0" layoutInCell="1" allowOverlap="1">
            <wp:simplePos x="0" y="0"/>
            <wp:positionH relativeFrom="column">
              <wp:posOffset>5139690</wp:posOffset>
            </wp:positionH>
            <wp:positionV relativeFrom="paragraph">
              <wp:posOffset>91440</wp:posOffset>
            </wp:positionV>
            <wp:extent cx="512445" cy="534670"/>
            <wp:effectExtent l="0" t="0" r="1905" b="17780"/>
            <wp:wrapNone/>
            <wp:docPr id="82"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64"/>
                    <pic:cNvPicPr>
                      <a:picLocks noChangeAspect="1"/>
                    </pic:cNvPicPr>
                  </pic:nvPicPr>
                  <pic:blipFill>
                    <a:blip r:embed="rId30"/>
                    <a:stretch>
                      <a:fillRect/>
                    </a:stretch>
                  </pic:blipFill>
                  <pic:spPr>
                    <a:xfrm>
                      <a:off x="0" y="0"/>
                      <a:ext cx="512445" cy="534670"/>
                    </a:xfrm>
                    <a:prstGeom prst="rect">
                      <a:avLst/>
                    </a:prstGeom>
                    <a:noFill/>
                    <a:ln w="9525">
                      <a:noFill/>
                    </a:ln>
                  </pic:spPr>
                </pic:pic>
              </a:graphicData>
            </a:graphic>
          </wp:anchor>
        </w:drawing>
      </w:r>
    </w:p>
    <w:p w14:paraId="7B3200F5">
      <w:pPr>
        <w:pStyle w:val="31"/>
        <w:jc w:val="both"/>
        <w:rPr>
          <w:rFonts w:hint="eastAsia"/>
          <w:b/>
          <w:bCs/>
          <w:color w:val="auto"/>
          <w:sz w:val="24"/>
          <w:szCs w:val="24"/>
          <w:highlight w:val="none"/>
          <w:lang w:val="en-US" w:eastAsia="zh-CN"/>
        </w:rPr>
      </w:pPr>
    </w:p>
    <w:p w14:paraId="11BC65BC">
      <w:pPr>
        <w:tabs>
          <w:tab w:val="left" w:pos="3263"/>
        </w:tabs>
        <w:jc w:val="center"/>
        <w:rPr>
          <w:rFonts w:hint="eastAsia"/>
          <w:b/>
          <w:bCs/>
          <w:color w:val="auto"/>
          <w:sz w:val="24"/>
          <w:szCs w:val="24"/>
          <w:highlight w:val="none"/>
          <w:lang w:val="en-US" w:eastAsia="zh-CN"/>
        </w:rPr>
      </w:pPr>
    </w:p>
    <w:p w14:paraId="1BF8CBC6">
      <w:pPr>
        <w:tabs>
          <w:tab w:val="left" w:pos="3263"/>
        </w:tabs>
        <w:jc w:val="center"/>
        <w:rPr>
          <w:rFonts w:hint="eastAsia"/>
          <w:b/>
          <w:bCs/>
          <w:color w:val="auto"/>
          <w:sz w:val="24"/>
          <w:szCs w:val="24"/>
          <w:highlight w:val="none"/>
          <w:lang w:val="en-US" w:eastAsia="zh-CN"/>
        </w:rPr>
      </w:pPr>
    </w:p>
    <w:p w14:paraId="3700B7EE">
      <w:pPr>
        <w:tabs>
          <w:tab w:val="left" w:pos="3263"/>
        </w:tabs>
        <w:jc w:val="center"/>
        <w:rPr>
          <w:rFonts w:hint="eastAsia"/>
          <w:b/>
          <w:bCs/>
          <w:color w:val="auto"/>
          <w:sz w:val="24"/>
          <w:szCs w:val="24"/>
          <w:highlight w:val="none"/>
          <w:lang w:val="en-US" w:eastAsia="zh-CN"/>
        </w:rPr>
      </w:pPr>
      <w:r>
        <w:rPr>
          <w:color w:val="auto"/>
          <w:sz w:val="24"/>
          <w:highlight w:val="none"/>
        </w:rPr>
        <mc:AlternateContent>
          <mc:Choice Requires="wpg">
            <w:drawing>
              <wp:anchor distT="0" distB="0" distL="114300" distR="114300" simplePos="0" relativeHeight="251688960" behindDoc="0" locked="0" layoutInCell="1" allowOverlap="1">
                <wp:simplePos x="0" y="0"/>
                <wp:positionH relativeFrom="column">
                  <wp:posOffset>609600</wp:posOffset>
                </wp:positionH>
                <wp:positionV relativeFrom="paragraph">
                  <wp:posOffset>40640</wp:posOffset>
                </wp:positionV>
                <wp:extent cx="3729990" cy="4015740"/>
                <wp:effectExtent l="15240" t="15240" r="26670" b="26670"/>
                <wp:wrapNone/>
                <wp:docPr id="72" name="组合 72"/>
                <wp:cNvGraphicFramePr/>
                <a:graphic xmlns:a="http://schemas.openxmlformats.org/drawingml/2006/main">
                  <a:graphicData uri="http://schemas.microsoft.com/office/word/2010/wordprocessingGroup">
                    <wpg:wgp>
                      <wpg:cNvGrpSpPr/>
                      <wpg:grpSpPr>
                        <a:xfrm>
                          <a:off x="0" y="0"/>
                          <a:ext cx="3729990" cy="4015740"/>
                          <a:chOff x="8160" y="1434397"/>
                          <a:chExt cx="5874" cy="6324"/>
                        </a:xfrm>
                      </wpg:grpSpPr>
                      <wps:wsp>
                        <wps:cNvPr id="83" name="任意多边形 83"/>
                        <wps:cNvSpPr/>
                        <wps:spPr>
                          <a:xfrm>
                            <a:off x="8160" y="1434397"/>
                            <a:ext cx="5875" cy="6325"/>
                          </a:xfrm>
                          <a:custGeom>
                            <a:avLst/>
                            <a:gdLst>
                              <a:gd name="connisteX0" fmla="*/ 294005 w 3730625"/>
                              <a:gd name="connsiteY0" fmla="*/ 0 h 4016375"/>
                              <a:gd name="connisteX1" fmla="*/ 1929130 w 3730625"/>
                              <a:gd name="connsiteY1" fmla="*/ 120015 h 4016375"/>
                              <a:gd name="connisteX2" fmla="*/ 1857375 w 3730625"/>
                              <a:gd name="connsiteY2" fmla="*/ 1031875 h 4016375"/>
                              <a:gd name="connisteX3" fmla="*/ 2413000 w 3730625"/>
                              <a:gd name="connsiteY3" fmla="*/ 1072515 h 4016375"/>
                              <a:gd name="connisteX4" fmla="*/ 2326005 w 3730625"/>
                              <a:gd name="connsiteY4" fmla="*/ 2263140 h 4016375"/>
                              <a:gd name="connisteX5" fmla="*/ 3730625 w 3730625"/>
                              <a:gd name="connsiteY5" fmla="*/ 2428875 h 4016375"/>
                              <a:gd name="connisteX6" fmla="*/ 3564255 w 3730625"/>
                              <a:gd name="connsiteY6" fmla="*/ 4016375 h 4016375"/>
                              <a:gd name="connisteX7" fmla="*/ 0 w 3730625"/>
                              <a:gd name="connsiteY7" fmla="*/ 3676015 h 4016375"/>
                              <a:gd name="connisteX8" fmla="*/ 294005 w 3730625"/>
                              <a:gd name="connsiteY8" fmla="*/ 0 h 401637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Lst>
                            <a:rect l="l" t="t" r="r" b="b"/>
                            <a:pathLst>
                              <a:path w="3730625" h="4016375">
                                <a:moveTo>
                                  <a:pt x="294005" y="0"/>
                                </a:moveTo>
                                <a:lnTo>
                                  <a:pt x="1929130" y="120015"/>
                                </a:lnTo>
                                <a:lnTo>
                                  <a:pt x="1857375" y="1031875"/>
                                </a:lnTo>
                                <a:lnTo>
                                  <a:pt x="2413000" y="1072515"/>
                                </a:lnTo>
                                <a:lnTo>
                                  <a:pt x="2326005" y="2263140"/>
                                </a:lnTo>
                                <a:lnTo>
                                  <a:pt x="3730625" y="2428875"/>
                                </a:lnTo>
                                <a:lnTo>
                                  <a:pt x="3564255" y="4016375"/>
                                </a:lnTo>
                                <a:lnTo>
                                  <a:pt x="0" y="3676015"/>
                                </a:lnTo>
                                <a:lnTo>
                                  <a:pt x="294005" y="0"/>
                                </a:lnTo>
                                <a:close/>
                              </a:path>
                            </a:pathLst>
                          </a:cu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wps:wsp>
                        <wps:cNvPr id="97" name="矩形 97"/>
                        <wps:cNvSpPr/>
                        <wps:spPr>
                          <a:xfrm rot="180000">
                            <a:off x="11113" y="1437461"/>
                            <a:ext cx="338" cy="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8" name="矩形 98"/>
                        <wps:cNvSpPr/>
                        <wps:spPr>
                          <a:xfrm rot="420000">
                            <a:off x="12942" y="1439586"/>
                            <a:ext cx="862" cy="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5" name="直接连接符 115"/>
                        <wps:cNvCnPr/>
                        <wps:spPr>
                          <a:xfrm flipH="1">
                            <a:off x="13493" y="1439599"/>
                            <a:ext cx="62" cy="51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48pt;margin-top:3.2pt;height:316.2pt;width:293.7pt;z-index:251688960;mso-width-relative:page;mso-height-relative:page;" coordorigin="8160,1434397" coordsize="5874,6324" o:gfxdata="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">
                <o:lock v:ext="edit" aspectratio="f"/>
                <v:shape id="_x0000_s1026" o:spid="_x0000_s1026" o:spt="100" style="position:absolute;left:8160;top:1434397;height:6325;width:5875;" filled="f" stroked="t" coordsize="3730625,4016375" o:gfxdata="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mX1zb4A&#10;AADbAAAADwAAAAAAAAABACAAAAAiAAAAZHJzL2Rvd25yZXYueG1sUEsBAhQAFAAAAAgAh07iQDMv&#10;BZ47AAAAOQAAABAAAAAAAAAAAQAgAAAADQEAAGRycy9zaGFwZXhtbC54bWxQSwUGAAAAAAYABgBb&#10;AQAAtwMAAAAA&#10;" path="m294005,0l1929130,120015,1857375,1031875,2413000,1072515,2326005,2263140,3730625,2428875,3564255,4016375,0,3676015,294005,0xe">
                  <v:path o:connectlocs="463,0;3038,189;2925,1625;3800,1689;3663,3564;5875,3825;5613,6325;0,5789;463,0" o:connectangles="0,0,0,0,0,0,0,0,0"/>
                  <v:fill on="f" focussize="0,0"/>
                  <v:stroke weight="2.25pt" color="#000000 [3213]" miterlimit="8" joinstyle="miter"/>
                  <v:imagedata o:title=""/>
                  <o:lock v:ext="edit" aspectratio="f"/>
                </v:shape>
                <v:rect id="_x0000_s1026" o:spid="_x0000_s1026" o:spt="1" style="position:absolute;left:11113;top:1437461;height:375;width:338;rotation:196608f;v-text-anchor:middle;" filled="f" stroked="t" coordsize="21600,21600" o:gfxdata="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Btuqb4A&#10;AADbAAAADwAAAAAAAAABACAAAAAiAAAAZHJzL2Rvd25yZXYueG1sUEsBAhQAFAAAAAgAh07iQDMv&#10;BZ47AAAAOQAAABAAAAAAAAAAAQAgAAAADQEAAGRycy9zaGFwZXhtbC54bWxQSwUGAAAAAAYABgBb&#10;AQAAtwMAAAAA&#10;">
                  <v:fill on="f" focussize="0,0"/>
                  <v:stroke weight="1pt" color="#000000 [3213]" miterlimit="8" joinstyle="miter"/>
                  <v:imagedata o:title=""/>
                  <o:lock v:ext="edit" aspectratio="f"/>
                </v:rect>
                <v:rect id="_x0000_s1026" o:spid="_x0000_s1026" o:spt="1" style="position:absolute;left:12942;top:1439586;height:500;width:862;rotation:458752f;v-text-anchor:middle;" filled="f" stroked="t" coordsize="21600,21600" o:gfxdata="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18DZugAAANsA&#10;AAAPAAAAAAAAAAEAIAAAACIAAABkcnMvZG93bnJldi54bWxQSwECFAAUAAAACACHTuJAMy8FnjsA&#10;AAA5AAAAEAAAAAAAAAABACAAAAAJAQAAZHJzL3NoYXBleG1sLnhtbFBLBQYAAAAABgAGAFsBAACz&#10;AwAAAAA=&#10;">
                  <v:fill on="f" focussize="0,0"/>
                  <v:stroke weight="1pt" color="#000000 [3213]" miterlimit="8" joinstyle="miter"/>
                  <v:imagedata o:title=""/>
                  <o:lock v:ext="edit" aspectratio="f"/>
                </v:rect>
                <v:line id="_x0000_s1026" o:spid="_x0000_s1026" o:spt="20" style="position:absolute;left:13493;top:1439599;flip:x;height:512;width:62;" filled="f" stroked="t" coordsize="21600,21600" o:gfxdata="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PbfrugAAANwA&#10;AAAPAAAAAAAAAAEAIAAAACIAAABkcnMvZG93bnJldi54bWxQSwECFAAUAAAACACHTuJAMy8FnjsA&#10;AAA5AAAAEAAAAAAAAAABACAAAAAJAQAAZHJzL3NoYXBleG1sLnhtbFBLBQYAAAAABgAGAFsBAACz&#10;AwAAAAA=&#10;">
                  <v:fill on="f" focussize="0,0"/>
                  <v:stroke weight="1pt" color="#000000 [3213]" miterlimit="8" joinstyle="miter"/>
                  <v:imagedata o:title=""/>
                  <o:lock v:ext="edit" aspectratio="f"/>
                </v:line>
              </v:group>
            </w:pict>
          </mc:Fallback>
        </mc:AlternateContent>
      </w:r>
    </w:p>
    <w:p w14:paraId="0D05B2A9">
      <w:pPr>
        <w:tabs>
          <w:tab w:val="left" w:pos="3263"/>
        </w:tabs>
        <w:jc w:val="center"/>
        <w:rPr>
          <w:rFonts w:hint="eastAsia"/>
          <w:b/>
          <w:bCs/>
          <w:color w:val="auto"/>
          <w:sz w:val="24"/>
          <w:szCs w:val="24"/>
          <w:highlight w:val="none"/>
          <w:lang w:val="en-US" w:eastAsia="zh-CN"/>
        </w:rPr>
      </w:pPr>
    </w:p>
    <w:p w14:paraId="5CFF8B73">
      <w:pPr>
        <w:tabs>
          <w:tab w:val="left" w:pos="3263"/>
        </w:tabs>
        <w:jc w:val="center"/>
        <w:rPr>
          <w:rFonts w:hint="eastAsia"/>
          <w:b/>
          <w:bCs/>
          <w:color w:val="auto"/>
          <w:sz w:val="24"/>
          <w:szCs w:val="24"/>
          <w:highlight w:val="none"/>
          <w:lang w:val="en-US" w:eastAsia="zh-CN"/>
        </w:rPr>
      </w:pPr>
      <w:r>
        <w:rPr>
          <w:color w:val="auto"/>
          <w:sz w:val="24"/>
          <w:highlight w:val="none"/>
        </w:rPr>
        <mc:AlternateContent>
          <mc:Choice Requires="wps">
            <w:drawing>
              <wp:anchor distT="0" distB="0" distL="114300" distR="114300" simplePos="0" relativeHeight="251671552" behindDoc="0" locked="0" layoutInCell="1" allowOverlap="1">
                <wp:simplePos x="0" y="0"/>
                <wp:positionH relativeFrom="column">
                  <wp:posOffset>-92075</wp:posOffset>
                </wp:positionH>
                <wp:positionV relativeFrom="paragraph">
                  <wp:posOffset>92710</wp:posOffset>
                </wp:positionV>
                <wp:extent cx="1031240" cy="304165"/>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1031240"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42B1DC">
                            <w:pPr>
                              <w:rPr>
                                <w:rFonts w:hint="eastAsia" w:eastAsia="宋体"/>
                                <w:b/>
                                <w:bCs/>
                                <w:sz w:val="18"/>
                                <w:szCs w:val="18"/>
                                <w:lang w:eastAsia="zh-CN"/>
                              </w:rPr>
                            </w:pPr>
                            <w:r>
                              <w:rPr>
                                <w:rFonts w:hint="eastAsia"/>
                                <w:b/>
                                <w:bCs/>
                                <w:sz w:val="18"/>
                                <w:szCs w:val="18"/>
                                <w:lang w:eastAsia="zh-CN"/>
                              </w:rPr>
                              <w:t>院区边界（大楼）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25pt;margin-top:7.3pt;height:23.95pt;width:81.2pt;z-index:251671552;mso-width-relative:page;mso-height-relative:page;" filled="f" stroked="f" coordsize="21600,21600" o:gfxdata="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v2hsxtoAAAAJAQAADwAAAAAAAAABACAAAAAiAAAAZHJz&#10;L2Rvd25yZXYueG1sUEsBAhQAFAAAAAgAh07iQK5gr4w7AgAAagQAAA4AAAAAAAAAAQAgAAAAKQEA&#10;AGRycy9lMm9Eb2MueG1sUEsFBgAAAAAGAAYAWQEAANYFAAAAAA==&#10;">
                <v:fill on="f" focussize="0,0"/>
                <v:stroke on="f" weight="0.5pt"/>
                <v:imagedata o:title=""/>
                <o:lock v:ext="edit" aspectratio="f"/>
                <v:textbox>
                  <w:txbxContent>
                    <w:p w14:paraId="3B42B1DC">
                      <w:pPr>
                        <w:rPr>
                          <w:rFonts w:hint="eastAsia" w:eastAsia="宋体"/>
                          <w:b/>
                          <w:bCs/>
                          <w:sz w:val="18"/>
                          <w:szCs w:val="18"/>
                          <w:lang w:eastAsia="zh-CN"/>
                        </w:rPr>
                      </w:pPr>
                      <w:r>
                        <w:rPr>
                          <w:rFonts w:hint="eastAsia"/>
                          <w:b/>
                          <w:bCs/>
                          <w:sz w:val="18"/>
                          <w:szCs w:val="18"/>
                          <w:lang w:eastAsia="zh-CN"/>
                        </w:rPr>
                        <w:t>院区边界（大楼）</w:t>
                      </w:r>
                    </w:p>
                  </w:txbxContent>
                </v:textbox>
              </v:shape>
            </w:pict>
          </mc:Fallback>
        </mc:AlternateContent>
      </w:r>
      <w:r>
        <w:rPr>
          <w:color w:val="auto"/>
          <w:sz w:val="24"/>
          <w:highlight w:val="none"/>
        </w:rPr>
        <mc:AlternateContent>
          <mc:Choice Requires="wps">
            <w:drawing>
              <wp:anchor distT="0" distB="0" distL="114300" distR="114300" simplePos="0" relativeHeight="251670528" behindDoc="0" locked="0" layoutInCell="1" allowOverlap="1">
                <wp:simplePos x="0" y="0"/>
                <wp:positionH relativeFrom="column">
                  <wp:posOffset>4616450</wp:posOffset>
                </wp:positionH>
                <wp:positionV relativeFrom="paragraph">
                  <wp:posOffset>150495</wp:posOffset>
                </wp:positionV>
                <wp:extent cx="1022350" cy="304165"/>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022350"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A025D0">
                            <w:pPr>
                              <w:rPr>
                                <w:rFonts w:hint="eastAsia" w:eastAsia="宋体"/>
                                <w:b/>
                                <w:bCs/>
                                <w:sz w:val="18"/>
                                <w:szCs w:val="18"/>
                                <w:lang w:eastAsia="zh-CN"/>
                              </w:rPr>
                            </w:pPr>
                            <w:r>
                              <w:rPr>
                                <w:rFonts w:hint="eastAsia"/>
                                <w:b/>
                                <w:bCs/>
                                <w:sz w:val="18"/>
                                <w:szCs w:val="18"/>
                                <w:lang w:eastAsia="zh-CN"/>
                              </w:rPr>
                              <w:t>依托小区化粪池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3.5pt;margin-top:11.85pt;height:23.95pt;width:80.5pt;z-index:251670528;mso-width-relative:page;mso-height-relative:page;" filled="f" stroked="f" coordsize="21600,21600" o:gfxdata="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NryC9LZAAAACQEAAA8AAAAAAAAAAQAgAAAAIgAAAGRycy9k&#10;b3ducmV2LnhtbFBLAQIUABQAAAAIAIdO4kBusJcwOgIAAGgEAAAOAAAAAAAAAAEAIAAAACgBAABk&#10;cnMvZTJvRG9jLnhtbFBLBQYAAAAABgAGAFkBAADUBQAAAAA=&#10;">
                <v:fill on="f" focussize="0,0"/>
                <v:stroke on="f" weight="0.5pt"/>
                <v:imagedata o:title=""/>
                <o:lock v:ext="edit" aspectratio="f"/>
                <v:textbox>
                  <w:txbxContent>
                    <w:p w14:paraId="20A025D0">
                      <w:pPr>
                        <w:rPr>
                          <w:rFonts w:hint="eastAsia" w:eastAsia="宋体"/>
                          <w:b/>
                          <w:bCs/>
                          <w:sz w:val="18"/>
                          <w:szCs w:val="18"/>
                          <w:lang w:eastAsia="zh-CN"/>
                        </w:rPr>
                      </w:pPr>
                      <w:r>
                        <w:rPr>
                          <w:rFonts w:hint="eastAsia"/>
                          <w:b/>
                          <w:bCs/>
                          <w:sz w:val="18"/>
                          <w:szCs w:val="18"/>
                          <w:lang w:eastAsia="zh-CN"/>
                        </w:rPr>
                        <w:t>依托小区化粪池</w:t>
                      </w:r>
                    </w:p>
                  </w:txbxContent>
                </v:textbox>
              </v:shape>
            </w:pict>
          </mc:Fallback>
        </mc:AlternateContent>
      </w:r>
    </w:p>
    <w:p w14:paraId="11399F95">
      <w:pPr>
        <w:tabs>
          <w:tab w:val="left" w:pos="3263"/>
        </w:tabs>
        <w:jc w:val="center"/>
        <w:rPr>
          <w:rFonts w:hint="eastAsia"/>
          <w:b/>
          <w:bCs/>
          <w:color w:val="auto"/>
          <w:sz w:val="24"/>
          <w:szCs w:val="24"/>
          <w:highlight w:val="none"/>
          <w:lang w:val="en-US" w:eastAsia="zh-CN"/>
        </w:rPr>
      </w:pPr>
      <w:r>
        <w:rPr>
          <w:color w:val="auto"/>
          <w:sz w:val="24"/>
          <w:highlight w:val="none"/>
        </w:rPr>
        <mc:AlternateContent>
          <mc:Choice Requires="wps">
            <w:drawing>
              <wp:anchor distT="0" distB="0" distL="114300" distR="114300" simplePos="0" relativeHeight="251689984" behindDoc="0" locked="0" layoutInCell="1" allowOverlap="1">
                <wp:simplePos x="0" y="0"/>
                <wp:positionH relativeFrom="column">
                  <wp:posOffset>5238750</wp:posOffset>
                </wp:positionH>
                <wp:positionV relativeFrom="paragraph">
                  <wp:posOffset>182880</wp:posOffset>
                </wp:positionV>
                <wp:extent cx="139065" cy="134620"/>
                <wp:effectExtent l="3175" t="3175" r="10160" b="14605"/>
                <wp:wrapNone/>
                <wp:docPr id="78" name="直接连接符 78"/>
                <wp:cNvGraphicFramePr/>
                <a:graphic xmlns:a="http://schemas.openxmlformats.org/drawingml/2006/main">
                  <a:graphicData uri="http://schemas.microsoft.com/office/word/2010/wordprocessingShape">
                    <wps:wsp>
                      <wps:cNvCnPr/>
                      <wps:spPr>
                        <a:xfrm flipH="1" flipV="1">
                          <a:off x="5826760" y="2992120"/>
                          <a:ext cx="139065" cy="134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412.5pt;margin-top:14.4pt;height:10.6pt;width:10.95pt;z-index:251689984;mso-width-relative:page;mso-height-relative:page;" filled="f" stroked="t" coordsize="21600,21600" o:gfxdata="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b8u+JNkAAAAJAQAADwAAAAAAAAABACAAAAAiAAAAZHJz&#10;L2Rvd25yZXYueG1sUEsBAhQAFAAAAAgAh07iQAoCWJwDAgAA1wMAAA4AAAAAAAAAAQAgAAAAKAEA&#10;AGRycy9lMm9Eb2MueG1sUEsFBgAAAAAGAAYAWQEAAJ0FAAAAAA==&#10;">
                <v:fill on="f" focussize="0,0"/>
                <v:stroke weight="0.5pt" color="#000000 [3213]" miterlimit="8" joinstyle="miter"/>
                <v:imagedata o:title=""/>
                <o:lock v:ext="edit" aspectratio="f"/>
              </v:line>
            </w:pict>
          </mc:Fallback>
        </mc:AlternateContent>
      </w:r>
      <w:r>
        <w:rPr>
          <w:color w:val="auto"/>
          <w:sz w:val="24"/>
          <w:highlight w:val="none"/>
        </w:rPr>
        <mc:AlternateContent>
          <mc:Choice Requires="wps">
            <w:drawing>
              <wp:anchor distT="0" distB="0" distL="114300" distR="114300" simplePos="0" relativeHeight="251672576" behindDoc="0" locked="0" layoutInCell="1" allowOverlap="1">
                <wp:simplePos x="0" y="0"/>
                <wp:positionH relativeFrom="column">
                  <wp:posOffset>601980</wp:posOffset>
                </wp:positionH>
                <wp:positionV relativeFrom="paragraph">
                  <wp:posOffset>148590</wp:posOffset>
                </wp:positionV>
                <wp:extent cx="206375" cy="246380"/>
                <wp:effectExtent l="3810" t="3175" r="18415" b="17145"/>
                <wp:wrapNone/>
                <wp:docPr id="137" name="直接连接符 137"/>
                <wp:cNvGraphicFramePr/>
                <a:graphic xmlns:a="http://schemas.openxmlformats.org/drawingml/2006/main">
                  <a:graphicData uri="http://schemas.microsoft.com/office/word/2010/wordprocessingShape">
                    <wps:wsp>
                      <wps:cNvCnPr/>
                      <wps:spPr>
                        <a:xfrm flipH="1" flipV="1">
                          <a:off x="2602865" y="3179445"/>
                          <a:ext cx="206375" cy="2463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47.4pt;margin-top:11.7pt;height:19.4pt;width:16.25pt;z-index:251672576;mso-width-relative:page;mso-height-relative:page;" filled="f" stroked="t" coordsize="21600,21600" o:gfxdata="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S+69NgAAAAIAQAADwAAAAAAAAABACAAAAAiAAAAZHJz&#10;L2Rvd25yZXYueG1sUEsBAhQAFAAAAAgAh07iQKJ3Tp4EAgAA2QMAAA4AAAAAAAAAAQAgAAAAJwEA&#10;AGRycy9lMm9Eb2MueG1sUEsFBgAAAAAGAAYAWQEAAJ0FAAAAAA==&#10;">
                <v:fill on="f" focussize="0,0"/>
                <v:stroke weight="0.5pt" color="#000000 [3213]" miterlimit="8" joinstyle="miter"/>
                <v:imagedata o:title=""/>
                <o:lock v:ext="edit" aspectratio="f"/>
              </v:line>
            </w:pict>
          </mc:Fallback>
        </mc:AlternateContent>
      </w:r>
    </w:p>
    <w:p w14:paraId="5BA33474">
      <w:pPr>
        <w:tabs>
          <w:tab w:val="left" w:pos="3263"/>
        </w:tabs>
        <w:jc w:val="center"/>
        <w:rPr>
          <w:rFonts w:hint="eastAsia"/>
          <w:b/>
          <w:bCs/>
          <w:color w:val="auto"/>
          <w:sz w:val="24"/>
          <w:szCs w:val="24"/>
          <w:highlight w:val="none"/>
          <w:lang w:val="en-US" w:eastAsia="zh-CN"/>
        </w:rPr>
      </w:pPr>
      <w:r>
        <w:rPr>
          <w:color w:val="auto"/>
          <w:sz w:val="24"/>
          <w:highlight w:val="none"/>
        </w:rPr>
        <mc:AlternateContent>
          <mc:Choice Requires="wps">
            <w:drawing>
              <wp:anchor distT="0" distB="0" distL="114300" distR="114300" simplePos="0" relativeHeight="251688960" behindDoc="0" locked="0" layoutInCell="1" allowOverlap="1">
                <wp:simplePos x="0" y="0"/>
                <wp:positionH relativeFrom="column">
                  <wp:posOffset>5234940</wp:posOffset>
                </wp:positionH>
                <wp:positionV relativeFrom="paragraph">
                  <wp:posOffset>118745</wp:posOffset>
                </wp:positionV>
                <wp:extent cx="349250" cy="309245"/>
                <wp:effectExtent l="6350" t="6350" r="6350" b="8255"/>
                <wp:wrapNone/>
                <wp:docPr id="74" name="矩形 74"/>
                <wp:cNvGraphicFramePr/>
                <a:graphic xmlns:a="http://schemas.openxmlformats.org/drawingml/2006/main">
                  <a:graphicData uri="http://schemas.microsoft.com/office/word/2010/wordprocessingShape">
                    <wps:wsp>
                      <wps:cNvSpPr/>
                      <wps:spPr>
                        <a:xfrm>
                          <a:off x="5822950" y="3111500"/>
                          <a:ext cx="349250" cy="3092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12.2pt;margin-top:9.35pt;height:24.35pt;width:27.5pt;z-index:251688960;v-text-anchor:middle;mso-width-relative:page;mso-height-relative:page;" filled="f" stroked="t" coordsize="21600,21600" o:gfxdata="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PWPMJrYAAAACQEAAA8AAAAAAAAAAQAgAAAAIgAAAGRycy9k&#10;b3ducmV2LnhtbFBLAQIUABQAAAAIAIdO4kAgG/j8dAIAANgEAAAOAAAAAAAAAAEAIAAAACcBAABk&#10;cnMvZTJvRG9jLnhtbFBLBQYAAAAABgAGAFkBAAANBgAAAAA=&#10;">
                <v:fill on="f" focussize="0,0"/>
                <v:stroke weight="1pt" color="#000000 [3213]" miterlimit="8" joinstyle="miter"/>
                <v:imagedata o:title=""/>
                <o:lock v:ext="edit" aspectratio="f"/>
              </v:rect>
            </w:pict>
          </mc:Fallback>
        </mc:AlternateContent>
      </w:r>
    </w:p>
    <w:p w14:paraId="0518B59C">
      <w:pPr>
        <w:tabs>
          <w:tab w:val="left" w:pos="3263"/>
        </w:tabs>
        <w:jc w:val="center"/>
        <w:rPr>
          <w:rFonts w:hint="eastAsia"/>
          <w:b/>
          <w:bCs/>
          <w:color w:val="auto"/>
          <w:sz w:val="24"/>
          <w:szCs w:val="24"/>
          <w:highlight w:val="none"/>
          <w:lang w:val="en-US" w:eastAsia="zh-CN"/>
        </w:rPr>
      </w:pPr>
    </w:p>
    <w:p w14:paraId="6B72C1B8">
      <w:pPr>
        <w:tabs>
          <w:tab w:val="left" w:pos="3263"/>
        </w:tabs>
        <w:jc w:val="center"/>
        <w:rPr>
          <w:rFonts w:hint="eastAsia"/>
          <w:b/>
          <w:bCs/>
          <w:color w:val="auto"/>
          <w:sz w:val="24"/>
          <w:szCs w:val="24"/>
          <w:highlight w:val="none"/>
          <w:lang w:val="en-US" w:eastAsia="zh-CN"/>
        </w:rPr>
      </w:pPr>
    </w:p>
    <w:p w14:paraId="5BD6373E">
      <w:pPr>
        <w:tabs>
          <w:tab w:val="left" w:pos="3263"/>
        </w:tabs>
        <w:jc w:val="center"/>
        <w:rPr>
          <w:rFonts w:hint="eastAsia"/>
          <w:b/>
          <w:bCs/>
          <w:color w:val="auto"/>
          <w:sz w:val="24"/>
          <w:szCs w:val="24"/>
          <w:highlight w:val="none"/>
          <w:lang w:val="en-US" w:eastAsia="zh-CN"/>
        </w:rPr>
      </w:pPr>
      <w:r>
        <w:rPr>
          <w:color w:val="auto"/>
          <w:sz w:val="24"/>
          <w:highlight w:val="none"/>
        </w:rPr>
        <mc:AlternateContent>
          <mc:Choice Requires="wps">
            <w:drawing>
              <wp:anchor distT="0" distB="0" distL="114300" distR="114300" simplePos="0" relativeHeight="251738112" behindDoc="0" locked="0" layoutInCell="1" allowOverlap="1">
                <wp:simplePos x="0" y="0"/>
                <wp:positionH relativeFrom="column">
                  <wp:posOffset>1890395</wp:posOffset>
                </wp:positionH>
                <wp:positionV relativeFrom="paragraph">
                  <wp:posOffset>147955</wp:posOffset>
                </wp:positionV>
                <wp:extent cx="1134110" cy="304165"/>
                <wp:effectExtent l="0" t="0" r="0" b="0"/>
                <wp:wrapNone/>
                <wp:docPr id="321" name="文本框 321"/>
                <wp:cNvGraphicFramePr/>
                <a:graphic xmlns:a="http://schemas.openxmlformats.org/drawingml/2006/main">
                  <a:graphicData uri="http://schemas.microsoft.com/office/word/2010/wordprocessingShape">
                    <wps:wsp>
                      <wps:cNvSpPr txBox="1"/>
                      <wps:spPr>
                        <a:xfrm>
                          <a:off x="0" y="0"/>
                          <a:ext cx="1134110"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4CC4B">
                            <w:pPr>
                              <w:rPr>
                                <w:rFonts w:hint="eastAsia" w:eastAsia="宋体"/>
                                <w:b/>
                                <w:bCs/>
                                <w:sz w:val="18"/>
                                <w:szCs w:val="18"/>
                                <w:lang w:eastAsia="zh-CN"/>
                              </w:rPr>
                            </w:pPr>
                            <w:r>
                              <w:rPr>
                                <w:rFonts w:hint="eastAsia"/>
                                <w:b/>
                                <w:bCs/>
                                <w:sz w:val="18"/>
                                <w:szCs w:val="18"/>
                                <w:lang w:eastAsia="zh-CN"/>
                              </w:rPr>
                              <w:t>医废暂存间</w:t>
                            </w:r>
                            <w:r>
                              <w:rPr>
                                <w:rFonts w:hint="eastAsia"/>
                                <w:b/>
                                <w:bCs/>
                                <w:color w:val="FF0000"/>
                                <w:sz w:val="18"/>
                                <w:szCs w:val="18"/>
                                <w:lang w:eastAsia="zh-CN"/>
                              </w:rPr>
                              <w:t>（</w:t>
                            </w:r>
                            <w:r>
                              <w:rPr>
                                <w:rFonts w:hint="eastAsia"/>
                                <w:b/>
                                <w:bCs/>
                                <w:color w:val="auto"/>
                                <w:sz w:val="18"/>
                                <w:szCs w:val="18"/>
                                <w:lang w:eastAsia="zh-CN"/>
                              </w:rPr>
                              <w:t>四层</w:t>
                            </w:r>
                            <w:r>
                              <w:rPr>
                                <w:rFonts w:hint="eastAsia"/>
                                <w:b/>
                                <w:bCs/>
                                <w:color w:val="FF0000"/>
                                <w:sz w:val="18"/>
                                <w:szCs w:val="18"/>
                                <w:lang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8.85pt;margin-top:11.65pt;height:23.95pt;width:89.3pt;z-index:251738112;mso-width-relative:page;mso-height-relative:page;" filled="f" stroked="f" coordsize="21600,21600" o:gfxdata="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MXHOyTaAAAACQEAAA8AAAAAAAAAAQAgAAAAIgAAAGRy&#10;cy9kb3ducmV2LnhtbFBLAQIUABQAAAAIAIdO4kCljjImPAIAAGoEAAAOAAAAAAAAAAEAIAAAACkB&#10;AABkcnMvZTJvRG9jLnhtbFBLBQYAAAAABgAGAFkBAADXBQAAAAA=&#10;">
                <v:fill on="f" focussize="0,0"/>
                <v:stroke on="f" weight="0.5pt"/>
                <v:imagedata o:title=""/>
                <o:lock v:ext="edit" aspectratio="f"/>
                <v:textbox>
                  <w:txbxContent>
                    <w:p w14:paraId="5004CC4B">
                      <w:pPr>
                        <w:rPr>
                          <w:rFonts w:hint="eastAsia" w:eastAsia="宋体"/>
                          <w:b/>
                          <w:bCs/>
                          <w:sz w:val="18"/>
                          <w:szCs w:val="18"/>
                          <w:lang w:eastAsia="zh-CN"/>
                        </w:rPr>
                      </w:pPr>
                      <w:r>
                        <w:rPr>
                          <w:rFonts w:hint="eastAsia"/>
                          <w:b/>
                          <w:bCs/>
                          <w:sz w:val="18"/>
                          <w:szCs w:val="18"/>
                          <w:lang w:eastAsia="zh-CN"/>
                        </w:rPr>
                        <w:t>医废暂存间</w:t>
                      </w:r>
                      <w:r>
                        <w:rPr>
                          <w:rFonts w:hint="eastAsia"/>
                          <w:b/>
                          <w:bCs/>
                          <w:color w:val="FF0000"/>
                          <w:sz w:val="18"/>
                          <w:szCs w:val="18"/>
                          <w:lang w:eastAsia="zh-CN"/>
                        </w:rPr>
                        <w:t>（</w:t>
                      </w:r>
                      <w:r>
                        <w:rPr>
                          <w:rFonts w:hint="eastAsia"/>
                          <w:b/>
                          <w:bCs/>
                          <w:color w:val="auto"/>
                          <w:sz w:val="18"/>
                          <w:szCs w:val="18"/>
                          <w:lang w:eastAsia="zh-CN"/>
                        </w:rPr>
                        <w:t>四层</w:t>
                      </w:r>
                      <w:r>
                        <w:rPr>
                          <w:rFonts w:hint="eastAsia"/>
                          <w:b/>
                          <w:bCs/>
                          <w:color w:val="FF0000"/>
                          <w:sz w:val="18"/>
                          <w:szCs w:val="18"/>
                          <w:lang w:eastAsia="zh-CN"/>
                        </w:rPr>
                        <w:t>）</w:t>
                      </w:r>
                    </w:p>
                  </w:txbxContent>
                </v:textbox>
              </v:shape>
            </w:pict>
          </mc:Fallback>
        </mc:AlternateContent>
      </w:r>
    </w:p>
    <w:p w14:paraId="29B59FBB">
      <w:pPr>
        <w:tabs>
          <w:tab w:val="left" w:pos="3263"/>
        </w:tabs>
        <w:jc w:val="center"/>
        <w:rPr>
          <w:rFonts w:hint="eastAsia"/>
          <w:b/>
          <w:bCs/>
          <w:color w:val="auto"/>
          <w:sz w:val="24"/>
          <w:szCs w:val="24"/>
          <w:highlight w:val="none"/>
          <w:lang w:val="en-US" w:eastAsia="zh-CN"/>
        </w:rPr>
      </w:pPr>
      <w:r>
        <w:rPr>
          <w:color w:val="auto"/>
          <w:sz w:val="24"/>
          <w:highlight w:val="none"/>
        </w:rPr>
        <mc:AlternateContent>
          <mc:Choice Requires="wps">
            <w:drawing>
              <wp:anchor distT="0" distB="0" distL="114300" distR="114300" simplePos="0" relativeHeight="251742208" behindDoc="0" locked="0" layoutInCell="1" allowOverlap="1">
                <wp:simplePos x="0" y="0"/>
                <wp:positionH relativeFrom="column">
                  <wp:posOffset>2368550</wp:posOffset>
                </wp:positionH>
                <wp:positionV relativeFrom="paragraph">
                  <wp:posOffset>166370</wp:posOffset>
                </wp:positionV>
                <wp:extent cx="116205" cy="272415"/>
                <wp:effectExtent l="4445" t="1905" r="12700" b="11430"/>
                <wp:wrapNone/>
                <wp:docPr id="119" name="直接连接符 119"/>
                <wp:cNvGraphicFramePr/>
                <a:graphic xmlns:a="http://schemas.openxmlformats.org/drawingml/2006/main">
                  <a:graphicData uri="http://schemas.microsoft.com/office/word/2010/wordprocessingShape">
                    <wps:wsp>
                      <wps:cNvCnPr>
                        <a:stCxn id="97" idx="1"/>
                      </wps:cNvCnPr>
                      <wps:spPr>
                        <a:xfrm flipH="1" flipV="1">
                          <a:off x="4428490" y="3981450"/>
                          <a:ext cx="116205" cy="2724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186.5pt;margin-top:13.1pt;height:21.45pt;width:9.15pt;z-index:251742208;mso-width-relative:page;mso-height-relative:page;" filled="f" stroked="t" coordsize="21600,21600" o:gfxdata="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vyBtkAAAAJAQAADwAAAAAA&#10;AAABACAAAAAiAAAAZHJzL2Rvd25yZXYueG1sUEsBAhQAFAAAAAgAh07iQMkOJ+oSAgAAAAQAAA4A&#10;AAAAAAAAAQAgAAAAKAEAAGRycy9lMm9Eb2MueG1sUEsFBgAAAAAGAAYAWQEAAKwFAAAAAA==&#10;">
                <v:fill on="f" focussize="0,0"/>
                <v:stroke weight="0.5pt" color="#000000 [3213]" miterlimit="8" joinstyle="miter"/>
                <v:imagedata o:title=""/>
                <o:lock v:ext="edit" aspectratio="f"/>
              </v:line>
            </w:pict>
          </mc:Fallback>
        </mc:AlternateContent>
      </w:r>
    </w:p>
    <w:p w14:paraId="01CE3DDD">
      <w:pPr>
        <w:tabs>
          <w:tab w:val="left" w:pos="3263"/>
        </w:tabs>
        <w:jc w:val="center"/>
        <w:rPr>
          <w:rFonts w:hint="eastAsia"/>
          <w:b/>
          <w:bCs/>
          <w:color w:val="auto"/>
          <w:sz w:val="24"/>
          <w:szCs w:val="24"/>
          <w:highlight w:val="none"/>
          <w:lang w:val="en-US" w:eastAsia="zh-CN"/>
        </w:rPr>
      </w:pPr>
      <w:r>
        <w:rPr>
          <w:color w:val="auto"/>
          <w:sz w:val="24"/>
          <w:highlight w:val="none"/>
        </w:rPr>
        <mc:AlternateContent>
          <mc:Choice Requires="wps">
            <w:drawing>
              <wp:anchor distT="0" distB="0" distL="114300" distR="114300" simplePos="0" relativeHeight="251663360" behindDoc="0" locked="0" layoutInCell="1" allowOverlap="1">
                <wp:simplePos x="0" y="0"/>
                <wp:positionH relativeFrom="column">
                  <wp:posOffset>3254375</wp:posOffset>
                </wp:positionH>
                <wp:positionV relativeFrom="paragraph">
                  <wp:posOffset>26035</wp:posOffset>
                </wp:positionV>
                <wp:extent cx="1022350" cy="304165"/>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022350"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EE2007">
                            <w:pPr>
                              <w:rPr>
                                <w:rFonts w:hint="eastAsia" w:eastAsia="宋体"/>
                                <w:b/>
                                <w:bCs/>
                                <w:sz w:val="18"/>
                                <w:szCs w:val="18"/>
                                <w:lang w:eastAsia="zh-CN"/>
                              </w:rPr>
                            </w:pPr>
                            <w:r>
                              <w:rPr>
                                <w:rFonts w:hint="eastAsia"/>
                                <w:b/>
                                <w:bCs/>
                                <w:sz w:val="18"/>
                                <w:szCs w:val="18"/>
                                <w:lang w:eastAsia="zh-CN"/>
                              </w:rPr>
                              <w:t>生活污水排放口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6.25pt;margin-top:2.05pt;height:23.95pt;width:80.5pt;z-index:251663360;mso-width-relative:page;mso-height-relative:page;" filled="f" stroked="f" coordsize="21600,21600" o:gfxdata="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63VytgAAAAIAQAADwAAAAAAAAABACAAAAAiAAAAZHJzL2Rv&#10;d25yZXYueG1sUEsBAhQAFAAAAAgAh07iQPqwqNg6AgAAaAQAAA4AAAAAAAAAAQAgAAAAJwEAAGRy&#10;cy9lMm9Eb2MueG1sUEsFBgAAAAAGAAYAWQEAANMFAAAAAA==&#10;">
                <v:fill on="f" focussize="0,0"/>
                <v:stroke on="f" weight="0.5pt"/>
                <v:imagedata o:title=""/>
                <o:lock v:ext="edit" aspectratio="f"/>
                <v:textbox>
                  <w:txbxContent>
                    <w:p w14:paraId="39EE2007">
                      <w:pPr>
                        <w:rPr>
                          <w:rFonts w:hint="eastAsia" w:eastAsia="宋体"/>
                          <w:b/>
                          <w:bCs/>
                          <w:sz w:val="18"/>
                          <w:szCs w:val="18"/>
                          <w:lang w:eastAsia="zh-CN"/>
                        </w:rPr>
                      </w:pPr>
                      <w:r>
                        <w:rPr>
                          <w:rFonts w:hint="eastAsia"/>
                          <w:b/>
                          <w:bCs/>
                          <w:sz w:val="18"/>
                          <w:szCs w:val="18"/>
                          <w:lang w:eastAsia="zh-CN"/>
                        </w:rPr>
                        <w:t>生活污水排放口</w:t>
                      </w:r>
                    </w:p>
                  </w:txbxContent>
                </v:textbox>
              </v:shape>
            </w:pict>
          </mc:Fallback>
        </mc:AlternateContent>
      </w:r>
    </w:p>
    <w:p w14:paraId="3364E156">
      <w:pPr>
        <w:tabs>
          <w:tab w:val="left" w:pos="3263"/>
        </w:tabs>
        <w:jc w:val="center"/>
        <w:rPr>
          <w:rFonts w:hint="eastAsia"/>
          <w:b/>
          <w:bCs/>
          <w:color w:val="auto"/>
          <w:sz w:val="24"/>
          <w:szCs w:val="24"/>
          <w:highlight w:val="none"/>
          <w:lang w:val="en-US" w:eastAsia="zh-CN"/>
        </w:rPr>
      </w:pPr>
      <w:r>
        <w:rPr>
          <w:color w:val="auto"/>
          <w:sz w:val="24"/>
          <w:highlight w:val="none"/>
        </w:rPr>
        <mc:AlternateContent>
          <mc:Choice Requires="wps">
            <w:drawing>
              <wp:anchor distT="0" distB="0" distL="114300" distR="114300" simplePos="0" relativeHeight="251681792" behindDoc="0" locked="0" layoutInCell="1" allowOverlap="1">
                <wp:simplePos x="0" y="0"/>
                <wp:positionH relativeFrom="column">
                  <wp:posOffset>3543935</wp:posOffset>
                </wp:positionH>
                <wp:positionV relativeFrom="paragraph">
                  <wp:posOffset>55245</wp:posOffset>
                </wp:positionV>
                <wp:extent cx="54610" cy="154940"/>
                <wp:effectExtent l="4445" t="1270" r="17145" b="15240"/>
                <wp:wrapNone/>
                <wp:docPr id="87" name="直接连接符 87"/>
                <wp:cNvGraphicFramePr/>
                <a:graphic xmlns:a="http://schemas.openxmlformats.org/drawingml/2006/main">
                  <a:graphicData uri="http://schemas.microsoft.com/office/word/2010/wordprocessingShape">
                    <wps:wsp>
                      <wps:cNvCnPr/>
                      <wps:spPr>
                        <a:xfrm>
                          <a:off x="0" y="0"/>
                          <a:ext cx="54610" cy="1549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79.05pt;margin-top:4.35pt;height:12.2pt;width:4.3pt;z-index:251681792;mso-width-relative:page;mso-height-relative:page;" filled="f" stroked="t" coordsize="21600,21600" o:gfxdata="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4ImDtdcA&#10;AAAIAQAADwAAAAAAAAABACAAAAAiAAAAZHJzL2Rvd25yZXYueG1sUEsBAhQAFAAAAAgAh07iQGCK&#10;tvHnAQAAtgMAAA4AAAAAAAAAAQAgAAAAJgEAAGRycy9lMm9Eb2MueG1sUEsFBgAAAAAGAAYAWQEA&#10;AH8FAAAAAA==&#10;">
                <v:fill on="f" focussize="0,0"/>
                <v:stroke weight="0.5pt" color="#000000 [3213]" miterlimit="8" joinstyle="miter"/>
                <v:imagedata o:title=""/>
                <o:lock v:ext="edit" aspectratio="f"/>
              </v:line>
            </w:pict>
          </mc:Fallback>
        </mc:AlternateContent>
      </w:r>
    </w:p>
    <w:p w14:paraId="6D465E83">
      <w:pPr>
        <w:tabs>
          <w:tab w:val="left" w:pos="3263"/>
        </w:tabs>
        <w:jc w:val="center"/>
        <w:rPr>
          <w:rFonts w:hint="eastAsia"/>
          <w:b/>
          <w:bCs/>
          <w:color w:val="auto"/>
          <w:sz w:val="24"/>
          <w:szCs w:val="24"/>
          <w:highlight w:val="none"/>
          <w:lang w:val="en-US" w:eastAsia="zh-CN"/>
        </w:rPr>
      </w:pPr>
      <w:r>
        <w:rPr>
          <w:color w:val="auto"/>
          <w:sz w:val="24"/>
          <w:highlight w:val="none"/>
        </w:rPr>
        <mc:AlternateContent>
          <mc:Choice Requires="wps">
            <w:drawing>
              <wp:anchor distT="0" distB="0" distL="114300" distR="114300" simplePos="0" relativeHeight="251680768" behindDoc="0" locked="0" layoutInCell="1" allowOverlap="1">
                <wp:simplePos x="0" y="0"/>
                <wp:positionH relativeFrom="column">
                  <wp:posOffset>3577590</wp:posOffset>
                </wp:positionH>
                <wp:positionV relativeFrom="paragraph">
                  <wp:posOffset>7620</wp:posOffset>
                </wp:positionV>
                <wp:extent cx="71755" cy="71755"/>
                <wp:effectExtent l="6350" t="6350" r="17145" b="17145"/>
                <wp:wrapNone/>
                <wp:docPr id="85" name="椭圆 85"/>
                <wp:cNvGraphicFramePr/>
                <a:graphic xmlns:a="http://schemas.openxmlformats.org/drawingml/2006/main">
                  <a:graphicData uri="http://schemas.microsoft.com/office/word/2010/wordprocessingShape">
                    <wps:wsp>
                      <wps:cNvSpPr/>
                      <wps:spPr>
                        <a:xfrm>
                          <a:off x="0" y="0"/>
                          <a:ext cx="71755" cy="7175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81.7pt;margin-top:0.6pt;height:5.65pt;width:5.65pt;z-index:251680768;v-text-anchor:middle;mso-width-relative:page;mso-height-relative:page;" filled="f" stroked="t" coordsize="21600,21600" o:gfxdata="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mlVm8tUAAAAIAQAADwAAAAAAAAABACAAAAAiAAAAZHJzL2Rvd25yZXYueG1sUEsBAhQAFAAA&#10;AAgAh07iQFw1raNkAgAAzQQAAA4AAAAAAAAAAQAgAAAAJAEAAGRycy9lMm9Eb2MueG1sUEsFBgAA&#10;AAAGAAYAWQEAAPoFAAAAAA==&#10;">
                <v:fill on="f" focussize="0,0"/>
                <v:stroke weight="1pt" color="#000000 [3213]" miterlimit="8" joinstyle="miter"/>
                <v:imagedata o:title=""/>
                <o:lock v:ext="edit" aspectratio="f"/>
              </v:shape>
            </w:pict>
          </mc:Fallback>
        </mc:AlternateContent>
      </w:r>
    </w:p>
    <w:p w14:paraId="107C3730">
      <w:pPr>
        <w:tabs>
          <w:tab w:val="left" w:pos="3263"/>
        </w:tabs>
        <w:jc w:val="center"/>
        <w:rPr>
          <w:rFonts w:hint="eastAsia"/>
          <w:b/>
          <w:bCs/>
          <w:color w:val="auto"/>
          <w:sz w:val="24"/>
          <w:szCs w:val="24"/>
          <w:highlight w:val="none"/>
          <w:lang w:val="en-US" w:eastAsia="zh-CN"/>
        </w:rPr>
      </w:pPr>
    </w:p>
    <w:p w14:paraId="21C3A54B">
      <w:pPr>
        <w:tabs>
          <w:tab w:val="left" w:pos="3263"/>
        </w:tabs>
        <w:jc w:val="center"/>
        <w:rPr>
          <w:rFonts w:hint="eastAsia"/>
          <w:b/>
          <w:bCs/>
          <w:color w:val="auto"/>
          <w:sz w:val="24"/>
          <w:szCs w:val="24"/>
          <w:highlight w:val="none"/>
          <w:lang w:val="en-US" w:eastAsia="zh-CN"/>
        </w:rPr>
      </w:pPr>
    </w:p>
    <w:p w14:paraId="6DA0BC43">
      <w:pPr>
        <w:tabs>
          <w:tab w:val="left" w:pos="3263"/>
        </w:tabs>
        <w:jc w:val="center"/>
        <w:rPr>
          <w:rFonts w:hint="eastAsia"/>
          <w:b/>
          <w:bCs/>
          <w:color w:val="auto"/>
          <w:sz w:val="24"/>
          <w:szCs w:val="24"/>
          <w:highlight w:val="none"/>
          <w:lang w:val="en-US" w:eastAsia="zh-CN"/>
        </w:rPr>
      </w:pPr>
      <w:r>
        <w:rPr>
          <w:color w:val="auto"/>
          <w:sz w:val="24"/>
          <w:highlight w:val="none"/>
        </w:rPr>
        <mc:AlternateContent>
          <mc:Choice Requires="wps">
            <w:drawing>
              <wp:anchor distT="0" distB="0" distL="114300" distR="114300" simplePos="0" relativeHeight="251728896" behindDoc="0" locked="0" layoutInCell="1" allowOverlap="1">
                <wp:simplePos x="0" y="0"/>
                <wp:positionH relativeFrom="column">
                  <wp:posOffset>3434715</wp:posOffset>
                </wp:positionH>
                <wp:positionV relativeFrom="paragraph">
                  <wp:posOffset>109855</wp:posOffset>
                </wp:positionV>
                <wp:extent cx="911860" cy="304165"/>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911860"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EE4C1">
                            <w:pPr>
                              <w:rPr>
                                <w:rFonts w:hint="eastAsia" w:eastAsia="宋体"/>
                                <w:b/>
                                <w:bCs/>
                                <w:sz w:val="18"/>
                                <w:szCs w:val="18"/>
                                <w:lang w:eastAsia="zh-CN"/>
                              </w:rPr>
                            </w:pPr>
                            <w:r>
                              <w:rPr>
                                <w:rFonts w:hint="eastAsia"/>
                                <w:b/>
                                <w:bCs/>
                                <w:sz w:val="18"/>
                                <w:szCs w:val="18"/>
                                <w:lang w:eastAsia="zh-CN"/>
                              </w:rPr>
                              <w:t>事故池（三层）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45pt;margin-top:8.65pt;height:23.95pt;width:71.8pt;z-index:251728896;mso-width-relative:page;mso-height-relative:page;" filled="f" stroked="f" coordsize="21600,21600" o:gfxdata="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&#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3AEDHaAAAACQEAAA8AAAAAAAAAAQAgAAAAIgAAAGRy&#10;cy9kb3ducmV2LnhtbFBLAQIUABQAAAAIAIdO4kAjzIwvPAIAAGkEAAAOAAAAAAAAAAEAIAAAACkB&#10;AABkcnMvZTJvRG9jLnhtbFBLBQYAAAAABgAGAFkBAADXBQAAAAA=&#10;">
                <v:fill on="f" focussize="0,0"/>
                <v:stroke on="f" weight="0.5pt"/>
                <v:imagedata o:title=""/>
                <o:lock v:ext="edit" aspectratio="f"/>
                <v:textbox>
                  <w:txbxContent>
                    <w:p w14:paraId="1F2EE4C1">
                      <w:pPr>
                        <w:rPr>
                          <w:rFonts w:hint="eastAsia" w:eastAsia="宋体"/>
                          <w:b/>
                          <w:bCs/>
                          <w:sz w:val="18"/>
                          <w:szCs w:val="18"/>
                          <w:lang w:eastAsia="zh-CN"/>
                        </w:rPr>
                      </w:pPr>
                      <w:r>
                        <w:rPr>
                          <w:rFonts w:hint="eastAsia"/>
                          <w:b/>
                          <w:bCs/>
                          <w:sz w:val="18"/>
                          <w:szCs w:val="18"/>
                          <w:lang w:eastAsia="zh-CN"/>
                        </w:rPr>
                        <w:t>事故池（三层）</w:t>
                      </w:r>
                    </w:p>
                  </w:txbxContent>
                </v:textbox>
              </v:shape>
            </w:pict>
          </mc:Fallback>
        </mc:AlternateContent>
      </w:r>
      <w:r>
        <w:rPr>
          <w:color w:val="auto"/>
          <w:sz w:val="24"/>
          <w:highlight w:val="none"/>
        </w:rPr>
        <mc:AlternateContent>
          <mc:Choice Requires="wps">
            <w:drawing>
              <wp:anchor distT="0" distB="0" distL="114300" distR="114300" simplePos="0" relativeHeight="251678720" behindDoc="0" locked="0" layoutInCell="1" allowOverlap="1">
                <wp:simplePos x="0" y="0"/>
                <wp:positionH relativeFrom="column">
                  <wp:posOffset>2431415</wp:posOffset>
                </wp:positionH>
                <wp:positionV relativeFrom="paragraph">
                  <wp:posOffset>172085</wp:posOffset>
                </wp:positionV>
                <wp:extent cx="1127125" cy="304165"/>
                <wp:effectExtent l="0" t="0" r="0" b="0"/>
                <wp:wrapNone/>
                <wp:docPr id="120" name="文本框 120"/>
                <wp:cNvGraphicFramePr/>
                <a:graphic xmlns:a="http://schemas.openxmlformats.org/drawingml/2006/main">
                  <a:graphicData uri="http://schemas.microsoft.com/office/word/2010/wordprocessingShape">
                    <wps:wsp>
                      <wps:cNvSpPr txBox="1"/>
                      <wps:spPr>
                        <a:xfrm>
                          <a:off x="0" y="0"/>
                          <a:ext cx="1127125"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81DFEE">
                            <w:pPr>
                              <w:rPr>
                                <w:rFonts w:hint="eastAsia" w:eastAsia="宋体"/>
                                <w:b/>
                                <w:bCs/>
                                <w:sz w:val="18"/>
                                <w:szCs w:val="18"/>
                                <w:lang w:eastAsia="zh-CN"/>
                              </w:rPr>
                            </w:pPr>
                            <w:r>
                              <w:rPr>
                                <w:rFonts w:hint="eastAsia"/>
                                <w:b/>
                                <w:bCs/>
                                <w:sz w:val="18"/>
                                <w:szCs w:val="18"/>
                                <w:lang w:eastAsia="zh-CN"/>
                              </w:rPr>
                              <w:t>污水处理站（三层）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1.45pt;margin-top:13.55pt;height:23.95pt;width:88.75pt;z-index:251678720;mso-width-relative:page;mso-height-relative:page;" filled="f" stroked="f" coordsize="21600,21600" o:gfxdata="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&#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J5oIp2wAAAAkBAAAPAAAAAAAAAAEAIAAAACIAAABk&#10;cnMvZG93bnJldi54bWxQSwECFAAUAAAACACHTuJAHyMl0TwCAABqBAAADgAAAAAAAAABACAAAAAq&#10;AQAAZHJzL2Uyb0RvYy54bWxQSwUGAAAAAAYABgBZAQAA2AUAAAAA&#10;">
                <v:fill on="f" focussize="0,0"/>
                <v:stroke on="f" weight="0.5pt"/>
                <v:imagedata o:title=""/>
                <o:lock v:ext="edit" aspectratio="f"/>
                <v:textbox>
                  <w:txbxContent>
                    <w:p w14:paraId="1181DFEE">
                      <w:pPr>
                        <w:rPr>
                          <w:rFonts w:hint="eastAsia" w:eastAsia="宋体"/>
                          <w:b/>
                          <w:bCs/>
                          <w:sz w:val="18"/>
                          <w:szCs w:val="18"/>
                          <w:lang w:eastAsia="zh-CN"/>
                        </w:rPr>
                      </w:pPr>
                      <w:r>
                        <w:rPr>
                          <w:rFonts w:hint="eastAsia"/>
                          <w:b/>
                          <w:bCs/>
                          <w:sz w:val="18"/>
                          <w:szCs w:val="18"/>
                          <w:lang w:eastAsia="zh-CN"/>
                        </w:rPr>
                        <w:t>污水处理站（三层）</w:t>
                      </w:r>
                    </w:p>
                  </w:txbxContent>
                </v:textbox>
              </v:shape>
            </w:pict>
          </mc:Fallback>
        </mc:AlternateContent>
      </w:r>
    </w:p>
    <w:p w14:paraId="6A1BCC9E">
      <w:pPr>
        <w:tabs>
          <w:tab w:val="left" w:pos="3263"/>
        </w:tabs>
        <w:jc w:val="center"/>
        <w:rPr>
          <w:rFonts w:hint="eastAsia"/>
          <w:b/>
          <w:bCs/>
          <w:color w:val="auto"/>
          <w:sz w:val="24"/>
          <w:szCs w:val="24"/>
          <w:highlight w:val="none"/>
          <w:lang w:val="en-US" w:eastAsia="zh-CN"/>
        </w:rPr>
      </w:pPr>
      <w:r>
        <w:rPr>
          <w:color w:val="auto"/>
          <w:sz w:val="24"/>
          <w:highlight w:val="none"/>
        </w:rPr>
        <mc:AlternateContent>
          <mc:Choice Requires="wps">
            <w:drawing>
              <wp:anchor distT="0" distB="0" distL="114300" distR="114300" simplePos="0" relativeHeight="251732992" behindDoc="0" locked="0" layoutInCell="1" allowOverlap="1">
                <wp:simplePos x="0" y="0"/>
                <wp:positionH relativeFrom="column">
                  <wp:posOffset>4062730</wp:posOffset>
                </wp:positionH>
                <wp:positionV relativeFrom="paragraph">
                  <wp:posOffset>125095</wp:posOffset>
                </wp:positionV>
                <wp:extent cx="55245" cy="127000"/>
                <wp:effectExtent l="4445" t="1905" r="16510" b="4445"/>
                <wp:wrapNone/>
                <wp:docPr id="123" name="直接连接符 123"/>
                <wp:cNvGraphicFramePr/>
                <a:graphic xmlns:a="http://schemas.openxmlformats.org/drawingml/2006/main">
                  <a:graphicData uri="http://schemas.microsoft.com/office/word/2010/wordprocessingShape">
                    <wps:wsp>
                      <wps:cNvCnPr/>
                      <wps:spPr>
                        <a:xfrm flipH="1" flipV="1">
                          <a:off x="6127115" y="5370195"/>
                          <a:ext cx="55245" cy="127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319.9pt;margin-top:9.85pt;height:10pt;width:4.35pt;z-index:251732992;mso-width-relative:page;mso-height-relative:page;" filled="f" stroked="t" coordsize="21600,21600" o:gfxdata="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Uux0wNgAAAAJAQAADwAAAAAAAAABACAAAAAiAAAAZHJzL2Rv&#10;d25yZXYueG1sUEsBAhQAFAAAAAgAh07iQAYIQ+EBAgAA2AMAAA4AAAAAAAAAAQAgAAAAJwEAAGRy&#10;cy9lMm9Eb2MueG1sUEsFBgAAAAAGAAYAWQEAAJoFAAAAAA==&#10;">
                <v:fill on="f" focussize="0,0"/>
                <v:stroke weight="0.5pt" color="#000000 [3213]" miterlimit="8" joinstyle="miter"/>
                <v:imagedata o:title=""/>
                <o:lock v:ext="edit" aspectratio="f"/>
              </v:line>
            </w:pict>
          </mc:Fallback>
        </mc:AlternateContent>
      </w:r>
      <w:r>
        <w:rPr>
          <w:color w:val="auto"/>
          <w:sz w:val="24"/>
          <w:highlight w:val="none"/>
        </w:rPr>
        <mc:AlternateContent>
          <mc:Choice Requires="wps">
            <w:drawing>
              <wp:anchor distT="0" distB="0" distL="114300" distR="114300" simplePos="0" relativeHeight="251731968" behindDoc="0" locked="0" layoutInCell="1" allowOverlap="1">
                <wp:simplePos x="0" y="0"/>
                <wp:positionH relativeFrom="column">
                  <wp:posOffset>3408045</wp:posOffset>
                </wp:positionH>
                <wp:positionV relativeFrom="paragraph">
                  <wp:posOffset>188595</wp:posOffset>
                </wp:positionV>
                <wp:extent cx="217170" cy="123825"/>
                <wp:effectExtent l="2540" t="4445" r="8890" b="5080"/>
                <wp:wrapNone/>
                <wp:docPr id="121" name="直接连接符 121"/>
                <wp:cNvGraphicFramePr/>
                <a:graphic xmlns:a="http://schemas.openxmlformats.org/drawingml/2006/main">
                  <a:graphicData uri="http://schemas.microsoft.com/office/word/2010/wordprocessingShape">
                    <wps:wsp>
                      <wps:cNvCnPr/>
                      <wps:spPr>
                        <a:xfrm flipH="1" flipV="1">
                          <a:off x="0" y="0"/>
                          <a:ext cx="217170" cy="1238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268.35pt;margin-top:14.85pt;height:9.75pt;width:17.1pt;z-index:251731968;mso-width-relative:page;mso-height-relative:page;" filled="f" stroked="t" coordsize="21600,21600" o:gfxdata="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lQmxstkAAAAJAQAADwAAAAAAAAABACAAAAAiAAAAZHJzL2Rvd25yZXYueG1sUEsB&#10;AhQAFAAAAAgAh07iQJYAOtb0AQAAzQMAAA4AAAAAAAAAAQAgAAAAKAEAAGRycy9lMm9Eb2MueG1s&#10;UEsFBgAAAAAGAAYAWQEAAI4FAAAAAA==&#10;">
                <v:fill on="f" focussize="0,0"/>
                <v:stroke weight="0.5pt" color="#000000 [3213]" miterlimit="8" joinstyle="miter"/>
                <v:imagedata o:title=""/>
                <o:lock v:ext="edit" aspectratio="f"/>
              </v:line>
            </w:pict>
          </mc:Fallback>
        </mc:AlternateContent>
      </w:r>
    </w:p>
    <w:p w14:paraId="5E7DC698">
      <w:pPr>
        <w:tabs>
          <w:tab w:val="left" w:pos="3263"/>
        </w:tabs>
        <w:jc w:val="center"/>
        <w:rPr>
          <w:rFonts w:hint="eastAsia"/>
          <w:b/>
          <w:bCs/>
          <w:color w:val="auto"/>
          <w:sz w:val="24"/>
          <w:szCs w:val="24"/>
          <w:highlight w:val="none"/>
          <w:lang w:val="en-US" w:eastAsia="zh-CN"/>
        </w:rPr>
      </w:pPr>
      <w:r>
        <w:rPr>
          <w:color w:val="auto"/>
          <w:sz w:val="24"/>
          <w:highlight w:val="none"/>
        </w:rPr>
        <mc:AlternateContent>
          <mc:Choice Requires="wps">
            <w:drawing>
              <wp:anchor distT="0" distB="0" distL="114300" distR="114300" simplePos="0" relativeHeight="251691008" behindDoc="0" locked="0" layoutInCell="1" allowOverlap="1">
                <wp:simplePos x="0" y="0"/>
                <wp:positionH relativeFrom="column">
                  <wp:posOffset>4242435</wp:posOffset>
                </wp:positionH>
                <wp:positionV relativeFrom="paragraph">
                  <wp:posOffset>198120</wp:posOffset>
                </wp:positionV>
                <wp:extent cx="71755" cy="71755"/>
                <wp:effectExtent l="6350" t="6350" r="17145" b="17145"/>
                <wp:wrapNone/>
                <wp:docPr id="79" name="椭圆 79"/>
                <wp:cNvGraphicFramePr/>
                <a:graphic xmlns:a="http://schemas.openxmlformats.org/drawingml/2006/main">
                  <a:graphicData uri="http://schemas.microsoft.com/office/word/2010/wordprocessingShape">
                    <wps:wsp>
                      <wps:cNvSpPr/>
                      <wps:spPr>
                        <a:xfrm>
                          <a:off x="5116195" y="5721985"/>
                          <a:ext cx="71755" cy="7175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34.05pt;margin-top:15.6pt;height:5.65pt;width:5.65pt;z-index:251691008;v-text-anchor:middle;mso-width-relative:page;mso-height-relative:page;" filled="f" stroked="t" coordsize="21600,21600" o:gfxdata="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kCyJT2AAAAAkBAAAPAAAAAAAAAAEAIAAAACIAAABkcnMvZG93&#10;bnJldi54bWxQSwECFAAUAAAACACHTuJANyOc53ICAADZBAAADgAAAAAAAAABACAAAAAnAQAAZHJz&#10;L2Uyb0RvYy54bWxQSwUGAAAAAAYABgBZAQAACwYAAAAA&#10;">
                <v:fill on="f" focussize="0,0"/>
                <v:stroke weight="1pt" color="#000000 [3213]" miterlimit="8" joinstyle="miter"/>
                <v:imagedata o:title=""/>
                <o:lock v:ext="edit" aspectratio="f"/>
              </v:shape>
            </w:pict>
          </mc:Fallback>
        </mc:AlternateContent>
      </w:r>
    </w:p>
    <w:p w14:paraId="413CF802">
      <w:pPr>
        <w:tabs>
          <w:tab w:val="left" w:pos="3263"/>
        </w:tabs>
        <w:jc w:val="center"/>
        <w:rPr>
          <w:rFonts w:hint="eastAsia"/>
          <w:b/>
          <w:bCs/>
          <w:color w:val="auto"/>
          <w:sz w:val="24"/>
          <w:szCs w:val="24"/>
          <w:highlight w:val="none"/>
          <w:lang w:val="en-US" w:eastAsia="zh-CN"/>
        </w:rPr>
      </w:pPr>
      <w:r>
        <w:rPr>
          <w:color w:val="auto"/>
          <w:sz w:val="24"/>
          <w:highlight w:val="none"/>
        </w:rPr>
        <mc:AlternateContent>
          <mc:Choice Requires="wps">
            <w:drawing>
              <wp:anchor distT="0" distB="0" distL="114300" distR="114300" simplePos="0" relativeHeight="251692032" behindDoc="0" locked="0" layoutInCell="1" allowOverlap="1">
                <wp:simplePos x="0" y="0"/>
                <wp:positionH relativeFrom="column">
                  <wp:posOffset>4310380</wp:posOffset>
                </wp:positionH>
                <wp:positionV relativeFrom="paragraph">
                  <wp:posOffset>53975</wp:posOffset>
                </wp:positionV>
                <wp:extent cx="217805" cy="150495"/>
                <wp:effectExtent l="2540" t="3810" r="8255" b="17145"/>
                <wp:wrapNone/>
                <wp:docPr id="81" name="直接连接符 81"/>
                <wp:cNvGraphicFramePr/>
                <a:graphic xmlns:a="http://schemas.openxmlformats.org/drawingml/2006/main">
                  <a:graphicData uri="http://schemas.microsoft.com/office/word/2010/wordprocessingShape">
                    <wps:wsp>
                      <wps:cNvCnPr/>
                      <wps:spPr>
                        <a:xfrm>
                          <a:off x="5088890" y="5746115"/>
                          <a:ext cx="217805" cy="15049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39.4pt;margin-top:4.25pt;height:11.85pt;width:17.15pt;z-index:251692032;mso-width-relative:page;mso-height-relative:page;" filled="f" stroked="t" coordsize="21600,21600" o:gfxdata="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67GmvdcAAAAIAQAADwAAAAAAAAABACAAAAAiAAAAZHJzL2Rvd25yZXYueG1sUEsB&#10;AhQAFAAAAAgAh07iQJLzn1v2AQAAwwMAAA4AAAAAAAAAAQAgAAAAJgEAAGRycy9lMm9Eb2MueG1s&#10;UEsFBgAAAAAGAAYAWQEAAI4FAAAAAA==&#10;">
                <v:fill on="f" focussize="0,0"/>
                <v:stroke weight="0.5pt" color="#000000 [3213]" miterlimit="8" joinstyle="miter"/>
                <v:imagedata o:title=""/>
                <o:lock v:ext="edit" aspectratio="f"/>
              </v:line>
            </w:pict>
          </mc:Fallback>
        </mc:AlternateContent>
      </w:r>
      <w:r>
        <w:rPr>
          <w:color w:val="auto"/>
          <w:sz w:val="24"/>
          <w:highlight w:val="none"/>
        </w:rPr>
        <mc:AlternateContent>
          <mc:Choice Requires="wps">
            <w:drawing>
              <wp:anchor distT="0" distB="0" distL="114300" distR="114300" simplePos="0" relativeHeight="251665408" behindDoc="0" locked="0" layoutInCell="1" allowOverlap="1">
                <wp:simplePos x="0" y="0"/>
                <wp:positionH relativeFrom="column">
                  <wp:posOffset>4181475</wp:posOffset>
                </wp:positionH>
                <wp:positionV relativeFrom="paragraph">
                  <wp:posOffset>125095</wp:posOffset>
                </wp:positionV>
                <wp:extent cx="1022350" cy="304165"/>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022350"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8BBED">
                            <w:pPr>
                              <w:rPr>
                                <w:rFonts w:hint="eastAsia" w:eastAsia="宋体"/>
                                <w:b/>
                                <w:bCs/>
                                <w:sz w:val="18"/>
                                <w:szCs w:val="18"/>
                                <w:lang w:eastAsia="zh-CN"/>
                              </w:rPr>
                            </w:pPr>
                            <w:r>
                              <w:rPr>
                                <w:rFonts w:hint="eastAsia"/>
                                <w:b/>
                                <w:bCs/>
                                <w:sz w:val="18"/>
                                <w:szCs w:val="18"/>
                                <w:lang w:eastAsia="zh-CN"/>
                              </w:rPr>
                              <w:t>医疗废水排放口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9.25pt;margin-top:9.85pt;height:23.95pt;width:80.5pt;z-index:251665408;mso-width-relative:page;mso-height-relative:page;" filled="f" stroked="f" coordsize="21600,21600" o:gfxdata="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J5qlM7ZAAAACQEAAA8AAAAAAAAAAQAgAAAAIgAAAGRycy9k&#10;b3ducmV2LnhtbFBLAQIUABQAAAAIAIdO4kAGpb9VOgIAAGgEAAAOAAAAAAAAAAEAIAAAACgBAABk&#10;cnMvZTJvRG9jLnhtbFBLBQYAAAAABgAGAFkBAADUBQAAAAA=&#10;">
                <v:fill on="f" focussize="0,0"/>
                <v:stroke on="f" weight="0.5pt"/>
                <v:imagedata o:title=""/>
                <o:lock v:ext="edit" aspectratio="f"/>
                <v:textbox>
                  <w:txbxContent>
                    <w:p w14:paraId="2FA8BBED">
                      <w:pPr>
                        <w:rPr>
                          <w:rFonts w:hint="eastAsia" w:eastAsia="宋体"/>
                          <w:b/>
                          <w:bCs/>
                          <w:sz w:val="18"/>
                          <w:szCs w:val="18"/>
                          <w:lang w:eastAsia="zh-CN"/>
                        </w:rPr>
                      </w:pPr>
                      <w:r>
                        <w:rPr>
                          <w:rFonts w:hint="eastAsia"/>
                          <w:b/>
                          <w:bCs/>
                          <w:sz w:val="18"/>
                          <w:szCs w:val="18"/>
                          <w:lang w:eastAsia="zh-CN"/>
                        </w:rPr>
                        <w:t>医疗废水排放口</w:t>
                      </w:r>
                    </w:p>
                  </w:txbxContent>
                </v:textbox>
              </v:shape>
            </w:pict>
          </mc:Fallback>
        </mc:AlternateContent>
      </w:r>
    </w:p>
    <w:p w14:paraId="757F35C9">
      <w:pPr>
        <w:tabs>
          <w:tab w:val="left" w:pos="3263"/>
        </w:tabs>
        <w:jc w:val="center"/>
        <w:rPr>
          <w:rFonts w:hint="eastAsia"/>
          <w:b/>
          <w:bCs/>
          <w:color w:val="auto"/>
          <w:sz w:val="24"/>
          <w:szCs w:val="24"/>
          <w:highlight w:val="none"/>
          <w:lang w:val="en-US" w:eastAsia="zh-CN"/>
        </w:rPr>
      </w:pPr>
    </w:p>
    <w:p w14:paraId="46022F9D">
      <w:pPr>
        <w:tabs>
          <w:tab w:val="left" w:pos="3263"/>
        </w:tabs>
        <w:jc w:val="center"/>
        <w:rPr>
          <w:rFonts w:hint="eastAsia"/>
          <w:b/>
          <w:bCs/>
          <w:color w:val="auto"/>
          <w:sz w:val="24"/>
          <w:szCs w:val="24"/>
          <w:highlight w:val="none"/>
          <w:lang w:val="en-US" w:eastAsia="zh-CN"/>
        </w:rPr>
      </w:pPr>
    </w:p>
    <w:p w14:paraId="74C9AF32">
      <w:pPr>
        <w:tabs>
          <w:tab w:val="left" w:pos="3263"/>
        </w:tabs>
        <w:jc w:val="center"/>
        <w:rPr>
          <w:rFonts w:hint="eastAsia"/>
          <w:b/>
          <w:bCs/>
          <w:color w:val="auto"/>
          <w:sz w:val="24"/>
          <w:szCs w:val="24"/>
          <w:highlight w:val="none"/>
          <w:lang w:val="en-US" w:eastAsia="zh-CN"/>
        </w:rPr>
      </w:pPr>
      <w:r>
        <w:rPr>
          <w:color w:val="auto"/>
          <w:sz w:val="24"/>
          <w:highlight w:val="none"/>
        </w:rPr>
        <mc:AlternateContent>
          <mc:Choice Requires="wpg">
            <w:drawing>
              <wp:anchor distT="0" distB="0" distL="114300" distR="114300" simplePos="0" relativeHeight="251730944" behindDoc="0" locked="0" layoutInCell="1" allowOverlap="1">
                <wp:simplePos x="0" y="0"/>
                <wp:positionH relativeFrom="column">
                  <wp:posOffset>12065</wp:posOffset>
                </wp:positionH>
                <wp:positionV relativeFrom="paragraph">
                  <wp:posOffset>52705</wp:posOffset>
                </wp:positionV>
                <wp:extent cx="489585" cy="316865"/>
                <wp:effectExtent l="9525" t="0" r="15240" b="3810"/>
                <wp:wrapNone/>
                <wp:docPr id="130" name="组合 82"/>
                <wp:cNvGraphicFramePr/>
                <a:graphic xmlns:a="http://schemas.openxmlformats.org/drawingml/2006/main">
                  <a:graphicData uri="http://schemas.microsoft.com/office/word/2010/wordprocessingGroup">
                    <wpg:wgp>
                      <wpg:cNvGrpSpPr/>
                      <wpg:grpSpPr>
                        <a:xfrm rot="0">
                          <a:off x="0" y="0"/>
                          <a:ext cx="489585" cy="316865"/>
                          <a:chOff x="17476" y="1425194"/>
                          <a:chExt cx="1022" cy="499"/>
                        </a:xfrm>
                      </wpg:grpSpPr>
                      <wpg:grpSp>
                        <wpg:cNvPr id="131" name="组合 80"/>
                        <wpg:cNvGrpSpPr/>
                        <wpg:grpSpPr>
                          <a:xfrm>
                            <a:off x="17476" y="1425521"/>
                            <a:ext cx="1023" cy="173"/>
                            <a:chOff x="16589" y="1425309"/>
                            <a:chExt cx="1023" cy="173"/>
                          </a:xfrm>
                        </wpg:grpSpPr>
                        <wps:wsp>
                          <wps:cNvPr id="132" name="直接连接符 79"/>
                          <wps:cNvCnPr/>
                          <wps:spPr>
                            <a:xfrm flipV="1">
                              <a:off x="17604" y="1425309"/>
                              <a:ext cx="0" cy="16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3" name="直接连接符 73"/>
                          <wps:cNvCnPr/>
                          <wps:spPr>
                            <a:xfrm>
                              <a:off x="16600" y="1425470"/>
                              <a:ext cx="1012"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4" name="直接连接符 74"/>
                          <wps:cNvCnPr/>
                          <wps:spPr>
                            <a:xfrm flipV="1">
                              <a:off x="16589" y="1425320"/>
                              <a:ext cx="0" cy="16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35" name="文本框 81"/>
                        <wps:cNvSpPr txBox="1"/>
                        <wps:spPr>
                          <a:xfrm>
                            <a:off x="17662" y="1425194"/>
                            <a:ext cx="813" cy="44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32F2A1">
                              <w:pPr>
                                <w:rPr>
                                  <w:rFonts w:hint="eastAsia" w:eastAsia="宋体"/>
                                  <w:b/>
                                  <w:bCs/>
                                  <w:lang w:val="en-US" w:eastAsia="zh-CN"/>
                                </w:rPr>
                              </w:pPr>
                              <w:r>
                                <w:rPr>
                                  <w:rFonts w:hint="eastAsia"/>
                                  <w:b/>
                                  <w:bCs/>
                                  <w:lang w:val="en-US" w:eastAsia="zh-CN"/>
                                </w:rPr>
                                <w:t>5m</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组合 82" o:spid="_x0000_s1026" o:spt="203" style="position:absolute;left:0pt;margin-left:0.95pt;margin-top:4.15pt;height:24.95pt;width:38.55pt;z-index:251730944;mso-width-relative:page;mso-height-relative:page;" coordorigin="17476,1425194" coordsize="1022,499" o:gfxdata="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">
                <o:lock v:ext="edit" aspectratio="f"/>
                <v:group id="组合 80" o:spid="_x0000_s1026" o:spt="203" style="position:absolute;left:17476;top:1425521;height:173;width:1023;" coordorigin="16589,1425309" coordsize="1023,173" o:gfxdata="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Cy68ve7AAAA3AAAAA8AAAAAAAAAAQAgAAAAIgAAAGRycy9kb3ducmV2LnhtbFBL&#10;AQIUABQAAAAIAIdO4kAzLwWeOwAAADkAAAAVAAAAAAAAAAEAIAAAAAoBAABkcnMvZ3JvdXBzaGFw&#10;ZXhtbC54bWxQSwUGAAAAAAYABgBgAQAAxwMAAAAA&#10;">
                  <o:lock v:ext="edit" aspectratio="f"/>
                  <v:line id="直接连接符 79" o:spid="_x0000_s1026" o:spt="20" style="position:absolute;left:17604;top:1425309;flip:y;height:163;width:0;" filled="f" stroked="t" coordsize="21600,21600" o:gfxdata="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1L10vQAA&#10;ANwAAAAPAAAAAAAAAAEAIAAAACIAAABkcnMvZG93bnJldi54bWxQSwECFAAUAAAACACHTuJAMy8F&#10;njsAAAA5AAAAEAAAAAAAAAABACAAAAAMAQAAZHJzL3NoYXBleG1sLnhtbFBLBQYAAAAABgAGAFsB&#10;AAC2AwAAAAA=&#10;">
                    <v:fill on="f" focussize="0,0"/>
                    <v:stroke weight="1.5pt" color="#000000 [3213]" miterlimit="8" joinstyle="miter"/>
                    <v:imagedata o:title=""/>
                    <o:lock v:ext="edit" aspectratio="f"/>
                  </v:line>
                  <v:line id="直接连接符 73" o:spid="_x0000_s1026" o:spt="20" style="position:absolute;left:16600;top:1425470;height:0;width:1012;" filled="f" stroked="t" coordsize="21600,21600" o:gfxdata="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pJ6xvQAA&#10;ANwAAAAPAAAAAAAAAAEAIAAAACIAAABkcnMvZG93bnJldi54bWxQSwECFAAUAAAACACHTuJAMy8F&#10;njsAAAA5AAAAEAAAAAAAAAABACAAAAAMAQAAZHJzL3NoYXBleG1sLnhtbFBLBQYAAAAABgAGAFsB&#10;AAC2AwAAAAA=&#10;">
                    <v:fill on="f" focussize="0,0"/>
                    <v:stroke weight="1.5pt" color="#000000 [3213]" miterlimit="8" joinstyle="miter"/>
                    <v:imagedata o:title=""/>
                    <o:lock v:ext="edit" aspectratio="f"/>
                  </v:line>
                  <v:line id="直接连接符 74" o:spid="_x0000_s1026" o:spt="20" style="position:absolute;left:16589;top:1425320;flip:y;height:163;width:0;" filled="f" stroked="t" coordsize="21600,21600" o:gfxdata="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cYCbvQAA&#10;ANwAAAAPAAAAAAAAAAEAIAAAACIAAABkcnMvZG93bnJldi54bWxQSwECFAAUAAAACACHTuJAMy8F&#10;njsAAAA5AAAAEAAAAAAAAAABACAAAAAMAQAAZHJzL3NoYXBleG1sLnhtbFBLBQYAAAAABgAGAFsB&#10;AAC2AwAAAAA=&#10;">
                    <v:fill on="f" focussize="0,0"/>
                    <v:stroke weight="1.5pt" color="#000000 [3213]" miterlimit="8" joinstyle="miter"/>
                    <v:imagedata o:title=""/>
                    <o:lock v:ext="edit" aspectratio="f"/>
                  </v:line>
                </v:group>
                <v:shape id="文本框 81" o:spid="_x0000_s1026" o:spt="202" type="#_x0000_t202" style="position:absolute;left:17662;top:1425194;height:443;width:813;" filled="f" stroked="f" coordsize="21600,21600" o:gfxdata="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HRZKu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6D32F2A1">
                        <w:pPr>
                          <w:rPr>
                            <w:rFonts w:hint="eastAsia" w:eastAsia="宋体"/>
                            <w:b/>
                            <w:bCs/>
                            <w:lang w:val="en-US" w:eastAsia="zh-CN"/>
                          </w:rPr>
                        </w:pPr>
                        <w:r>
                          <w:rPr>
                            <w:rFonts w:hint="eastAsia"/>
                            <w:b/>
                            <w:bCs/>
                            <w:lang w:val="en-US" w:eastAsia="zh-CN"/>
                          </w:rPr>
                          <w:t>5m</w:t>
                        </w:r>
                      </w:p>
                    </w:txbxContent>
                  </v:textbox>
                </v:shape>
              </v:group>
            </w:pict>
          </mc:Fallback>
        </mc:AlternateContent>
      </w:r>
    </w:p>
    <w:p w14:paraId="55890E35">
      <w:pPr>
        <w:tabs>
          <w:tab w:val="left" w:pos="3263"/>
        </w:tabs>
        <w:jc w:val="center"/>
        <w:rPr>
          <w:rFonts w:hint="eastAsia"/>
          <w:b/>
          <w:bCs/>
          <w:color w:val="auto"/>
          <w:sz w:val="24"/>
          <w:szCs w:val="24"/>
          <w:highlight w:val="none"/>
          <w:lang w:val="en-US" w:eastAsia="zh-CN"/>
        </w:rPr>
      </w:pPr>
    </w:p>
    <w:p w14:paraId="723BAB6D">
      <w:pPr>
        <w:tabs>
          <w:tab w:val="left" w:pos="3263"/>
        </w:tabs>
        <w:jc w:val="center"/>
        <w:rPr>
          <w:rFonts w:hint="eastAsia"/>
          <w:b/>
          <w:bCs/>
          <w:color w:val="auto"/>
          <w:sz w:val="24"/>
          <w:szCs w:val="24"/>
          <w:highlight w:val="none"/>
          <w:lang w:val="en-US" w:eastAsia="zh-CN"/>
        </w:rPr>
      </w:pPr>
    </w:p>
    <w:p w14:paraId="405E90CC">
      <w:pPr>
        <w:tabs>
          <w:tab w:val="left" w:pos="3263"/>
        </w:tabs>
        <w:jc w:val="center"/>
        <w:rPr>
          <w:rFonts w:hint="eastAsia"/>
          <w:b/>
          <w:bCs/>
          <w:color w:val="auto"/>
          <w:sz w:val="24"/>
          <w:szCs w:val="24"/>
          <w:highlight w:val="none"/>
          <w:lang w:val="en-US" w:eastAsia="zh-CN"/>
        </w:rPr>
      </w:pPr>
    </w:p>
    <w:p w14:paraId="19B13EF5">
      <w:pPr>
        <w:tabs>
          <w:tab w:val="left" w:pos="3263"/>
        </w:tabs>
        <w:jc w:val="center"/>
        <w:rPr>
          <w:rFonts w:hint="eastAsia"/>
          <w:b/>
          <w:bCs/>
          <w:color w:val="auto"/>
          <w:sz w:val="24"/>
          <w:szCs w:val="24"/>
          <w:highlight w:val="none"/>
          <w:lang w:val="en-US" w:eastAsia="zh-CN"/>
        </w:rPr>
      </w:pPr>
      <w:r>
        <w:rPr>
          <w:rFonts w:hint="eastAsia"/>
          <w:b/>
          <w:bCs/>
          <w:color w:val="auto"/>
          <w:sz w:val="24"/>
          <w:szCs w:val="24"/>
          <w:highlight w:val="none"/>
          <w:lang w:val="en-US" w:eastAsia="zh-CN"/>
        </w:rPr>
        <w:t>附图2院区平面布置图</w:t>
      </w:r>
    </w:p>
    <w:p w14:paraId="7DDF49E1">
      <w:pPr>
        <w:pStyle w:val="2"/>
        <w:rPr>
          <w:rFonts w:hint="eastAsia"/>
          <w:b/>
          <w:bCs/>
          <w:color w:val="auto"/>
          <w:sz w:val="24"/>
          <w:szCs w:val="24"/>
          <w:highlight w:val="none"/>
          <w:lang w:val="en-US" w:eastAsia="zh-CN"/>
        </w:rPr>
      </w:pPr>
    </w:p>
    <w:p w14:paraId="3C62DA52">
      <w:pPr>
        <w:pStyle w:val="23"/>
        <w:rPr>
          <w:rFonts w:hint="eastAsia"/>
          <w:b/>
          <w:bCs/>
          <w:color w:val="auto"/>
          <w:sz w:val="24"/>
          <w:szCs w:val="24"/>
          <w:highlight w:val="none"/>
          <w:lang w:val="en-US" w:eastAsia="zh-CN"/>
        </w:rPr>
      </w:pPr>
    </w:p>
    <w:p w14:paraId="6A62D17E">
      <w:pPr>
        <w:pStyle w:val="23"/>
        <w:rPr>
          <w:rFonts w:hint="eastAsia"/>
          <w:b/>
          <w:bCs/>
          <w:color w:val="auto"/>
          <w:sz w:val="24"/>
          <w:szCs w:val="24"/>
          <w:highlight w:val="none"/>
          <w:lang w:val="en-US" w:eastAsia="zh-CN"/>
        </w:rPr>
      </w:pPr>
    </w:p>
    <w:p w14:paraId="4371D174">
      <w:pPr>
        <w:pStyle w:val="23"/>
        <w:rPr>
          <w:rFonts w:hint="eastAsia"/>
          <w:b/>
          <w:bCs/>
          <w:color w:val="auto"/>
          <w:sz w:val="24"/>
          <w:szCs w:val="24"/>
          <w:highlight w:val="none"/>
          <w:lang w:val="en-US" w:eastAsia="zh-CN"/>
        </w:rPr>
      </w:pPr>
    </w:p>
    <w:p w14:paraId="1D281DCD">
      <w:pPr>
        <w:pStyle w:val="23"/>
        <w:rPr>
          <w:rFonts w:hint="eastAsia"/>
          <w:b/>
          <w:bCs/>
          <w:color w:val="auto"/>
          <w:sz w:val="24"/>
          <w:szCs w:val="24"/>
          <w:highlight w:val="none"/>
          <w:lang w:val="en-US" w:eastAsia="zh-CN"/>
        </w:rPr>
      </w:pPr>
    </w:p>
    <w:p w14:paraId="0BA3813B">
      <w:pPr>
        <w:pStyle w:val="23"/>
        <w:rPr>
          <w:rFonts w:hint="eastAsia"/>
          <w:b/>
          <w:bCs/>
          <w:color w:val="auto"/>
          <w:sz w:val="24"/>
          <w:szCs w:val="24"/>
          <w:highlight w:val="none"/>
          <w:lang w:val="en-US" w:eastAsia="zh-CN"/>
        </w:rPr>
      </w:pPr>
    </w:p>
    <w:p w14:paraId="7D5A548D">
      <w:pPr>
        <w:pStyle w:val="23"/>
        <w:rPr>
          <w:rFonts w:hint="eastAsia"/>
          <w:b/>
          <w:bCs/>
          <w:color w:val="auto"/>
          <w:sz w:val="24"/>
          <w:szCs w:val="24"/>
          <w:highlight w:val="none"/>
          <w:lang w:val="en-US" w:eastAsia="zh-CN"/>
        </w:rPr>
      </w:pPr>
    </w:p>
    <w:p w14:paraId="33D630D0">
      <w:pPr>
        <w:pStyle w:val="23"/>
        <w:ind w:left="0" w:leftChars="0" w:firstLine="0" w:firstLineChars="0"/>
        <w:rPr>
          <w:rFonts w:hint="eastAsia" w:ascii="Times New Roman" w:hAnsi="Times New Roman" w:eastAsia="宋体" w:cs="Times New Roman"/>
          <w:b/>
          <w:bCs/>
          <w:color w:val="auto"/>
          <w:kern w:val="2"/>
          <w:sz w:val="24"/>
          <w:szCs w:val="24"/>
          <w:highlight w:val="none"/>
          <w:lang w:val="en-US" w:eastAsia="zh-CN" w:bidi="ar-SA"/>
        </w:rPr>
      </w:pPr>
      <w:r>
        <w:rPr>
          <w:rFonts w:hint="eastAsia"/>
          <w:b/>
          <w:bCs/>
          <w:color w:val="auto"/>
          <w:sz w:val="24"/>
          <w:szCs w:val="24"/>
          <w:highlight w:val="none"/>
          <w:lang w:val="en-US" w:eastAsia="zh-CN"/>
        </w:rPr>
        <w:t xml:space="preserve">                    </w:t>
      </w:r>
      <w:r>
        <w:rPr>
          <w:color w:val="auto"/>
          <w:highlight w:val="none"/>
        </w:rPr>
        <w:drawing>
          <wp:anchor distT="0" distB="0" distL="114300" distR="114300" simplePos="0" relativeHeight="251709440" behindDoc="0" locked="0" layoutInCell="1" allowOverlap="1">
            <wp:simplePos x="0" y="0"/>
            <wp:positionH relativeFrom="column">
              <wp:posOffset>5306695</wp:posOffset>
            </wp:positionH>
            <wp:positionV relativeFrom="paragraph">
              <wp:posOffset>13335</wp:posOffset>
            </wp:positionV>
            <wp:extent cx="512445" cy="534670"/>
            <wp:effectExtent l="0" t="0" r="1905" b="17780"/>
            <wp:wrapNone/>
            <wp:docPr id="152"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64"/>
                    <pic:cNvPicPr>
                      <a:picLocks noChangeAspect="1"/>
                    </pic:cNvPicPr>
                  </pic:nvPicPr>
                  <pic:blipFill>
                    <a:blip r:embed="rId30"/>
                    <a:stretch>
                      <a:fillRect/>
                    </a:stretch>
                  </pic:blipFill>
                  <pic:spPr>
                    <a:xfrm>
                      <a:off x="0" y="0"/>
                      <a:ext cx="512445" cy="534670"/>
                    </a:xfrm>
                    <a:prstGeom prst="rect">
                      <a:avLst/>
                    </a:prstGeom>
                    <a:noFill/>
                    <a:ln w="9525">
                      <a:noFill/>
                    </a:ln>
                  </pic:spPr>
                </pic:pic>
              </a:graphicData>
            </a:graphic>
          </wp:anchor>
        </w:drawing>
      </w:r>
      <w:r>
        <w:rPr>
          <w:color w:val="auto"/>
          <w:highlight w:val="none"/>
        </w:rPr>
        <w:drawing>
          <wp:anchor distT="0" distB="0" distL="114300" distR="114300" simplePos="0" relativeHeight="251743232" behindDoc="0" locked="0" layoutInCell="1" allowOverlap="1">
            <wp:simplePos x="0" y="0"/>
            <wp:positionH relativeFrom="column">
              <wp:posOffset>-135890</wp:posOffset>
            </wp:positionH>
            <wp:positionV relativeFrom="paragraph">
              <wp:posOffset>6009005</wp:posOffset>
            </wp:positionV>
            <wp:extent cx="588010" cy="228600"/>
            <wp:effectExtent l="0" t="0" r="2540" b="0"/>
            <wp:wrapNone/>
            <wp:docPr id="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
                    <pic:cNvPicPr>
                      <a:picLocks noChangeAspect="1"/>
                    </pic:cNvPicPr>
                  </pic:nvPicPr>
                  <pic:blipFill>
                    <a:blip r:embed="rId32"/>
                    <a:stretch>
                      <a:fillRect/>
                    </a:stretch>
                  </pic:blipFill>
                  <pic:spPr>
                    <a:xfrm>
                      <a:off x="0" y="0"/>
                      <a:ext cx="588010" cy="228600"/>
                    </a:xfrm>
                    <a:prstGeom prst="rect">
                      <a:avLst/>
                    </a:prstGeom>
                    <a:noFill/>
                    <a:ln w="9525">
                      <a:noFill/>
                    </a:ln>
                  </pic:spPr>
                </pic:pic>
              </a:graphicData>
            </a:graphic>
          </wp:anchor>
        </w:drawing>
      </w:r>
      <w:r>
        <w:rPr>
          <w:color w:val="auto"/>
          <w:sz w:val="24"/>
          <w:highlight w:val="none"/>
        </w:rPr>
        <w:drawing>
          <wp:inline distT="0" distB="0" distL="114300" distR="114300">
            <wp:extent cx="5865495" cy="5810885"/>
            <wp:effectExtent l="0" t="0" r="1905" b="18415"/>
            <wp:docPr id="138" name="图片 138" descr="3楼图修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descr="3楼图修改"/>
                    <pic:cNvPicPr>
                      <a:picLocks noChangeAspect="1"/>
                    </pic:cNvPicPr>
                  </pic:nvPicPr>
                  <pic:blipFill>
                    <a:blip r:embed="rId33"/>
                    <a:stretch>
                      <a:fillRect/>
                    </a:stretch>
                  </pic:blipFill>
                  <pic:spPr>
                    <a:xfrm>
                      <a:off x="0" y="0"/>
                      <a:ext cx="5865495" cy="5810885"/>
                    </a:xfrm>
                    <a:prstGeom prst="rect">
                      <a:avLst/>
                    </a:prstGeom>
                  </pic:spPr>
                </pic:pic>
              </a:graphicData>
            </a:graphic>
          </wp:inline>
        </w:drawing>
      </w:r>
    </w:p>
    <w:p w14:paraId="5C446FCB">
      <w:pPr>
        <w:pStyle w:val="31"/>
        <w:jc w:val="both"/>
        <w:rPr>
          <w:rFonts w:hint="eastAsia" w:ascii="Times New Roman" w:hAnsi="Times New Roman" w:eastAsia="宋体" w:cs="Times New Roman"/>
          <w:b/>
          <w:bCs/>
          <w:color w:val="auto"/>
          <w:kern w:val="2"/>
          <w:sz w:val="24"/>
          <w:szCs w:val="24"/>
          <w:highlight w:val="none"/>
          <w:lang w:val="en-US" w:eastAsia="zh-CN" w:bidi="ar-SA"/>
        </w:rPr>
      </w:pPr>
    </w:p>
    <w:p w14:paraId="790266D4">
      <w:pPr>
        <w:pStyle w:val="31"/>
        <w:jc w:val="both"/>
        <w:rPr>
          <w:rFonts w:hint="eastAsia" w:ascii="Times New Roman" w:hAnsi="Times New Roman" w:eastAsia="宋体" w:cs="Times New Roman"/>
          <w:b/>
          <w:bCs/>
          <w:color w:val="auto"/>
          <w:kern w:val="2"/>
          <w:sz w:val="24"/>
          <w:szCs w:val="24"/>
          <w:highlight w:val="none"/>
          <w:lang w:val="en-US" w:eastAsia="zh-CN" w:bidi="ar-SA"/>
        </w:rPr>
      </w:pPr>
    </w:p>
    <w:p w14:paraId="1BE98080">
      <w:pPr>
        <w:pStyle w:val="31"/>
        <w:jc w:val="both"/>
        <w:rPr>
          <w:rFonts w:hint="eastAsia" w:ascii="Times New Roman" w:hAnsi="Times New Roman" w:eastAsia="宋体" w:cs="Times New Roman"/>
          <w:b/>
          <w:bCs/>
          <w:color w:val="auto"/>
          <w:kern w:val="2"/>
          <w:sz w:val="24"/>
          <w:szCs w:val="24"/>
          <w:highlight w:val="none"/>
          <w:lang w:val="en-US" w:eastAsia="zh-CN" w:bidi="ar-SA"/>
        </w:rPr>
      </w:pPr>
    </w:p>
    <w:p w14:paraId="43987F3C">
      <w:pPr>
        <w:pStyle w:val="31"/>
        <w:jc w:val="cente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附图</w:t>
      </w:r>
      <w:r>
        <w:rPr>
          <w:rFonts w:hint="eastAsia" w:ascii="宋体" w:hAnsi="宋体" w:eastAsia="宋体" w:cs="宋体"/>
          <w:b/>
          <w:bCs/>
          <w:color w:val="auto"/>
          <w:highlight w:val="none"/>
          <w:lang w:val="en-US" w:eastAsia="zh-CN"/>
        </w:rPr>
        <w:t>3三</w:t>
      </w:r>
      <w:r>
        <w:rPr>
          <w:rFonts w:hint="eastAsia" w:ascii="宋体" w:hAnsi="宋体" w:eastAsia="宋体" w:cs="宋体"/>
          <w:b/>
          <w:bCs/>
          <w:color w:val="auto"/>
          <w:highlight w:val="none"/>
          <w:lang w:eastAsia="zh-CN"/>
        </w:rPr>
        <w:t>层平面布置图</w:t>
      </w:r>
    </w:p>
    <w:p w14:paraId="3879284B">
      <w:pPr>
        <w:pStyle w:val="31"/>
        <w:jc w:val="center"/>
        <w:rPr>
          <w:rFonts w:hint="eastAsia" w:ascii="宋体" w:hAnsi="宋体" w:eastAsia="宋体" w:cs="宋体"/>
          <w:b/>
          <w:bCs/>
          <w:color w:val="auto"/>
          <w:highlight w:val="none"/>
          <w:lang w:eastAsia="zh-CN"/>
        </w:rPr>
      </w:pPr>
    </w:p>
    <w:p w14:paraId="0AA291C1">
      <w:pPr>
        <w:pStyle w:val="31"/>
        <w:jc w:val="center"/>
        <w:rPr>
          <w:rFonts w:hint="eastAsia" w:ascii="宋体" w:hAnsi="宋体" w:eastAsia="宋体" w:cs="宋体"/>
          <w:b/>
          <w:bCs/>
          <w:color w:val="auto"/>
          <w:highlight w:val="none"/>
          <w:lang w:eastAsia="zh-CN"/>
        </w:rPr>
      </w:pPr>
    </w:p>
    <w:p w14:paraId="7D65EDB2">
      <w:pPr>
        <w:pStyle w:val="31"/>
        <w:jc w:val="both"/>
        <w:rPr>
          <w:rFonts w:hint="eastAsia" w:ascii="宋体" w:hAnsi="宋体" w:eastAsia="宋体" w:cs="宋体"/>
          <w:b/>
          <w:bCs/>
          <w:color w:val="auto"/>
          <w:highlight w:val="none"/>
          <w:lang w:eastAsia="zh-CN"/>
        </w:rPr>
      </w:pPr>
      <w:r>
        <w:rPr>
          <w:color w:val="auto"/>
          <w:sz w:val="24"/>
          <w:highlight w:val="none"/>
        </w:rPr>
        <mc:AlternateContent>
          <mc:Choice Requires="wpg">
            <w:drawing>
              <wp:anchor distT="0" distB="0" distL="114300" distR="114300" simplePos="0" relativeHeight="251723776" behindDoc="0" locked="0" layoutInCell="1" allowOverlap="1">
                <wp:simplePos x="0" y="0"/>
                <wp:positionH relativeFrom="column">
                  <wp:posOffset>7845425</wp:posOffset>
                </wp:positionH>
                <wp:positionV relativeFrom="paragraph">
                  <wp:posOffset>4643120</wp:posOffset>
                </wp:positionV>
                <wp:extent cx="648970" cy="316865"/>
                <wp:effectExtent l="9525" t="0" r="8255" b="3810"/>
                <wp:wrapNone/>
                <wp:docPr id="161" name="组合 82"/>
                <wp:cNvGraphicFramePr/>
                <a:graphic xmlns:a="http://schemas.openxmlformats.org/drawingml/2006/main">
                  <a:graphicData uri="http://schemas.microsoft.com/office/word/2010/wordprocessingGroup">
                    <wpg:wgp>
                      <wpg:cNvGrpSpPr/>
                      <wpg:grpSpPr>
                        <a:xfrm rot="0">
                          <a:off x="0" y="0"/>
                          <a:ext cx="648970" cy="316865"/>
                          <a:chOff x="17476" y="1425194"/>
                          <a:chExt cx="1022" cy="499"/>
                        </a:xfrm>
                      </wpg:grpSpPr>
                      <wpg:grpSp>
                        <wpg:cNvPr id="183" name="组合 80"/>
                        <wpg:cNvGrpSpPr/>
                        <wpg:grpSpPr>
                          <a:xfrm>
                            <a:off x="17476" y="1425521"/>
                            <a:ext cx="1023" cy="173"/>
                            <a:chOff x="16589" y="1425309"/>
                            <a:chExt cx="1023" cy="173"/>
                          </a:xfrm>
                        </wpg:grpSpPr>
                        <wps:wsp>
                          <wps:cNvPr id="263" name="直接连接符 79"/>
                          <wps:cNvCnPr/>
                          <wps:spPr>
                            <a:xfrm flipV="1">
                              <a:off x="17604" y="1425309"/>
                              <a:ext cx="0" cy="16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0" name="直接连接符 73"/>
                          <wps:cNvCnPr/>
                          <wps:spPr>
                            <a:xfrm>
                              <a:off x="16600" y="1425470"/>
                              <a:ext cx="1012"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6" name="直接连接符 74"/>
                          <wps:cNvCnPr/>
                          <wps:spPr>
                            <a:xfrm flipV="1">
                              <a:off x="16589" y="1425320"/>
                              <a:ext cx="0" cy="16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87" name="文本框 81"/>
                        <wps:cNvSpPr txBox="1"/>
                        <wps:spPr>
                          <a:xfrm>
                            <a:off x="17662" y="1425194"/>
                            <a:ext cx="813" cy="44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7A41FA">
                              <w:pPr>
                                <w:rPr>
                                  <w:rFonts w:hint="eastAsia" w:eastAsia="宋体"/>
                                  <w:b/>
                                  <w:bCs/>
                                  <w:lang w:val="en-US" w:eastAsia="zh-CN"/>
                                </w:rPr>
                              </w:pPr>
                              <w:r>
                                <w:rPr>
                                  <w:rFonts w:hint="eastAsia"/>
                                  <w:b/>
                                  <w:bCs/>
                                  <w:lang w:val="en-US" w:eastAsia="zh-CN"/>
                                </w:rPr>
                                <w:t>5m</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组合 82" o:spid="_x0000_s1026" o:spt="203" style="position:absolute;left:0pt;margin-left:617.75pt;margin-top:365.6pt;height:24.95pt;width:51.1pt;z-index:251723776;mso-width-relative:page;mso-height-relative:page;" coordorigin="17476,1425194" coordsize="1022,499" o:gfxdata="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">
                <o:lock v:ext="edit" aspectratio="f"/>
                <v:group id="组合 80" o:spid="_x0000_s1026" o:spt="203" style="position:absolute;left:17476;top:1425521;height:173;width:1023;" coordorigin="16589,1425309" coordsize="1023,173" o:gfxdata="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JsA/L0AAADcAAAADwAAAAAAAAABACAAAAAiAAAAZHJzL2Rvd25yZXYueG1s&#10;UEsBAhQAFAAAAAgAh07iQDMvBZ47AAAAOQAAABUAAAAAAAAAAQAgAAAADAEAAGRycy9ncm91cHNo&#10;YXBleG1sLnhtbFBLBQYAAAAABgAGAGABAADJAwAAAAA=&#10;">
                  <o:lock v:ext="edit" aspectratio="f"/>
                  <v:line id="直接连接符 79" o:spid="_x0000_s1026" o:spt="20" style="position:absolute;left:17604;top:1425309;flip:y;height:163;width:0;" filled="f" stroked="t" coordsize="21600,21600" o:gfxdata="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UOVo6/&#10;AAAA3AAAAA8AAAAAAAAAAQAgAAAAIgAAAGRycy9kb3ducmV2LnhtbFBLAQIUABQAAAAIAIdO4kAz&#10;LwWeOwAAADkAAAAQAAAAAAAAAAEAIAAAAA4BAABkcnMvc2hhcGV4bWwueG1sUEsFBgAAAAAGAAYA&#10;WwEAALgDAAAAAA==&#10;">
                    <v:fill on="f" focussize="0,0"/>
                    <v:stroke weight="1.5pt" color="#000000 [3213]" miterlimit="8" joinstyle="miter"/>
                    <v:imagedata o:title=""/>
                    <o:lock v:ext="edit" aspectratio="f"/>
                  </v:line>
                  <v:line id="直接连接符 73" o:spid="_x0000_s1026" o:spt="20" style="position:absolute;left:16600;top:1425470;height:0;width:1012;" filled="f" stroked="t" coordsize="21600,21600" o:gfxdata="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Y52Hq8AAAA&#10;3AAAAA8AAAAAAAAAAQAgAAAAIgAAAGRycy9kb3ducmV2LnhtbFBLAQIUABQAAAAIAIdO4kAzLwWe&#10;OwAAADkAAAAQAAAAAAAAAAEAIAAAAAsBAABkcnMvc2hhcGV4bWwueG1sUEsFBgAAAAAGAAYAWwEA&#10;ALUDAAAAAA==&#10;">
                    <v:fill on="f" focussize="0,0"/>
                    <v:stroke weight="1.5pt" color="#000000 [3213]" miterlimit="8" joinstyle="miter"/>
                    <v:imagedata o:title=""/>
                    <o:lock v:ext="edit" aspectratio="f"/>
                  </v:line>
                  <v:line id="直接连接符 74" o:spid="_x0000_s1026" o:spt="20" style="position:absolute;left:16589;top:1425320;flip:y;height:163;width:0;" filled="f" stroked="t" coordsize="21600,21600" o:gfxdata="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V1E+y/&#10;AAAA3AAAAA8AAAAAAAAAAQAgAAAAIgAAAGRycy9kb3ducmV2LnhtbFBLAQIUABQAAAAIAIdO4kAz&#10;LwWeOwAAADkAAAAQAAAAAAAAAAEAIAAAAA4BAABkcnMvc2hhcGV4bWwueG1sUEsFBgAAAAAGAAYA&#10;WwEAALgDAAAAAA==&#10;">
                    <v:fill on="f" focussize="0,0"/>
                    <v:stroke weight="1.5pt" color="#000000 [3213]" miterlimit="8" joinstyle="miter"/>
                    <v:imagedata o:title=""/>
                    <o:lock v:ext="edit" aspectratio="f"/>
                  </v:line>
                </v:group>
                <v:shape id="文本框 81" o:spid="_x0000_s1026" o:spt="202" type="#_x0000_t202" style="position:absolute;left:17662;top:1425194;height:443;width:813;" filled="f" stroked="f" coordsize="21600,21600" o:gfxdata="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bV99y/&#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5D7A41FA">
                        <w:pPr>
                          <w:rPr>
                            <w:rFonts w:hint="eastAsia" w:eastAsia="宋体"/>
                            <w:b/>
                            <w:bCs/>
                            <w:lang w:val="en-US" w:eastAsia="zh-CN"/>
                          </w:rPr>
                        </w:pPr>
                        <w:r>
                          <w:rPr>
                            <w:rFonts w:hint="eastAsia"/>
                            <w:b/>
                            <w:bCs/>
                            <w:lang w:val="en-US" w:eastAsia="zh-CN"/>
                          </w:rPr>
                          <w:t>5m</w:t>
                        </w:r>
                      </w:p>
                    </w:txbxContent>
                  </v:textbox>
                </v:shape>
              </v:group>
            </w:pict>
          </mc:Fallback>
        </mc:AlternateContent>
      </w:r>
    </w:p>
    <w:p w14:paraId="484860F0">
      <w:pPr>
        <w:pStyle w:val="31"/>
        <w:jc w:val="center"/>
        <w:rPr>
          <w:rFonts w:hint="eastAsia" w:ascii="宋体" w:hAnsi="宋体" w:eastAsia="宋体" w:cs="宋体"/>
          <w:b/>
          <w:bCs/>
          <w:color w:val="auto"/>
          <w:highlight w:val="none"/>
          <w:lang w:eastAsia="zh-CN"/>
        </w:rPr>
      </w:pPr>
    </w:p>
    <w:p w14:paraId="5321E3F9">
      <w:pPr>
        <w:pStyle w:val="31"/>
        <w:jc w:val="center"/>
        <w:rPr>
          <w:rFonts w:hint="eastAsia" w:ascii="宋体" w:hAnsi="宋体" w:eastAsia="宋体" w:cs="宋体"/>
          <w:b/>
          <w:bCs/>
          <w:color w:val="auto"/>
          <w:highlight w:val="none"/>
          <w:lang w:eastAsia="zh-CN"/>
        </w:rPr>
      </w:pPr>
    </w:p>
    <w:p w14:paraId="67E93752">
      <w:pPr>
        <w:pStyle w:val="31"/>
        <w:jc w:val="center"/>
        <w:rPr>
          <w:rFonts w:hint="eastAsia" w:ascii="宋体" w:hAnsi="宋体" w:eastAsia="宋体" w:cs="宋体"/>
          <w:b/>
          <w:bCs/>
          <w:color w:val="auto"/>
          <w:highlight w:val="none"/>
          <w:lang w:eastAsia="zh-CN"/>
        </w:rPr>
      </w:pPr>
    </w:p>
    <w:p w14:paraId="4D3A5B46">
      <w:pPr>
        <w:pStyle w:val="31"/>
        <w:jc w:val="center"/>
        <w:rPr>
          <w:rFonts w:hint="eastAsia" w:ascii="宋体" w:hAnsi="宋体" w:eastAsia="宋体" w:cs="宋体"/>
          <w:b/>
          <w:bCs/>
          <w:color w:val="auto"/>
          <w:highlight w:val="none"/>
          <w:lang w:eastAsia="zh-CN"/>
        </w:rPr>
      </w:pPr>
      <w:r>
        <w:rPr>
          <w:color w:val="auto"/>
          <w:highlight w:val="none"/>
        </w:rPr>
        <w:drawing>
          <wp:anchor distT="0" distB="0" distL="114300" distR="114300" simplePos="0" relativeHeight="251722752" behindDoc="0" locked="0" layoutInCell="1" allowOverlap="1">
            <wp:simplePos x="0" y="0"/>
            <wp:positionH relativeFrom="column">
              <wp:posOffset>5250815</wp:posOffset>
            </wp:positionH>
            <wp:positionV relativeFrom="paragraph">
              <wp:posOffset>76835</wp:posOffset>
            </wp:positionV>
            <wp:extent cx="512445" cy="534670"/>
            <wp:effectExtent l="0" t="0" r="1905" b="17780"/>
            <wp:wrapNone/>
            <wp:docPr id="153"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64"/>
                    <pic:cNvPicPr>
                      <a:picLocks noChangeAspect="1"/>
                    </pic:cNvPicPr>
                  </pic:nvPicPr>
                  <pic:blipFill>
                    <a:blip r:embed="rId30"/>
                    <a:stretch>
                      <a:fillRect/>
                    </a:stretch>
                  </pic:blipFill>
                  <pic:spPr>
                    <a:xfrm>
                      <a:off x="0" y="0"/>
                      <a:ext cx="512445" cy="534670"/>
                    </a:xfrm>
                    <a:prstGeom prst="rect">
                      <a:avLst/>
                    </a:prstGeom>
                    <a:noFill/>
                    <a:ln w="9525">
                      <a:noFill/>
                    </a:ln>
                  </pic:spPr>
                </pic:pic>
              </a:graphicData>
            </a:graphic>
          </wp:anchor>
        </w:drawing>
      </w:r>
    </w:p>
    <w:p w14:paraId="4EA8E71F">
      <w:pPr>
        <w:pStyle w:val="31"/>
        <w:jc w:val="center"/>
        <w:rPr>
          <w:rFonts w:hint="eastAsia" w:ascii="宋体" w:hAnsi="宋体" w:eastAsia="宋体" w:cs="宋体"/>
          <w:b/>
          <w:bCs/>
          <w:color w:val="auto"/>
          <w:highlight w:val="none"/>
          <w:lang w:eastAsia="zh-CN"/>
        </w:rPr>
      </w:pPr>
    </w:p>
    <w:p w14:paraId="62ED4806">
      <w:pPr>
        <w:pStyle w:val="31"/>
        <w:jc w:val="both"/>
        <w:rPr>
          <w:rFonts w:hint="eastAsia"/>
          <w:color w:val="auto"/>
          <w:highlight w:val="none"/>
          <w:lang w:val="en-US" w:eastAsia="zh-CN"/>
        </w:rPr>
      </w:pPr>
      <w:r>
        <w:rPr>
          <w:color w:val="auto"/>
          <w:highlight w:val="none"/>
        </w:rPr>
        <w:drawing>
          <wp:anchor distT="0" distB="0" distL="114300" distR="114300" simplePos="0" relativeHeight="251744256" behindDoc="0" locked="0" layoutInCell="1" allowOverlap="1">
            <wp:simplePos x="0" y="0"/>
            <wp:positionH relativeFrom="column">
              <wp:posOffset>2971165</wp:posOffset>
            </wp:positionH>
            <wp:positionV relativeFrom="paragraph">
              <wp:posOffset>3074035</wp:posOffset>
            </wp:positionV>
            <wp:extent cx="371475" cy="257810"/>
            <wp:effectExtent l="0" t="0" r="9525" b="8890"/>
            <wp:wrapNone/>
            <wp:docPr id="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
                    <pic:cNvPicPr>
                      <a:picLocks noChangeAspect="1"/>
                    </pic:cNvPicPr>
                  </pic:nvPicPr>
                  <pic:blipFill>
                    <a:blip r:embed="rId34"/>
                    <a:stretch>
                      <a:fillRect/>
                    </a:stretch>
                  </pic:blipFill>
                  <pic:spPr>
                    <a:xfrm>
                      <a:off x="0" y="0"/>
                      <a:ext cx="371475" cy="257810"/>
                    </a:xfrm>
                    <a:prstGeom prst="rect">
                      <a:avLst/>
                    </a:prstGeom>
                    <a:noFill/>
                    <a:ln w="9525">
                      <a:noFill/>
                    </a:ln>
                  </pic:spPr>
                </pic:pic>
              </a:graphicData>
            </a:graphic>
          </wp:anchor>
        </w:drawing>
      </w:r>
      <w:r>
        <w:rPr>
          <w:color w:val="auto"/>
          <w:highlight w:val="none"/>
        </w:rPr>
        <w:drawing>
          <wp:inline distT="0" distB="0" distL="114300" distR="114300">
            <wp:extent cx="5808345" cy="6109970"/>
            <wp:effectExtent l="0" t="0" r="1905" b="5080"/>
            <wp:docPr id="150" name="图片 150" descr="4楼图修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descr="4楼图修改"/>
                    <pic:cNvPicPr>
                      <a:picLocks noChangeAspect="1"/>
                    </pic:cNvPicPr>
                  </pic:nvPicPr>
                  <pic:blipFill>
                    <a:blip r:embed="rId35"/>
                    <a:stretch>
                      <a:fillRect/>
                    </a:stretch>
                  </pic:blipFill>
                  <pic:spPr>
                    <a:xfrm>
                      <a:off x="0" y="0"/>
                      <a:ext cx="5808345" cy="6109970"/>
                    </a:xfrm>
                    <a:prstGeom prst="rect">
                      <a:avLst/>
                    </a:prstGeom>
                  </pic:spPr>
                </pic:pic>
              </a:graphicData>
            </a:graphic>
          </wp:inline>
        </w:drawing>
      </w:r>
      <w:r>
        <w:rPr>
          <w:color w:val="auto"/>
          <w:highlight w:val="none"/>
        </w:rPr>
        <w:drawing>
          <wp:anchor distT="0" distB="0" distL="114300" distR="114300" simplePos="0" relativeHeight="251687936" behindDoc="0" locked="0" layoutInCell="1" allowOverlap="1">
            <wp:simplePos x="0" y="0"/>
            <wp:positionH relativeFrom="column">
              <wp:posOffset>-262890</wp:posOffset>
            </wp:positionH>
            <wp:positionV relativeFrom="paragraph">
              <wp:posOffset>6163310</wp:posOffset>
            </wp:positionV>
            <wp:extent cx="588010" cy="228600"/>
            <wp:effectExtent l="0" t="0" r="2540" b="0"/>
            <wp:wrapNone/>
            <wp:docPr id="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
                    <pic:cNvPicPr>
                      <a:picLocks noChangeAspect="1"/>
                    </pic:cNvPicPr>
                  </pic:nvPicPr>
                  <pic:blipFill>
                    <a:blip r:embed="rId32"/>
                    <a:stretch>
                      <a:fillRect/>
                    </a:stretch>
                  </pic:blipFill>
                  <pic:spPr>
                    <a:xfrm>
                      <a:off x="0" y="0"/>
                      <a:ext cx="588010" cy="228600"/>
                    </a:xfrm>
                    <a:prstGeom prst="rect">
                      <a:avLst/>
                    </a:prstGeom>
                    <a:noFill/>
                    <a:ln w="9525">
                      <a:noFill/>
                    </a:ln>
                  </pic:spPr>
                </pic:pic>
              </a:graphicData>
            </a:graphic>
          </wp:anchor>
        </w:drawing>
      </w:r>
    </w:p>
    <w:p w14:paraId="456F1B9D">
      <w:pPr>
        <w:pStyle w:val="31"/>
        <w:jc w:val="center"/>
        <w:rPr>
          <w:rFonts w:hint="eastAsia" w:ascii="宋体" w:hAnsi="宋体" w:eastAsia="宋体" w:cs="宋体"/>
          <w:b/>
          <w:bCs/>
          <w:color w:val="auto"/>
          <w:highlight w:val="none"/>
          <w:lang w:eastAsia="zh-CN"/>
        </w:rPr>
      </w:pPr>
    </w:p>
    <w:p w14:paraId="0F8631BA">
      <w:pPr>
        <w:pStyle w:val="31"/>
        <w:jc w:val="cente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附图</w:t>
      </w:r>
      <w:r>
        <w:rPr>
          <w:rFonts w:hint="eastAsia" w:ascii="宋体" w:hAnsi="宋体" w:eastAsia="宋体" w:cs="宋体"/>
          <w:b/>
          <w:bCs/>
          <w:color w:val="auto"/>
          <w:highlight w:val="none"/>
          <w:lang w:val="en-US" w:eastAsia="zh-CN"/>
        </w:rPr>
        <w:t>4四</w:t>
      </w:r>
      <w:r>
        <w:rPr>
          <w:rFonts w:hint="eastAsia" w:ascii="宋体" w:hAnsi="宋体" w:eastAsia="宋体" w:cs="宋体"/>
          <w:b/>
          <w:bCs/>
          <w:color w:val="auto"/>
          <w:highlight w:val="none"/>
          <w:lang w:eastAsia="zh-CN"/>
        </w:rPr>
        <w:t>层平面布置图</w:t>
      </w:r>
    </w:p>
    <w:p w14:paraId="45E9D829">
      <w:pPr>
        <w:pStyle w:val="31"/>
        <w:jc w:val="both"/>
        <w:rPr>
          <w:rFonts w:hint="eastAsia"/>
          <w:color w:val="auto"/>
          <w:highlight w:val="none"/>
          <w:lang w:val="en-US" w:eastAsia="zh-CN"/>
        </w:rPr>
      </w:pPr>
    </w:p>
    <w:p w14:paraId="2FF28C2E">
      <w:pPr>
        <w:pStyle w:val="31"/>
        <w:jc w:val="center"/>
        <w:rPr>
          <w:color w:val="auto"/>
          <w:highlight w:val="none"/>
        </w:rPr>
      </w:pPr>
    </w:p>
    <w:p w14:paraId="199373BC">
      <w:pPr>
        <w:pStyle w:val="31"/>
        <w:jc w:val="center"/>
        <w:rPr>
          <w:rFonts w:hint="eastAsia" w:ascii="宋体" w:hAnsi="宋体" w:eastAsia="宋体" w:cs="宋体"/>
          <w:b/>
          <w:bCs/>
          <w:color w:val="auto"/>
          <w:highlight w:val="none"/>
          <w:lang w:eastAsia="zh-CN"/>
        </w:rPr>
      </w:pPr>
    </w:p>
    <w:p w14:paraId="43DE22D3">
      <w:pPr>
        <w:pStyle w:val="31"/>
        <w:jc w:val="center"/>
        <w:rPr>
          <w:rFonts w:hint="eastAsia" w:ascii="宋体" w:hAnsi="宋体" w:eastAsia="宋体" w:cs="宋体"/>
          <w:b/>
          <w:bCs/>
          <w:color w:val="auto"/>
          <w:highlight w:val="none"/>
          <w:lang w:eastAsia="zh-CN"/>
        </w:rPr>
      </w:pPr>
    </w:p>
    <w:p w14:paraId="4A9A0ED1">
      <w:pPr>
        <w:pStyle w:val="31"/>
        <w:jc w:val="center"/>
        <w:rPr>
          <w:rFonts w:hint="eastAsia" w:ascii="宋体" w:hAnsi="宋体" w:eastAsia="宋体" w:cs="宋体"/>
          <w:b/>
          <w:bCs/>
          <w:color w:val="auto"/>
          <w:highlight w:val="none"/>
          <w:lang w:eastAsia="zh-CN"/>
        </w:rPr>
      </w:pPr>
    </w:p>
    <w:p w14:paraId="19CDED42">
      <w:pPr>
        <w:pStyle w:val="31"/>
        <w:jc w:val="center"/>
        <w:rPr>
          <w:rFonts w:hint="eastAsia" w:ascii="宋体" w:hAnsi="宋体" w:eastAsia="宋体" w:cs="宋体"/>
          <w:b/>
          <w:bCs/>
          <w:color w:val="auto"/>
          <w:highlight w:val="none"/>
          <w:lang w:eastAsia="zh-CN"/>
        </w:rPr>
      </w:pPr>
    </w:p>
    <w:p w14:paraId="18AB3AB2">
      <w:pPr>
        <w:pStyle w:val="31"/>
        <w:jc w:val="center"/>
        <w:rPr>
          <w:rFonts w:hint="eastAsia" w:ascii="宋体" w:hAnsi="宋体" w:eastAsia="宋体" w:cs="宋体"/>
          <w:b/>
          <w:bCs/>
          <w:color w:val="auto"/>
          <w:highlight w:val="none"/>
          <w:lang w:eastAsia="zh-CN"/>
        </w:rPr>
      </w:pPr>
    </w:p>
    <w:p w14:paraId="5C3B1710">
      <w:pPr>
        <w:pStyle w:val="31"/>
        <w:jc w:val="center"/>
        <w:rPr>
          <w:rFonts w:hint="eastAsia" w:ascii="宋体" w:hAnsi="宋体" w:eastAsia="宋体" w:cs="宋体"/>
          <w:b/>
          <w:bCs/>
          <w:color w:val="auto"/>
          <w:highlight w:val="none"/>
          <w:lang w:eastAsia="zh-CN"/>
        </w:rPr>
      </w:pPr>
      <w:r>
        <w:rPr>
          <w:color w:val="auto"/>
          <w:highlight w:val="none"/>
        </w:rPr>
        <w:drawing>
          <wp:anchor distT="0" distB="0" distL="114300" distR="114300" simplePos="0" relativeHeight="251724800" behindDoc="0" locked="0" layoutInCell="1" allowOverlap="1">
            <wp:simplePos x="0" y="0"/>
            <wp:positionH relativeFrom="column">
              <wp:posOffset>5283200</wp:posOffset>
            </wp:positionH>
            <wp:positionV relativeFrom="paragraph">
              <wp:posOffset>75565</wp:posOffset>
            </wp:positionV>
            <wp:extent cx="512445" cy="534670"/>
            <wp:effectExtent l="0" t="0" r="1905" b="17780"/>
            <wp:wrapNone/>
            <wp:docPr id="15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64"/>
                    <pic:cNvPicPr>
                      <a:picLocks noChangeAspect="1"/>
                    </pic:cNvPicPr>
                  </pic:nvPicPr>
                  <pic:blipFill>
                    <a:blip r:embed="rId30"/>
                    <a:stretch>
                      <a:fillRect/>
                    </a:stretch>
                  </pic:blipFill>
                  <pic:spPr>
                    <a:xfrm>
                      <a:off x="0" y="0"/>
                      <a:ext cx="512445" cy="534670"/>
                    </a:xfrm>
                    <a:prstGeom prst="rect">
                      <a:avLst/>
                    </a:prstGeom>
                    <a:noFill/>
                    <a:ln w="9525">
                      <a:noFill/>
                    </a:ln>
                  </pic:spPr>
                </pic:pic>
              </a:graphicData>
            </a:graphic>
          </wp:anchor>
        </w:drawing>
      </w:r>
    </w:p>
    <w:p w14:paraId="3E9BB6D8">
      <w:pPr>
        <w:pStyle w:val="31"/>
        <w:jc w:val="both"/>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drawing>
          <wp:inline distT="0" distB="0" distL="114300" distR="114300">
            <wp:extent cx="5809615" cy="6015355"/>
            <wp:effectExtent l="0" t="0" r="635" b="4445"/>
            <wp:docPr id="151" name="图片 151" descr="5楼图修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5楼图修改"/>
                    <pic:cNvPicPr>
                      <a:picLocks noChangeAspect="1"/>
                    </pic:cNvPicPr>
                  </pic:nvPicPr>
                  <pic:blipFill>
                    <a:blip r:embed="rId36"/>
                    <a:stretch>
                      <a:fillRect/>
                    </a:stretch>
                  </pic:blipFill>
                  <pic:spPr>
                    <a:xfrm>
                      <a:off x="0" y="0"/>
                      <a:ext cx="5809615" cy="6015355"/>
                    </a:xfrm>
                    <a:prstGeom prst="rect">
                      <a:avLst/>
                    </a:prstGeom>
                  </pic:spPr>
                </pic:pic>
              </a:graphicData>
            </a:graphic>
          </wp:inline>
        </w:drawing>
      </w:r>
    </w:p>
    <w:p w14:paraId="4BCBACFE">
      <w:pPr>
        <w:pStyle w:val="31"/>
        <w:jc w:val="center"/>
        <w:rPr>
          <w:rFonts w:hint="eastAsia" w:ascii="宋体" w:hAnsi="宋体" w:eastAsia="宋体" w:cs="宋体"/>
          <w:b/>
          <w:bCs/>
          <w:color w:val="auto"/>
          <w:highlight w:val="none"/>
          <w:lang w:eastAsia="zh-CN"/>
        </w:rPr>
      </w:pPr>
      <w:r>
        <w:rPr>
          <w:color w:val="auto"/>
          <w:highlight w:val="none"/>
        </w:rPr>
        <w:drawing>
          <wp:anchor distT="0" distB="0" distL="114300" distR="114300" simplePos="0" relativeHeight="251679744" behindDoc="0" locked="0" layoutInCell="1" allowOverlap="1">
            <wp:simplePos x="0" y="0"/>
            <wp:positionH relativeFrom="column">
              <wp:posOffset>-160020</wp:posOffset>
            </wp:positionH>
            <wp:positionV relativeFrom="paragraph">
              <wp:posOffset>22225</wp:posOffset>
            </wp:positionV>
            <wp:extent cx="588010" cy="228600"/>
            <wp:effectExtent l="0" t="0" r="2540" b="0"/>
            <wp:wrapNone/>
            <wp:docPr id="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
                    <pic:cNvPicPr>
                      <a:picLocks noChangeAspect="1"/>
                    </pic:cNvPicPr>
                  </pic:nvPicPr>
                  <pic:blipFill>
                    <a:blip r:embed="rId32"/>
                    <a:stretch>
                      <a:fillRect/>
                    </a:stretch>
                  </pic:blipFill>
                  <pic:spPr>
                    <a:xfrm>
                      <a:off x="0" y="0"/>
                      <a:ext cx="588010" cy="228600"/>
                    </a:xfrm>
                    <a:prstGeom prst="rect">
                      <a:avLst/>
                    </a:prstGeom>
                    <a:noFill/>
                    <a:ln w="9525">
                      <a:noFill/>
                    </a:ln>
                  </pic:spPr>
                </pic:pic>
              </a:graphicData>
            </a:graphic>
          </wp:anchor>
        </w:drawing>
      </w:r>
    </w:p>
    <w:p w14:paraId="47CD1F83">
      <w:pPr>
        <w:pStyle w:val="31"/>
        <w:jc w:val="cente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附图</w:t>
      </w:r>
      <w:r>
        <w:rPr>
          <w:rFonts w:hint="eastAsia" w:ascii="宋体" w:hAnsi="宋体" w:eastAsia="宋体" w:cs="宋体"/>
          <w:b/>
          <w:bCs/>
          <w:color w:val="auto"/>
          <w:highlight w:val="none"/>
          <w:lang w:val="en-US" w:eastAsia="zh-CN"/>
        </w:rPr>
        <w:t>5五</w:t>
      </w:r>
      <w:r>
        <w:rPr>
          <w:rFonts w:hint="eastAsia" w:ascii="宋体" w:hAnsi="宋体" w:eastAsia="宋体" w:cs="宋体"/>
          <w:b/>
          <w:bCs/>
          <w:color w:val="auto"/>
          <w:highlight w:val="none"/>
          <w:lang w:eastAsia="zh-CN"/>
        </w:rPr>
        <w:t>层平面布置图</w:t>
      </w:r>
    </w:p>
    <w:p w14:paraId="375DB2C2">
      <w:pPr>
        <w:pStyle w:val="31"/>
        <w:jc w:val="center"/>
        <w:rPr>
          <w:rFonts w:hint="eastAsia" w:ascii="宋体" w:hAnsi="宋体" w:eastAsia="宋体" w:cs="宋体"/>
          <w:b/>
          <w:bCs/>
          <w:color w:val="auto"/>
          <w:highlight w:val="none"/>
          <w:lang w:eastAsia="zh-CN"/>
        </w:rPr>
      </w:pPr>
    </w:p>
    <w:p w14:paraId="3B9CC2C6">
      <w:pPr>
        <w:pStyle w:val="31"/>
        <w:jc w:val="center"/>
        <w:rPr>
          <w:rFonts w:hint="eastAsia" w:ascii="宋体" w:hAnsi="宋体" w:eastAsia="宋体" w:cs="宋体"/>
          <w:b/>
          <w:bCs/>
          <w:color w:val="auto"/>
          <w:highlight w:val="none"/>
          <w:lang w:eastAsia="zh-CN"/>
        </w:rPr>
      </w:pPr>
    </w:p>
    <w:p w14:paraId="2FCC68E8">
      <w:pPr>
        <w:pStyle w:val="31"/>
        <w:jc w:val="center"/>
        <w:rPr>
          <w:rFonts w:hint="eastAsia" w:ascii="宋体" w:hAnsi="宋体" w:eastAsia="宋体" w:cs="宋体"/>
          <w:b/>
          <w:bCs/>
          <w:color w:val="auto"/>
          <w:highlight w:val="none"/>
          <w:lang w:eastAsia="zh-CN"/>
        </w:rPr>
      </w:pPr>
    </w:p>
    <w:p w14:paraId="089335F1">
      <w:pPr>
        <w:pStyle w:val="31"/>
        <w:jc w:val="center"/>
        <w:rPr>
          <w:rFonts w:hint="eastAsia" w:ascii="宋体" w:hAnsi="宋体" w:eastAsia="宋体" w:cs="宋体"/>
          <w:b/>
          <w:bCs/>
          <w:color w:val="auto"/>
          <w:highlight w:val="none"/>
          <w:lang w:eastAsia="zh-CN"/>
        </w:rPr>
      </w:pPr>
    </w:p>
    <w:p w14:paraId="6F79A640">
      <w:pPr>
        <w:pStyle w:val="31"/>
        <w:jc w:val="center"/>
        <w:rPr>
          <w:rFonts w:hint="eastAsia" w:ascii="宋体" w:hAnsi="宋体" w:eastAsia="宋体" w:cs="宋体"/>
          <w:b/>
          <w:bCs/>
          <w:color w:val="auto"/>
          <w:highlight w:val="none"/>
          <w:lang w:eastAsia="zh-CN"/>
        </w:rPr>
      </w:pPr>
    </w:p>
    <w:p w14:paraId="4457C2B2">
      <w:pPr>
        <w:pStyle w:val="31"/>
        <w:jc w:val="center"/>
        <w:rPr>
          <w:rFonts w:hint="eastAsia" w:ascii="宋体" w:hAnsi="宋体" w:eastAsia="宋体" w:cs="宋体"/>
          <w:b/>
          <w:bCs/>
          <w:color w:val="auto"/>
          <w:highlight w:val="none"/>
          <w:lang w:eastAsia="zh-CN"/>
        </w:rPr>
      </w:pPr>
    </w:p>
    <w:p w14:paraId="67C931A7">
      <w:pPr>
        <w:pStyle w:val="31"/>
        <w:jc w:val="center"/>
        <w:rPr>
          <w:rFonts w:hint="eastAsia" w:ascii="宋体" w:hAnsi="宋体" w:eastAsia="宋体" w:cs="宋体"/>
          <w:b/>
          <w:bCs/>
          <w:color w:val="auto"/>
          <w:highlight w:val="none"/>
          <w:lang w:val="en-US" w:eastAsia="zh-CN"/>
        </w:rPr>
        <w:sectPr>
          <w:footerReference r:id="rId7" w:type="default"/>
          <w:pgSz w:w="11907" w:h="16840"/>
          <w:pgMar w:top="1757" w:right="1474" w:bottom="1757" w:left="1276" w:header="851" w:footer="567" w:gutter="0"/>
          <w:pgNumType w:fmt="decimal"/>
          <w:cols w:space="0" w:num="1"/>
          <w:rtlGutter w:val="0"/>
          <w:docGrid w:type="lines" w:linePitch="327" w:charSpace="0"/>
        </w:sectPr>
      </w:pPr>
      <w:r>
        <w:rPr>
          <w:rFonts w:hint="eastAsia" w:ascii="宋体" w:hAnsi="宋体" w:eastAsia="宋体" w:cs="宋体"/>
          <w:b/>
          <w:bCs/>
          <w:color w:val="auto"/>
          <w:highlight w:val="none"/>
          <w:lang w:val="en-US" w:eastAsia="zh-CN"/>
        </w:rPr>
        <w:t xml:space="preserve">                                                          </w:t>
      </w:r>
    </w:p>
    <w:p w14:paraId="62DF2CC6">
      <w:pPr>
        <w:pStyle w:val="31"/>
        <w:jc w:val="both"/>
        <w:rPr>
          <w:color w:val="auto"/>
          <w:highlight w:val="none"/>
        </w:rPr>
      </w:pPr>
    </w:p>
    <w:p w14:paraId="4D5E15AD">
      <w:pPr>
        <w:pStyle w:val="31"/>
        <w:jc w:val="both"/>
        <w:rPr>
          <w:color w:val="auto"/>
          <w:highlight w:val="none"/>
        </w:rPr>
      </w:pPr>
    </w:p>
    <w:p w14:paraId="65372C52">
      <w:pPr>
        <w:pStyle w:val="31"/>
        <w:jc w:val="both"/>
        <w:rPr>
          <w:rFonts w:hint="eastAsia" w:ascii="宋体" w:hAnsi="宋体" w:eastAsia="宋体" w:cs="宋体"/>
          <w:b/>
          <w:bCs/>
          <w:color w:val="auto"/>
          <w:highlight w:val="none"/>
          <w:lang w:val="en-US" w:eastAsia="zh-CN"/>
        </w:rPr>
      </w:pPr>
      <w:r>
        <w:rPr>
          <w:color w:val="auto"/>
          <w:highlight w:val="none"/>
        </w:rPr>
        <w:drawing>
          <wp:inline distT="0" distB="0" distL="114300" distR="114300">
            <wp:extent cx="8455660" cy="4186555"/>
            <wp:effectExtent l="0" t="0" r="2540" b="4445"/>
            <wp:docPr id="1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4"/>
                    <pic:cNvPicPr>
                      <a:picLocks noChangeAspect="1"/>
                    </pic:cNvPicPr>
                  </pic:nvPicPr>
                  <pic:blipFill>
                    <a:blip r:embed="rId37"/>
                    <a:stretch>
                      <a:fillRect/>
                    </a:stretch>
                  </pic:blipFill>
                  <pic:spPr>
                    <a:xfrm>
                      <a:off x="0" y="0"/>
                      <a:ext cx="8455660" cy="4186555"/>
                    </a:xfrm>
                    <a:prstGeom prst="rect">
                      <a:avLst/>
                    </a:prstGeom>
                    <a:noFill/>
                    <a:ln w="9525">
                      <a:noFill/>
                    </a:ln>
                  </pic:spPr>
                </pic:pic>
              </a:graphicData>
            </a:graphic>
          </wp:inline>
        </w:drawing>
      </w:r>
    </w:p>
    <w:p w14:paraId="42DC232C">
      <w:pPr>
        <w:rPr>
          <w:rFonts w:hint="default"/>
          <w:color w:val="auto"/>
          <w:highlight w:val="none"/>
        </w:rPr>
      </w:pPr>
    </w:p>
    <w:p w14:paraId="24141AE5">
      <w:pPr>
        <w:rPr>
          <w:rFonts w:hint="default"/>
          <w:color w:val="auto"/>
          <w:highlight w:val="none"/>
        </w:rPr>
      </w:pPr>
    </w:p>
    <w:p w14:paraId="32AA3F0C">
      <w:pPr>
        <w:jc w:val="center"/>
        <w:rPr>
          <w:rFonts w:hint="default" w:ascii="Times New Roman" w:hAnsi="Times New Roman" w:cs="Times New Roman"/>
          <w:b/>
          <w:bCs/>
          <w:color w:val="auto"/>
          <w:sz w:val="24"/>
          <w:szCs w:val="24"/>
          <w:highlight w:val="none"/>
        </w:rPr>
      </w:pPr>
      <w:r>
        <w:rPr>
          <w:rFonts w:hint="eastAsia"/>
          <w:color w:val="auto"/>
          <w:highlight w:val="none"/>
          <w:lang w:eastAsia="zh-CN"/>
        </w:rPr>
        <w:tab/>
      </w:r>
      <w:r>
        <w:rPr>
          <w:rFonts w:hint="eastAsia" w:cs="Times New Roman"/>
          <w:color w:val="auto"/>
          <w:kern w:val="2"/>
          <w:sz w:val="21"/>
          <w:szCs w:val="21"/>
          <w:highlight w:val="none"/>
          <w:lang w:val="en-US" w:eastAsia="zh-CN" w:bidi="ar-SA"/>
        </w:rPr>
        <w:tab/>
      </w:r>
      <w:r>
        <w:rPr>
          <w:rFonts w:hint="default" w:ascii="Times New Roman" w:hAnsi="Times New Roman" w:cs="Times New Roman"/>
          <w:b/>
          <w:bCs/>
          <w:color w:val="auto"/>
          <w:sz w:val="24"/>
          <w:szCs w:val="24"/>
          <w:highlight w:val="none"/>
        </w:rPr>
        <w:t>附图</w:t>
      </w:r>
      <w:r>
        <w:rPr>
          <w:rFonts w:hint="eastAsia" w:cs="Times New Roman"/>
          <w:b/>
          <w:bCs/>
          <w:color w:val="auto"/>
          <w:sz w:val="24"/>
          <w:szCs w:val="24"/>
          <w:highlight w:val="none"/>
          <w:lang w:val="en-US" w:eastAsia="zh-CN"/>
        </w:rPr>
        <w:t>6</w:t>
      </w:r>
      <w:r>
        <w:rPr>
          <w:rFonts w:hint="default" w:ascii="Times New Roman" w:hAnsi="Times New Roman" w:cs="Times New Roman"/>
          <w:b/>
          <w:bCs/>
          <w:color w:val="auto"/>
          <w:sz w:val="24"/>
          <w:szCs w:val="24"/>
          <w:highlight w:val="none"/>
        </w:rPr>
        <w:t>项目周边关系图</w:t>
      </w:r>
    </w:p>
    <w:p w14:paraId="3A4EAF8A">
      <w:pPr>
        <w:pStyle w:val="31"/>
        <w:jc w:val="center"/>
        <w:rPr>
          <w:color w:val="auto"/>
          <w:highlight w:val="none"/>
        </w:rPr>
      </w:pPr>
    </w:p>
    <w:p w14:paraId="6F1D56D3">
      <w:pPr>
        <w:pStyle w:val="31"/>
        <w:jc w:val="center"/>
        <w:rPr>
          <w:color w:val="auto"/>
          <w:highlight w:val="none"/>
        </w:rPr>
      </w:pPr>
    </w:p>
    <w:p w14:paraId="0AFA322C">
      <w:pPr>
        <w:pStyle w:val="31"/>
        <w:jc w:val="both"/>
        <w:rPr>
          <w:color w:val="auto"/>
          <w:highlight w:val="none"/>
        </w:rPr>
      </w:pPr>
      <w:r>
        <w:rPr>
          <w:color w:val="auto"/>
          <w:highlight w:val="none"/>
        </w:rPr>
        <w:drawing>
          <wp:anchor distT="0" distB="0" distL="114300" distR="114300" simplePos="0" relativeHeight="251659264" behindDoc="0" locked="0" layoutInCell="1" allowOverlap="1">
            <wp:simplePos x="0" y="0"/>
            <wp:positionH relativeFrom="column">
              <wp:posOffset>7458075</wp:posOffset>
            </wp:positionH>
            <wp:positionV relativeFrom="paragraph">
              <wp:posOffset>-121920</wp:posOffset>
            </wp:positionV>
            <wp:extent cx="512445" cy="534670"/>
            <wp:effectExtent l="0" t="0" r="1905" b="17780"/>
            <wp:wrapNone/>
            <wp:docPr id="8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64"/>
                    <pic:cNvPicPr>
                      <a:picLocks noChangeAspect="1"/>
                    </pic:cNvPicPr>
                  </pic:nvPicPr>
                  <pic:blipFill>
                    <a:blip r:embed="rId30"/>
                    <a:stretch>
                      <a:fillRect/>
                    </a:stretch>
                  </pic:blipFill>
                  <pic:spPr>
                    <a:xfrm>
                      <a:off x="0" y="0"/>
                      <a:ext cx="512445" cy="534670"/>
                    </a:xfrm>
                    <a:prstGeom prst="rect">
                      <a:avLst/>
                    </a:prstGeom>
                    <a:noFill/>
                    <a:ln w="9525">
                      <a:noFill/>
                    </a:ln>
                  </pic:spPr>
                </pic:pic>
              </a:graphicData>
            </a:graphic>
          </wp:anchor>
        </w:drawing>
      </w:r>
      <w:r>
        <w:rPr>
          <w:color w:val="auto"/>
          <w:highlight w:val="none"/>
        </w:rPr>
        <w:drawing>
          <wp:anchor distT="0" distB="0" distL="114300" distR="114300" simplePos="0" relativeHeight="251725824" behindDoc="1" locked="0" layoutInCell="1" allowOverlap="1">
            <wp:simplePos x="0" y="0"/>
            <wp:positionH relativeFrom="column">
              <wp:posOffset>412750</wp:posOffset>
            </wp:positionH>
            <wp:positionV relativeFrom="paragraph">
              <wp:posOffset>-160020</wp:posOffset>
            </wp:positionV>
            <wp:extent cx="7590790" cy="5752465"/>
            <wp:effectExtent l="0" t="0" r="10160" b="635"/>
            <wp:wrapNone/>
            <wp:docPr id="15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5"/>
                    <pic:cNvPicPr>
                      <a:picLocks noChangeAspect="1"/>
                    </pic:cNvPicPr>
                  </pic:nvPicPr>
                  <pic:blipFill>
                    <a:blip r:embed="rId38"/>
                    <a:stretch>
                      <a:fillRect/>
                    </a:stretch>
                  </pic:blipFill>
                  <pic:spPr>
                    <a:xfrm>
                      <a:off x="0" y="0"/>
                      <a:ext cx="7590790" cy="5752465"/>
                    </a:xfrm>
                    <a:prstGeom prst="rect">
                      <a:avLst/>
                    </a:prstGeom>
                    <a:noFill/>
                    <a:ln w="9525">
                      <a:noFill/>
                    </a:ln>
                  </pic:spPr>
                </pic:pic>
              </a:graphicData>
            </a:graphic>
          </wp:anchor>
        </w:drawing>
      </w:r>
    </w:p>
    <w:p w14:paraId="77CF2C95">
      <w:pPr>
        <w:pStyle w:val="31"/>
        <w:jc w:val="center"/>
        <w:rPr>
          <w:color w:val="auto"/>
          <w:highlight w:val="none"/>
        </w:rPr>
      </w:pPr>
    </w:p>
    <w:p w14:paraId="0A97168B">
      <w:pPr>
        <w:pStyle w:val="31"/>
        <w:jc w:val="center"/>
        <w:rPr>
          <w:color w:val="auto"/>
          <w:highlight w:val="none"/>
        </w:rPr>
      </w:pPr>
    </w:p>
    <w:p w14:paraId="36FE5C79">
      <w:pPr>
        <w:pStyle w:val="31"/>
        <w:jc w:val="center"/>
        <w:rPr>
          <w:color w:val="auto"/>
          <w:highlight w:val="none"/>
        </w:rPr>
      </w:pPr>
    </w:p>
    <w:p w14:paraId="3833A1D0">
      <w:pPr>
        <w:pStyle w:val="31"/>
        <w:jc w:val="center"/>
        <w:rPr>
          <w:color w:val="auto"/>
          <w:highlight w:val="none"/>
        </w:rPr>
      </w:pPr>
    </w:p>
    <w:p w14:paraId="666F3AD5">
      <w:pPr>
        <w:pStyle w:val="31"/>
        <w:jc w:val="center"/>
        <w:rPr>
          <w:color w:val="auto"/>
          <w:highlight w:val="none"/>
        </w:rPr>
      </w:pPr>
    </w:p>
    <w:p w14:paraId="0C71AACD">
      <w:pPr>
        <w:pStyle w:val="31"/>
        <w:jc w:val="center"/>
        <w:rPr>
          <w:color w:val="auto"/>
          <w:highlight w:val="none"/>
        </w:rPr>
      </w:pPr>
    </w:p>
    <w:p w14:paraId="38DA8782">
      <w:pPr>
        <w:pStyle w:val="31"/>
        <w:jc w:val="center"/>
        <w:rPr>
          <w:color w:val="auto"/>
          <w:highlight w:val="none"/>
        </w:rPr>
      </w:pPr>
    </w:p>
    <w:p w14:paraId="1D51A522">
      <w:pPr>
        <w:pStyle w:val="2"/>
        <w:ind w:left="0" w:leftChars="0" w:firstLine="0" w:firstLineChars="0"/>
        <w:jc w:val="center"/>
        <w:rPr>
          <w:rFonts w:hint="eastAsia"/>
          <w:b/>
          <w:bCs/>
          <w:color w:val="auto"/>
          <w:highlight w:val="none"/>
          <w:lang w:eastAsia="zh-CN"/>
        </w:rPr>
      </w:pPr>
    </w:p>
    <w:p w14:paraId="51A5F424">
      <w:pPr>
        <w:pStyle w:val="2"/>
        <w:ind w:left="0" w:leftChars="0" w:firstLine="0" w:firstLineChars="0"/>
        <w:jc w:val="center"/>
        <w:rPr>
          <w:rFonts w:hint="eastAsia"/>
          <w:b/>
          <w:bCs/>
          <w:color w:val="auto"/>
          <w:highlight w:val="none"/>
          <w:lang w:eastAsia="zh-CN"/>
        </w:rPr>
      </w:pPr>
    </w:p>
    <w:p w14:paraId="7CF8501F">
      <w:pPr>
        <w:pStyle w:val="2"/>
        <w:ind w:left="0" w:leftChars="0" w:firstLine="0" w:firstLineChars="0"/>
        <w:jc w:val="center"/>
        <w:rPr>
          <w:rFonts w:hint="eastAsia"/>
          <w:b/>
          <w:bCs/>
          <w:color w:val="auto"/>
          <w:highlight w:val="none"/>
          <w:lang w:eastAsia="zh-CN"/>
        </w:rPr>
      </w:pPr>
    </w:p>
    <w:p w14:paraId="76840FFF">
      <w:pPr>
        <w:pStyle w:val="2"/>
        <w:ind w:left="0" w:leftChars="0" w:firstLine="0" w:firstLineChars="0"/>
        <w:jc w:val="center"/>
        <w:rPr>
          <w:rFonts w:hint="eastAsia"/>
          <w:b/>
          <w:bCs/>
          <w:color w:val="auto"/>
          <w:highlight w:val="none"/>
          <w:lang w:eastAsia="zh-CN"/>
        </w:rPr>
      </w:pPr>
    </w:p>
    <w:p w14:paraId="3DCB6DB3">
      <w:pPr>
        <w:pStyle w:val="2"/>
        <w:ind w:left="0" w:leftChars="0" w:firstLine="0" w:firstLineChars="0"/>
        <w:jc w:val="center"/>
        <w:rPr>
          <w:rFonts w:hint="eastAsia"/>
          <w:b/>
          <w:bCs/>
          <w:color w:val="auto"/>
          <w:highlight w:val="none"/>
          <w:lang w:eastAsia="zh-CN"/>
        </w:rPr>
      </w:pPr>
    </w:p>
    <w:p w14:paraId="1CB72F0E">
      <w:pPr>
        <w:pStyle w:val="2"/>
        <w:ind w:left="0" w:leftChars="0" w:firstLine="0" w:firstLineChars="0"/>
        <w:jc w:val="center"/>
        <w:rPr>
          <w:rFonts w:hint="eastAsia"/>
          <w:b/>
          <w:bCs/>
          <w:color w:val="auto"/>
          <w:highlight w:val="none"/>
          <w:lang w:eastAsia="zh-CN"/>
        </w:rPr>
      </w:pPr>
    </w:p>
    <w:p w14:paraId="72AFCDD2">
      <w:pPr>
        <w:pStyle w:val="2"/>
        <w:ind w:left="0" w:leftChars="0" w:firstLine="0" w:firstLineChars="0"/>
        <w:jc w:val="center"/>
        <w:rPr>
          <w:rFonts w:hint="eastAsia"/>
          <w:b/>
          <w:bCs/>
          <w:color w:val="auto"/>
          <w:highlight w:val="none"/>
          <w:lang w:eastAsia="zh-CN"/>
        </w:rPr>
      </w:pPr>
    </w:p>
    <w:p w14:paraId="38474204">
      <w:pPr>
        <w:pStyle w:val="2"/>
        <w:ind w:left="0" w:leftChars="0" w:firstLine="0" w:firstLineChars="0"/>
        <w:jc w:val="center"/>
        <w:rPr>
          <w:rFonts w:hint="eastAsia"/>
          <w:b/>
          <w:bCs/>
          <w:color w:val="auto"/>
          <w:highlight w:val="none"/>
          <w:lang w:eastAsia="zh-CN"/>
        </w:rPr>
      </w:pPr>
      <w:r>
        <w:rPr>
          <w:color w:val="auto"/>
          <w:highlight w:val="none"/>
        </w:rPr>
        <w:drawing>
          <wp:anchor distT="0" distB="0" distL="114300" distR="114300" simplePos="0" relativeHeight="251725824" behindDoc="0" locked="0" layoutInCell="1" allowOverlap="1">
            <wp:simplePos x="0" y="0"/>
            <wp:positionH relativeFrom="column">
              <wp:posOffset>412115</wp:posOffset>
            </wp:positionH>
            <wp:positionV relativeFrom="paragraph">
              <wp:posOffset>287020</wp:posOffset>
            </wp:positionV>
            <wp:extent cx="533400" cy="171450"/>
            <wp:effectExtent l="0" t="0" r="0" b="0"/>
            <wp:wrapNone/>
            <wp:docPr id="15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6"/>
                    <pic:cNvPicPr>
                      <a:picLocks noChangeAspect="1"/>
                    </pic:cNvPicPr>
                  </pic:nvPicPr>
                  <pic:blipFill>
                    <a:blip r:embed="rId39"/>
                    <a:stretch>
                      <a:fillRect/>
                    </a:stretch>
                  </pic:blipFill>
                  <pic:spPr>
                    <a:xfrm>
                      <a:off x="0" y="0"/>
                      <a:ext cx="533400" cy="171450"/>
                    </a:xfrm>
                    <a:prstGeom prst="rect">
                      <a:avLst/>
                    </a:prstGeom>
                    <a:noFill/>
                    <a:ln w="9525">
                      <a:noFill/>
                    </a:ln>
                  </pic:spPr>
                </pic:pic>
              </a:graphicData>
            </a:graphic>
          </wp:anchor>
        </w:drawing>
      </w:r>
      <w:r>
        <w:rPr>
          <w:rFonts w:hint="eastAsia"/>
          <w:b/>
          <w:bCs/>
          <w:color w:val="auto"/>
          <w:highlight w:val="none"/>
          <w:lang w:eastAsia="zh-CN"/>
        </w:rPr>
        <w:tab/>
      </w:r>
    </w:p>
    <w:p w14:paraId="4223BCCE">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outlineLvl w:val="9"/>
        <w:rPr>
          <w:rFonts w:hint="eastAsia"/>
          <w:b/>
          <w:bCs/>
          <w:color w:val="auto"/>
          <w:highlight w:val="none"/>
          <w:lang w:val="en-US" w:eastAsia="zh-CN"/>
        </w:rPr>
        <w:sectPr>
          <w:footerReference r:id="rId8" w:type="default"/>
          <w:pgSz w:w="16840" w:h="11907" w:orient="landscape"/>
          <w:pgMar w:top="1276" w:right="1757" w:bottom="1474" w:left="1757" w:header="851" w:footer="567" w:gutter="0"/>
          <w:pgNumType w:fmt="decimal"/>
          <w:cols w:space="0" w:num="1"/>
          <w:rtlGutter w:val="0"/>
          <w:docGrid w:type="lines" w:linePitch="327" w:charSpace="0"/>
        </w:sectPr>
      </w:pPr>
      <w:r>
        <w:rPr>
          <w:rFonts w:hint="eastAsia"/>
          <w:b/>
          <w:bCs/>
          <w:color w:val="auto"/>
          <w:highlight w:val="none"/>
          <w:lang w:eastAsia="zh-CN"/>
        </w:rPr>
        <w:t>附图</w:t>
      </w:r>
      <w:r>
        <w:rPr>
          <w:rFonts w:hint="eastAsia"/>
          <w:b/>
          <w:bCs/>
          <w:color w:val="auto"/>
          <w:highlight w:val="none"/>
          <w:lang w:val="en-US" w:eastAsia="zh-CN"/>
        </w:rPr>
        <w:t>7监测点位图</w:t>
      </w:r>
    </w:p>
    <w:p w14:paraId="07E27B81">
      <w:pPr>
        <w:pStyle w:val="31"/>
        <w:rPr>
          <w:color w:val="auto"/>
          <w:highlight w:val="none"/>
        </w:rPr>
      </w:pPr>
      <w:r>
        <w:rPr>
          <w:color w:val="auto"/>
          <w:highlight w:val="none"/>
        </w:rPr>
        <w:drawing>
          <wp:anchor distT="0" distB="0" distL="114300" distR="114300" simplePos="0" relativeHeight="251662336" behindDoc="0" locked="0" layoutInCell="1" allowOverlap="1">
            <wp:simplePos x="0" y="0"/>
            <wp:positionH relativeFrom="column">
              <wp:posOffset>8190230</wp:posOffset>
            </wp:positionH>
            <wp:positionV relativeFrom="paragraph">
              <wp:posOffset>81915</wp:posOffset>
            </wp:positionV>
            <wp:extent cx="512445" cy="534670"/>
            <wp:effectExtent l="0" t="0" r="1905" b="17780"/>
            <wp:wrapNone/>
            <wp:docPr id="159"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64"/>
                    <pic:cNvPicPr>
                      <a:picLocks noChangeAspect="1"/>
                    </pic:cNvPicPr>
                  </pic:nvPicPr>
                  <pic:blipFill>
                    <a:blip r:embed="rId30"/>
                    <a:stretch>
                      <a:fillRect/>
                    </a:stretch>
                  </pic:blipFill>
                  <pic:spPr>
                    <a:xfrm>
                      <a:off x="0" y="0"/>
                      <a:ext cx="512445" cy="534670"/>
                    </a:xfrm>
                    <a:prstGeom prst="rect">
                      <a:avLst/>
                    </a:prstGeom>
                    <a:noFill/>
                    <a:ln w="9525">
                      <a:noFill/>
                    </a:ln>
                  </pic:spPr>
                </pic:pic>
              </a:graphicData>
            </a:graphic>
          </wp:anchor>
        </w:drawing>
      </w:r>
    </w:p>
    <w:p w14:paraId="6D590652">
      <w:pPr>
        <w:pStyle w:val="31"/>
        <w:rPr>
          <w:color w:val="auto"/>
          <w:highlight w:val="none"/>
        </w:rPr>
      </w:pPr>
    </w:p>
    <w:p w14:paraId="72000B10">
      <w:pPr>
        <w:pStyle w:val="31"/>
        <w:rPr>
          <w:color w:val="auto"/>
          <w:highlight w:val="none"/>
        </w:rPr>
      </w:pPr>
      <w:r>
        <w:rPr>
          <w:color w:val="auto"/>
          <w:highlight w:val="none"/>
        </w:rPr>
        <w:drawing>
          <wp:anchor distT="0" distB="0" distL="114300" distR="114300" simplePos="0" relativeHeight="251743232" behindDoc="1" locked="0" layoutInCell="1" allowOverlap="1">
            <wp:simplePos x="0" y="0"/>
            <wp:positionH relativeFrom="column">
              <wp:posOffset>-287655</wp:posOffset>
            </wp:positionH>
            <wp:positionV relativeFrom="paragraph">
              <wp:posOffset>6985</wp:posOffset>
            </wp:positionV>
            <wp:extent cx="8980170" cy="4311650"/>
            <wp:effectExtent l="0" t="0" r="11430" b="12700"/>
            <wp:wrapNone/>
            <wp:docPr id="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
                    <pic:cNvPicPr>
                      <a:picLocks noChangeAspect="1"/>
                    </pic:cNvPicPr>
                  </pic:nvPicPr>
                  <pic:blipFill>
                    <a:blip r:embed="rId40"/>
                    <a:stretch>
                      <a:fillRect/>
                    </a:stretch>
                  </pic:blipFill>
                  <pic:spPr>
                    <a:xfrm>
                      <a:off x="0" y="0"/>
                      <a:ext cx="8980170" cy="4311650"/>
                    </a:xfrm>
                    <a:prstGeom prst="rect">
                      <a:avLst/>
                    </a:prstGeom>
                    <a:noFill/>
                    <a:ln w="9525">
                      <a:noFill/>
                    </a:ln>
                  </pic:spPr>
                </pic:pic>
              </a:graphicData>
            </a:graphic>
          </wp:anchor>
        </w:drawing>
      </w:r>
    </w:p>
    <w:p w14:paraId="4A595EDA">
      <w:pPr>
        <w:pStyle w:val="31"/>
        <w:rPr>
          <w:color w:val="auto"/>
          <w:highlight w:val="none"/>
        </w:rPr>
      </w:pPr>
    </w:p>
    <w:p w14:paraId="1FFB8B95">
      <w:pPr>
        <w:pStyle w:val="31"/>
        <w:rPr>
          <w:color w:val="auto"/>
          <w:highlight w:val="none"/>
        </w:rPr>
      </w:pPr>
    </w:p>
    <w:p w14:paraId="1FBBC132">
      <w:pPr>
        <w:pStyle w:val="31"/>
        <w:rPr>
          <w:color w:val="auto"/>
          <w:highlight w:val="none"/>
        </w:rPr>
      </w:pPr>
    </w:p>
    <w:p w14:paraId="0CE7440B">
      <w:pPr>
        <w:pStyle w:val="31"/>
        <w:rPr>
          <w:color w:val="auto"/>
          <w:highlight w:val="none"/>
        </w:rPr>
      </w:pPr>
    </w:p>
    <w:p w14:paraId="6BFA2C42">
      <w:pPr>
        <w:pStyle w:val="31"/>
        <w:rPr>
          <w:color w:val="auto"/>
          <w:highlight w:val="none"/>
        </w:rPr>
      </w:pPr>
    </w:p>
    <w:p w14:paraId="560C75B9">
      <w:pPr>
        <w:pStyle w:val="31"/>
        <w:rPr>
          <w:color w:val="auto"/>
          <w:highlight w:val="none"/>
        </w:rPr>
      </w:pPr>
    </w:p>
    <w:p w14:paraId="5664BAAF">
      <w:pPr>
        <w:pStyle w:val="31"/>
        <w:rPr>
          <w:color w:val="auto"/>
          <w:highlight w:val="none"/>
        </w:rPr>
      </w:pPr>
    </w:p>
    <w:p w14:paraId="1B042474">
      <w:pPr>
        <w:pStyle w:val="31"/>
        <w:rPr>
          <w:color w:val="auto"/>
          <w:highlight w:val="none"/>
        </w:rPr>
      </w:pPr>
    </w:p>
    <w:p w14:paraId="7577F10B">
      <w:pPr>
        <w:pStyle w:val="31"/>
        <w:rPr>
          <w:color w:val="auto"/>
          <w:highlight w:val="none"/>
        </w:rPr>
      </w:pPr>
    </w:p>
    <w:p w14:paraId="5008F4C6">
      <w:pPr>
        <w:pStyle w:val="31"/>
        <w:rPr>
          <w:color w:val="auto"/>
          <w:highlight w:val="none"/>
        </w:rPr>
      </w:pPr>
    </w:p>
    <w:p w14:paraId="2E164EE4">
      <w:pPr>
        <w:pStyle w:val="31"/>
        <w:rPr>
          <w:color w:val="auto"/>
          <w:highlight w:val="none"/>
        </w:rPr>
      </w:pPr>
    </w:p>
    <w:p w14:paraId="6099BBC1">
      <w:pPr>
        <w:pStyle w:val="31"/>
        <w:rPr>
          <w:color w:val="auto"/>
          <w:highlight w:val="none"/>
        </w:rPr>
      </w:pPr>
    </w:p>
    <w:p w14:paraId="2E522850">
      <w:pPr>
        <w:pStyle w:val="31"/>
        <w:rPr>
          <w:color w:val="auto"/>
          <w:highlight w:val="none"/>
        </w:rPr>
      </w:pPr>
    </w:p>
    <w:p w14:paraId="3828653F">
      <w:pPr>
        <w:pStyle w:val="31"/>
        <w:rPr>
          <w:color w:val="auto"/>
          <w:highlight w:val="none"/>
        </w:rPr>
      </w:pPr>
    </w:p>
    <w:p w14:paraId="1BB486C9">
      <w:pPr>
        <w:pStyle w:val="31"/>
        <w:rPr>
          <w:color w:val="auto"/>
          <w:highlight w:val="none"/>
        </w:rPr>
      </w:pPr>
    </w:p>
    <w:p w14:paraId="3723DB99">
      <w:pPr>
        <w:pStyle w:val="31"/>
        <w:rPr>
          <w:color w:val="auto"/>
          <w:highlight w:val="none"/>
        </w:rPr>
      </w:pPr>
    </w:p>
    <w:p w14:paraId="0B477E5C">
      <w:pPr>
        <w:pStyle w:val="31"/>
        <w:rPr>
          <w:color w:val="auto"/>
          <w:highlight w:val="none"/>
        </w:rPr>
      </w:pPr>
    </w:p>
    <w:p w14:paraId="236A1614">
      <w:pPr>
        <w:pStyle w:val="31"/>
        <w:rPr>
          <w:color w:val="auto"/>
          <w:highlight w:val="none"/>
        </w:rPr>
      </w:pPr>
    </w:p>
    <w:p w14:paraId="33BC3702">
      <w:pPr>
        <w:pStyle w:val="31"/>
        <w:rPr>
          <w:color w:val="auto"/>
          <w:highlight w:val="none"/>
        </w:rPr>
      </w:pPr>
    </w:p>
    <w:p w14:paraId="7535CD8E">
      <w:pPr>
        <w:pStyle w:val="31"/>
        <w:rPr>
          <w:color w:val="auto"/>
          <w:highlight w:val="none"/>
        </w:rPr>
      </w:pPr>
    </w:p>
    <w:p w14:paraId="52AA2EED">
      <w:pPr>
        <w:pStyle w:val="31"/>
        <w:rPr>
          <w:color w:val="auto"/>
          <w:highlight w:val="none"/>
        </w:rPr>
      </w:pPr>
      <w:r>
        <w:rPr>
          <w:color w:val="auto"/>
          <w:sz w:val="21"/>
          <w:highlight w:val="none"/>
        </w:rPr>
        <mc:AlternateContent>
          <mc:Choice Requires="wps">
            <w:drawing>
              <wp:anchor distT="0" distB="0" distL="114300" distR="114300" simplePos="0" relativeHeight="251721728" behindDoc="1" locked="0" layoutInCell="1" allowOverlap="1">
                <wp:simplePos x="0" y="0"/>
                <wp:positionH relativeFrom="column">
                  <wp:posOffset>-205105</wp:posOffset>
                </wp:positionH>
                <wp:positionV relativeFrom="paragraph">
                  <wp:posOffset>1905</wp:posOffset>
                </wp:positionV>
                <wp:extent cx="1285875" cy="501015"/>
                <wp:effectExtent l="4445" t="4445" r="5080" b="8890"/>
                <wp:wrapNone/>
                <wp:docPr id="66" name="文本框 66"/>
                <wp:cNvGraphicFramePr/>
                <a:graphic xmlns:a="http://schemas.openxmlformats.org/drawingml/2006/main">
                  <a:graphicData uri="http://schemas.microsoft.com/office/word/2010/wordprocessingShape">
                    <wps:wsp>
                      <wps:cNvSpPr txBox="1"/>
                      <wps:spPr>
                        <a:xfrm>
                          <a:off x="854710" y="5125720"/>
                          <a:ext cx="1285875" cy="5010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8696701">
                            <w:pPr>
                              <w:jc w:val="center"/>
                              <w:rPr>
                                <w:rFonts w:hint="eastAsia"/>
                                <w:u w:val="single"/>
                                <w:lang w:eastAsia="zh-CN"/>
                              </w:rPr>
                            </w:pPr>
                            <w:r>
                              <w:rPr>
                                <w:rFonts w:hint="eastAsia"/>
                                <w:u w:val="single"/>
                                <w:lang w:eastAsia="zh-CN"/>
                              </w:rPr>
                              <w:t>图例</w:t>
                            </w:r>
                          </w:p>
                          <w:p w14:paraId="2E0C55DB">
                            <w:pPr>
                              <w:pStyle w:val="31"/>
                              <w:rPr>
                                <w:rFonts w:hint="eastAsia"/>
                                <w:lang w:val="en-US" w:eastAsia="zh-CN"/>
                              </w:rPr>
                            </w:pPr>
                            <w:r>
                              <w:rPr>
                                <w:rFonts w:hint="eastAsia"/>
                                <w:lang w:val="en-US" w:eastAsia="zh-CN"/>
                              </w:rPr>
                              <w:t xml:space="preserve">   </w:t>
                            </w:r>
                            <w:r>
                              <w:rPr>
                                <w:rFonts w:hint="eastAsia" w:ascii="宋体" w:hAnsi="宋体" w:eastAsia="宋体" w:cs="宋体"/>
                                <w:sz w:val="21"/>
                                <w:szCs w:val="21"/>
                                <w:lang w:val="en-US" w:eastAsia="zh-CN"/>
                              </w:rPr>
                              <w:t>本项目位置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15pt;margin-top:0.15pt;height:39.45pt;width:101.25pt;z-index:-251594752;mso-width-relative:page;mso-height-relative:page;" fillcolor="#FFFFFF [3201]" filled="t" stroked="t" coordsize="21600,21600" o:gfxdata="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G&#10;e3gK0wAAAAcBAAAPAAAAAAAAAAEAIAAAACIAAABkcnMvZG93bnJldi54bWxQSwECFAAUAAAACACH&#10;TuJAF82xHmICAADEBAAADgAAAAAAAAABACAAAAAiAQAAZHJzL2Uyb0RvYy54bWxQSwUGAAAAAAYA&#10;BgBZAQAA9gUAAAAA&#10;">
                <v:fill on="t" focussize="0,0"/>
                <v:stroke weight="0.5pt" color="#000000 [3204]" joinstyle="round"/>
                <v:imagedata o:title=""/>
                <o:lock v:ext="edit" aspectratio="f"/>
                <v:textbox>
                  <w:txbxContent>
                    <w:p w14:paraId="48696701">
                      <w:pPr>
                        <w:jc w:val="center"/>
                        <w:rPr>
                          <w:rFonts w:hint="eastAsia"/>
                          <w:u w:val="single"/>
                          <w:lang w:eastAsia="zh-CN"/>
                        </w:rPr>
                      </w:pPr>
                      <w:r>
                        <w:rPr>
                          <w:rFonts w:hint="eastAsia"/>
                          <w:u w:val="single"/>
                          <w:lang w:eastAsia="zh-CN"/>
                        </w:rPr>
                        <w:t>图例</w:t>
                      </w:r>
                    </w:p>
                    <w:p w14:paraId="2E0C55DB">
                      <w:pPr>
                        <w:pStyle w:val="31"/>
                        <w:rPr>
                          <w:rFonts w:hint="eastAsia"/>
                          <w:lang w:val="en-US" w:eastAsia="zh-CN"/>
                        </w:rPr>
                      </w:pPr>
                      <w:r>
                        <w:rPr>
                          <w:rFonts w:hint="eastAsia"/>
                          <w:lang w:val="en-US" w:eastAsia="zh-CN"/>
                        </w:rPr>
                        <w:t xml:space="preserve">   </w:t>
                      </w:r>
                      <w:r>
                        <w:rPr>
                          <w:rFonts w:hint="eastAsia" w:ascii="宋体" w:hAnsi="宋体" w:eastAsia="宋体" w:cs="宋体"/>
                          <w:sz w:val="21"/>
                          <w:szCs w:val="21"/>
                          <w:lang w:val="en-US" w:eastAsia="zh-CN"/>
                        </w:rPr>
                        <w:t>本项目位置</w:t>
                      </w:r>
                    </w:p>
                  </w:txbxContent>
                </v:textbox>
              </v:shape>
            </w:pict>
          </mc:Fallback>
        </mc:AlternateContent>
      </w:r>
    </w:p>
    <w:p w14:paraId="19B76DB1">
      <w:pPr>
        <w:pStyle w:val="31"/>
        <w:rPr>
          <w:color w:val="auto"/>
          <w:highlight w:val="none"/>
        </w:rPr>
      </w:pPr>
      <w:r>
        <w:rPr>
          <w:color w:val="auto"/>
          <w:sz w:val="21"/>
          <w:highlight w:val="none"/>
        </w:rPr>
        <mc:AlternateContent>
          <mc:Choice Requires="wps">
            <w:drawing>
              <wp:anchor distT="0" distB="0" distL="114300" distR="114300" simplePos="0" relativeHeight="251686912" behindDoc="0" locked="0" layoutInCell="1" allowOverlap="1">
                <wp:simplePos x="0" y="0"/>
                <wp:positionH relativeFrom="column">
                  <wp:posOffset>-127000</wp:posOffset>
                </wp:positionH>
                <wp:positionV relativeFrom="paragraph">
                  <wp:posOffset>80645</wp:posOffset>
                </wp:positionV>
                <wp:extent cx="135255" cy="134620"/>
                <wp:effectExtent l="6350" t="6350" r="10795" b="11430"/>
                <wp:wrapNone/>
                <wp:docPr id="323" name="矩形 323"/>
                <wp:cNvGraphicFramePr/>
                <a:graphic xmlns:a="http://schemas.openxmlformats.org/drawingml/2006/main">
                  <a:graphicData uri="http://schemas.microsoft.com/office/word/2010/wordprocessingShape">
                    <wps:wsp>
                      <wps:cNvSpPr/>
                      <wps:spPr>
                        <a:xfrm>
                          <a:off x="2362200" y="5757545"/>
                          <a:ext cx="135255" cy="1346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pt;margin-top:6.35pt;height:10.6pt;width:10.65pt;z-index:251686912;v-text-anchor:middle;mso-width-relative:page;mso-height-relative:page;" filled="f" stroked="t" coordsize="21600,21600" o:gfxdata="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yLTEmtIAAAAHAQAADwAAAAAAAAABACAAAAAiAAAAZHJzL2Rv&#10;d25yZXYueG1sUEsBAhQAFAAAAAgAh07iQHjpVdN5AgAA2gQAAA4AAAAAAAAAAQAgAAAAIQEAAGRy&#10;cy9lMm9Eb2MueG1sUEsFBgAAAAAGAAYAWQEAAAwGAAAAAA==&#10;">
                <v:fill on="f" focussize="0,0"/>
                <v:stroke weight="1pt" color="#FF0000 [3204]" miterlimit="8" joinstyle="miter"/>
                <v:imagedata o:title=""/>
                <o:lock v:ext="edit" aspectratio="f"/>
              </v:rect>
            </w:pict>
          </mc:Fallback>
        </mc:AlternateContent>
      </w:r>
    </w:p>
    <w:p w14:paraId="3E767E2D">
      <w:pPr>
        <w:jc w:val="center"/>
        <w:rPr>
          <w:rFonts w:hint="eastAsia" w:cs="Times New Roman"/>
          <w:b/>
          <w:bCs/>
          <w:color w:val="auto"/>
          <w:kern w:val="2"/>
          <w:sz w:val="21"/>
          <w:szCs w:val="21"/>
          <w:highlight w:val="none"/>
          <w:lang w:val="en-US" w:eastAsia="zh-CN" w:bidi="ar-SA"/>
        </w:rPr>
      </w:pPr>
    </w:p>
    <w:p w14:paraId="21A768C9">
      <w:pPr>
        <w:jc w:val="center"/>
        <w:rPr>
          <w:color w:val="auto"/>
          <w:sz w:val="21"/>
          <w:highlight w:val="none"/>
        </w:rPr>
      </w:pPr>
      <w:r>
        <w:rPr>
          <w:rFonts w:hint="eastAsia" w:cs="Times New Roman"/>
          <w:b/>
          <w:bCs/>
          <w:color w:val="auto"/>
          <w:kern w:val="2"/>
          <w:sz w:val="24"/>
          <w:szCs w:val="24"/>
          <w:highlight w:val="none"/>
          <w:lang w:val="en-US" w:eastAsia="zh-CN" w:bidi="ar-SA"/>
        </w:rPr>
        <w:t>附图8保护目标图</w:t>
      </w:r>
      <w:r>
        <w:rPr>
          <w:color w:val="auto"/>
          <w:sz w:val="21"/>
          <w:highlight w:val="none"/>
        </w:rPr>
        <mc:AlternateContent>
          <mc:Choice Requires="wps">
            <w:drawing>
              <wp:anchor distT="0" distB="0" distL="114300" distR="114300" simplePos="0" relativeHeight="251664384" behindDoc="0" locked="0" layoutInCell="1" allowOverlap="1">
                <wp:simplePos x="0" y="0"/>
                <wp:positionH relativeFrom="column">
                  <wp:posOffset>6482715</wp:posOffset>
                </wp:positionH>
                <wp:positionV relativeFrom="paragraph">
                  <wp:posOffset>66040</wp:posOffset>
                </wp:positionV>
                <wp:extent cx="610235" cy="564515"/>
                <wp:effectExtent l="0" t="0" r="18415" b="6985"/>
                <wp:wrapNone/>
                <wp:docPr id="273" name="任意多边形 273"/>
                <wp:cNvGraphicFramePr/>
                <a:graphic xmlns:a="http://schemas.openxmlformats.org/drawingml/2006/main">
                  <a:graphicData uri="http://schemas.microsoft.com/office/word/2010/wordprocessingShape">
                    <wps:wsp>
                      <wps:cNvSpPr/>
                      <wps:spPr>
                        <a:xfrm>
                          <a:off x="7621270" y="2722245"/>
                          <a:ext cx="610235" cy="564515"/>
                        </a:xfrm>
                        <a:custGeom>
                          <a:avLst/>
                          <a:gdLst>
                            <a:gd name="connsiteX0" fmla="*/ 188 w 961"/>
                            <a:gd name="connsiteY0" fmla="*/ 0 h 889"/>
                            <a:gd name="connsiteX1" fmla="*/ 75 w 961"/>
                            <a:gd name="connsiteY1" fmla="*/ 113 h 889"/>
                            <a:gd name="connsiteX2" fmla="*/ 25 w 961"/>
                            <a:gd name="connsiteY2" fmla="*/ 238 h 889"/>
                            <a:gd name="connsiteX3" fmla="*/ 25 w 961"/>
                            <a:gd name="connsiteY3" fmla="*/ 350 h 889"/>
                            <a:gd name="connsiteX4" fmla="*/ 0 w 961"/>
                            <a:gd name="connsiteY4" fmla="*/ 463 h 889"/>
                            <a:gd name="connsiteX5" fmla="*/ 13 w 961"/>
                            <a:gd name="connsiteY5" fmla="*/ 575 h 889"/>
                            <a:gd name="connsiteX6" fmla="*/ 0 w 961"/>
                            <a:gd name="connsiteY6" fmla="*/ 688 h 889"/>
                            <a:gd name="connsiteX7" fmla="*/ 88 w 961"/>
                            <a:gd name="connsiteY7" fmla="*/ 800 h 889"/>
                            <a:gd name="connsiteX8" fmla="*/ 137 w 961"/>
                            <a:gd name="connsiteY8" fmla="*/ 889 h 889"/>
                            <a:gd name="connsiteX9" fmla="*/ 313 w 961"/>
                            <a:gd name="connsiteY9" fmla="*/ 800 h 889"/>
                            <a:gd name="connsiteX10" fmla="*/ 425 w 961"/>
                            <a:gd name="connsiteY10" fmla="*/ 713 h 889"/>
                            <a:gd name="connsiteX11" fmla="*/ 500 w 961"/>
                            <a:gd name="connsiteY11" fmla="*/ 600 h 889"/>
                            <a:gd name="connsiteX12" fmla="*/ 575 w 961"/>
                            <a:gd name="connsiteY12" fmla="*/ 488 h 889"/>
                            <a:gd name="connsiteX13" fmla="*/ 786 w 961"/>
                            <a:gd name="connsiteY13" fmla="*/ 364 h 889"/>
                            <a:gd name="connsiteX14" fmla="*/ 961 w 961"/>
                            <a:gd name="connsiteY14" fmla="*/ 189 h 889"/>
                            <a:gd name="connsiteX15" fmla="*/ 862 w 961"/>
                            <a:gd name="connsiteY15" fmla="*/ 176 h 889"/>
                            <a:gd name="connsiteX16" fmla="*/ 812 w 961"/>
                            <a:gd name="connsiteY16" fmla="*/ 26 h 889"/>
                            <a:gd name="connsiteX17" fmla="*/ 600 w 961"/>
                            <a:gd name="connsiteY17" fmla="*/ 75 h 889"/>
                            <a:gd name="connsiteX18" fmla="*/ 488 w 961"/>
                            <a:gd name="connsiteY18" fmla="*/ 50 h 889"/>
                            <a:gd name="connsiteX19" fmla="*/ 375 w 961"/>
                            <a:gd name="connsiteY19" fmla="*/ 38 h 889"/>
                            <a:gd name="connsiteX20" fmla="*/ 263 w 961"/>
                            <a:gd name="connsiteY20" fmla="*/ 13 h 889"/>
                            <a:gd name="connsiteX21" fmla="*/ 188 w 961"/>
                            <a:gd name="connsiteY21" fmla="*/ 0 h 8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961" h="889">
                              <a:moveTo>
                                <a:pt x="188" y="0"/>
                              </a:moveTo>
                              <a:lnTo>
                                <a:pt x="75" y="113"/>
                              </a:lnTo>
                              <a:lnTo>
                                <a:pt x="25" y="238"/>
                              </a:lnTo>
                              <a:lnTo>
                                <a:pt x="25" y="350"/>
                              </a:lnTo>
                              <a:lnTo>
                                <a:pt x="0" y="463"/>
                              </a:lnTo>
                              <a:lnTo>
                                <a:pt x="13" y="575"/>
                              </a:lnTo>
                              <a:lnTo>
                                <a:pt x="0" y="688"/>
                              </a:lnTo>
                              <a:lnTo>
                                <a:pt x="88" y="800"/>
                              </a:lnTo>
                              <a:lnTo>
                                <a:pt x="137" y="889"/>
                              </a:lnTo>
                              <a:lnTo>
                                <a:pt x="313" y="800"/>
                              </a:lnTo>
                              <a:lnTo>
                                <a:pt x="425" y="713"/>
                              </a:lnTo>
                              <a:lnTo>
                                <a:pt x="500" y="600"/>
                              </a:lnTo>
                              <a:lnTo>
                                <a:pt x="575" y="488"/>
                              </a:lnTo>
                              <a:lnTo>
                                <a:pt x="786" y="364"/>
                              </a:lnTo>
                              <a:lnTo>
                                <a:pt x="961" y="189"/>
                              </a:lnTo>
                              <a:lnTo>
                                <a:pt x="862" y="176"/>
                              </a:lnTo>
                              <a:lnTo>
                                <a:pt x="812" y="26"/>
                              </a:lnTo>
                              <a:lnTo>
                                <a:pt x="600" y="75"/>
                              </a:lnTo>
                              <a:lnTo>
                                <a:pt x="488" y="50"/>
                              </a:lnTo>
                              <a:lnTo>
                                <a:pt x="375" y="38"/>
                              </a:lnTo>
                              <a:lnTo>
                                <a:pt x="263" y="13"/>
                              </a:lnTo>
                              <a:lnTo>
                                <a:pt x="188"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510.45pt;margin-top:5.2pt;height:44.45pt;width:48.05pt;z-index:251664384;mso-width-relative:page;mso-height-relative:page;" fillcolor="#FFFFFF [3212]" filled="t" stroked="f" coordsize="961,889" o:gfxdata="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" path="m188,0l75,113,25,238,25,350,0,463,13,575,0,688,88,800,137,889,313,800,425,713,500,600,575,488,786,364,961,189,862,176,812,26,600,75,488,50,375,38,263,13,188,0xe">
                <v:path o:connectlocs="119380,0;47625,71755;15875,151130;15875,222250;0,294005;8255,365125;0,436880;55880,508000;86995,564515;198755,508000;269875,452755;317500,381000;365125,309880;499110,231140;610235,120015;547370,111760;515620,16510;381000,47625;309880,31750;238125,24130;167005,8255;119380,0" o:connectangles="0,0,0,0,0,0,0,0,0,0,0,0,0,0,0,0,0,0,0,0,0,0"/>
                <v:fill on="t" focussize="0,0"/>
                <v:stroke on="f" weight="1pt" miterlimit="8" joinstyle="miter"/>
                <v:imagedata o:title=""/>
                <o:lock v:ext="edit" aspectratio="f"/>
              </v:shape>
            </w:pict>
          </mc:Fallback>
        </mc:AlternateContent>
      </w:r>
    </w:p>
    <w:p w14:paraId="3E041DC5">
      <w:pPr>
        <w:tabs>
          <w:tab w:val="left" w:pos="3575"/>
        </w:tabs>
        <w:jc w:val="left"/>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ab/>
      </w:r>
    </w:p>
    <w:p w14:paraId="3605A3ED">
      <w:pPr>
        <w:pStyle w:val="31"/>
        <w:rPr>
          <w:color w:val="auto"/>
          <w:highlight w:val="none"/>
        </w:rPr>
      </w:pPr>
      <w:r>
        <w:rPr>
          <w:color w:val="auto"/>
          <w:highlight w:val="none"/>
        </w:rPr>
        <w:drawing>
          <wp:anchor distT="0" distB="0" distL="114300" distR="114300" simplePos="0" relativeHeight="251661312" behindDoc="0" locked="0" layoutInCell="1" allowOverlap="1">
            <wp:simplePos x="0" y="0"/>
            <wp:positionH relativeFrom="column">
              <wp:posOffset>7330440</wp:posOffset>
            </wp:positionH>
            <wp:positionV relativeFrom="paragraph">
              <wp:posOffset>-39370</wp:posOffset>
            </wp:positionV>
            <wp:extent cx="381000" cy="397510"/>
            <wp:effectExtent l="0" t="0" r="0" b="2540"/>
            <wp:wrapNone/>
            <wp:docPr id="96"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64"/>
                    <pic:cNvPicPr>
                      <a:picLocks noChangeAspect="1"/>
                    </pic:cNvPicPr>
                  </pic:nvPicPr>
                  <pic:blipFill>
                    <a:blip r:embed="rId30"/>
                    <a:stretch>
                      <a:fillRect/>
                    </a:stretch>
                  </pic:blipFill>
                  <pic:spPr>
                    <a:xfrm>
                      <a:off x="0" y="0"/>
                      <a:ext cx="381000" cy="397510"/>
                    </a:xfrm>
                    <a:prstGeom prst="rect">
                      <a:avLst/>
                    </a:prstGeom>
                    <a:noFill/>
                    <a:ln w="9525">
                      <a:noFill/>
                    </a:ln>
                  </pic:spPr>
                </pic:pic>
              </a:graphicData>
            </a:graphic>
          </wp:anchor>
        </w:drawing>
      </w:r>
      <w:r>
        <w:rPr>
          <w:color w:val="auto"/>
          <w:sz w:val="21"/>
          <w:highlight w:val="none"/>
        </w:rPr>
        <mc:AlternateContent>
          <mc:Choice Requires="wps">
            <w:drawing>
              <wp:anchor distT="0" distB="0" distL="114300" distR="114300" simplePos="0" relativeHeight="251695104" behindDoc="0" locked="0" layoutInCell="1" allowOverlap="1">
                <wp:simplePos x="0" y="0"/>
                <wp:positionH relativeFrom="column">
                  <wp:posOffset>1231900</wp:posOffset>
                </wp:positionH>
                <wp:positionV relativeFrom="paragraph">
                  <wp:posOffset>86995</wp:posOffset>
                </wp:positionV>
                <wp:extent cx="5662295" cy="5217160"/>
                <wp:effectExtent l="9525" t="9525" r="24130" b="12065"/>
                <wp:wrapNone/>
                <wp:docPr id="92" name="矩形 92"/>
                <wp:cNvGraphicFramePr/>
                <a:graphic xmlns:a="http://schemas.openxmlformats.org/drawingml/2006/main">
                  <a:graphicData uri="http://schemas.microsoft.com/office/word/2010/wordprocessingShape">
                    <wps:wsp>
                      <wps:cNvSpPr/>
                      <wps:spPr>
                        <a:xfrm>
                          <a:off x="2315845" y="1881505"/>
                          <a:ext cx="5662295" cy="521716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7pt;margin-top:6.85pt;height:410.8pt;width:445.85pt;z-index:251695104;v-text-anchor:middle;mso-width-relative:page;mso-height-relative:page;" filled="f" stroked="t" coordsize="21600,21600" o:gfxdata="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29oMB2AAAAAsBAAAPAAAAAAAAAAEAIAAAACIA&#10;AABkcnMvZG93bnJldi54bWxQSwECFAAUAAAACACHTuJAYU207XsCAADaBAAADgAAAAAAAAABACAA&#10;AAAnAQAAZHJzL2Uyb0RvYy54bWxQSwUGAAAAAAYABgBZAQAAFAYAAAAA&#10;">
                <v:fill on="f" focussize="0,0"/>
                <v:stroke weight="1.5pt" color="#FF0000 [3204]" miterlimit="8" joinstyle="miter"/>
                <v:imagedata o:title=""/>
                <o:lock v:ext="edit" aspectratio="f"/>
              </v:rect>
            </w:pict>
          </mc:Fallback>
        </mc:AlternateContent>
      </w:r>
      <w:r>
        <w:rPr>
          <w:color w:val="auto"/>
          <w:highlight w:val="none"/>
        </w:rPr>
        <w:drawing>
          <wp:anchor distT="0" distB="0" distL="114300" distR="114300" simplePos="0" relativeHeight="251693056" behindDoc="1" locked="0" layoutInCell="1" allowOverlap="1">
            <wp:simplePos x="0" y="0"/>
            <wp:positionH relativeFrom="column">
              <wp:posOffset>867410</wp:posOffset>
            </wp:positionH>
            <wp:positionV relativeFrom="paragraph">
              <wp:posOffset>55880</wp:posOffset>
            </wp:positionV>
            <wp:extent cx="6675755" cy="5534660"/>
            <wp:effectExtent l="0" t="0" r="10795" b="8890"/>
            <wp:wrapNone/>
            <wp:docPr id="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
                    <pic:cNvPicPr>
                      <a:picLocks noChangeAspect="1"/>
                    </pic:cNvPicPr>
                  </pic:nvPicPr>
                  <pic:blipFill>
                    <a:blip r:embed="rId41"/>
                    <a:stretch>
                      <a:fillRect/>
                    </a:stretch>
                  </pic:blipFill>
                  <pic:spPr>
                    <a:xfrm>
                      <a:off x="0" y="0"/>
                      <a:ext cx="6675755" cy="5534660"/>
                    </a:xfrm>
                    <a:prstGeom prst="rect">
                      <a:avLst/>
                    </a:prstGeom>
                    <a:noFill/>
                    <a:ln w="9525">
                      <a:noFill/>
                    </a:ln>
                  </pic:spPr>
                </pic:pic>
              </a:graphicData>
            </a:graphic>
          </wp:anchor>
        </w:drawing>
      </w:r>
    </w:p>
    <w:p w14:paraId="3325D080">
      <w:pPr>
        <w:rPr>
          <w:color w:val="auto"/>
          <w:highlight w:val="none"/>
        </w:rPr>
      </w:pPr>
    </w:p>
    <w:p w14:paraId="40B18B0B">
      <w:pPr>
        <w:rPr>
          <w:color w:val="auto"/>
          <w:highlight w:val="none"/>
        </w:rPr>
      </w:pPr>
    </w:p>
    <w:p w14:paraId="626057A8">
      <w:pPr>
        <w:rPr>
          <w:color w:val="auto"/>
          <w:highlight w:val="none"/>
        </w:rPr>
      </w:pPr>
    </w:p>
    <w:p w14:paraId="4E1FA5C5">
      <w:pPr>
        <w:rPr>
          <w:color w:val="auto"/>
          <w:highlight w:val="none"/>
        </w:rPr>
      </w:pPr>
    </w:p>
    <w:p w14:paraId="227D6059">
      <w:pPr>
        <w:rPr>
          <w:color w:val="auto"/>
          <w:highlight w:val="none"/>
        </w:rPr>
      </w:pPr>
    </w:p>
    <w:p w14:paraId="6B6D1966">
      <w:pPr>
        <w:rPr>
          <w:color w:val="auto"/>
          <w:highlight w:val="none"/>
        </w:rPr>
      </w:pPr>
    </w:p>
    <w:p w14:paraId="3E9F63D3">
      <w:pPr>
        <w:rPr>
          <w:color w:val="auto"/>
          <w:highlight w:val="none"/>
        </w:rPr>
      </w:pPr>
    </w:p>
    <w:p w14:paraId="652AF555">
      <w:pPr>
        <w:rPr>
          <w:color w:val="auto"/>
          <w:highlight w:val="none"/>
        </w:rPr>
      </w:pPr>
    </w:p>
    <w:p w14:paraId="1CCD12B6">
      <w:pPr>
        <w:rPr>
          <w:color w:val="auto"/>
          <w:highlight w:val="none"/>
        </w:rPr>
      </w:pPr>
      <w:r>
        <w:rPr>
          <w:color w:val="auto"/>
          <w:sz w:val="24"/>
          <w:highlight w:val="none"/>
        </w:rPr>
        <mc:AlternateContent>
          <mc:Choice Requires="wps">
            <w:drawing>
              <wp:anchor distT="0" distB="0" distL="114300" distR="114300" simplePos="0" relativeHeight="251699200" behindDoc="0" locked="0" layoutInCell="1" allowOverlap="1">
                <wp:simplePos x="0" y="0"/>
                <wp:positionH relativeFrom="column">
                  <wp:posOffset>3938270</wp:posOffset>
                </wp:positionH>
                <wp:positionV relativeFrom="paragraph">
                  <wp:posOffset>810895</wp:posOffset>
                </wp:positionV>
                <wp:extent cx="62865" cy="5715"/>
                <wp:effectExtent l="0" t="50800" r="32385" b="57785"/>
                <wp:wrapNone/>
                <wp:docPr id="102" name="直接箭头连接符 102"/>
                <wp:cNvGraphicFramePr/>
                <a:graphic xmlns:a="http://schemas.openxmlformats.org/drawingml/2006/main">
                  <a:graphicData uri="http://schemas.microsoft.com/office/word/2010/wordprocessingShape">
                    <wps:wsp>
                      <wps:cNvCnPr>
                        <a:stCxn id="89" idx="2"/>
                        <a:endCxn id="91" idx="1"/>
                      </wps:cNvCnPr>
                      <wps:spPr>
                        <a:xfrm flipH="1">
                          <a:off x="5116830" y="866140"/>
                          <a:ext cx="62865" cy="5715"/>
                        </a:xfrm>
                        <a:prstGeom prst="straightConnector1">
                          <a:avLst/>
                        </a:prstGeom>
                        <a:ln>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10.1pt;margin-top:63.85pt;height:0.45pt;width:4.95pt;z-index:251699200;mso-width-relative:page;mso-height-relative:page;" filled="f" stroked="t" coordsize="21600,21600" o:gfxdata="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2UX89oAAAALAQAADwAAAAAAAAABACAAAAAiAAAAZHJzL2Rv&#10;d25yZXYueG1sUEsBAhQAFAAAAAgAh07iQKx4WIc4AgAAOgQAAA4AAAAAAAAAAQAgAAAAKQEAAGRy&#10;cy9lMm9Eb2MueG1sUEsFBgAAAAAGAAYAWQEAANMFAAAAAA==&#10;">
                <v:fill on="f" focussize="0,0"/>
                <v:stroke weight="0.5pt" color="#FFFF00 [3204]" miterlimit="8" joinstyle="miter" endarrow="open"/>
                <v:imagedata o:title=""/>
                <o:lock v:ext="edit" aspectratio="f"/>
              </v:shape>
            </w:pict>
          </mc:Fallback>
        </mc:AlternateContent>
      </w:r>
    </w:p>
    <w:p w14:paraId="15F7C346">
      <w:pPr>
        <w:rPr>
          <w:color w:val="auto"/>
          <w:highlight w:val="none"/>
        </w:rPr>
      </w:pPr>
    </w:p>
    <w:p w14:paraId="34B1FD60">
      <w:pPr>
        <w:rPr>
          <w:color w:val="auto"/>
          <w:highlight w:val="none"/>
        </w:rPr>
      </w:pPr>
      <w:r>
        <w:rPr>
          <w:color w:val="auto"/>
          <w:sz w:val="24"/>
          <w:highlight w:val="none"/>
        </w:rPr>
        <mc:AlternateContent>
          <mc:Choice Requires="wps">
            <w:drawing>
              <wp:anchor distT="0" distB="0" distL="114300" distR="114300" simplePos="0" relativeHeight="251698176" behindDoc="0" locked="0" layoutInCell="1" allowOverlap="1">
                <wp:simplePos x="0" y="0"/>
                <wp:positionH relativeFrom="column">
                  <wp:posOffset>5450205</wp:posOffset>
                </wp:positionH>
                <wp:positionV relativeFrom="paragraph">
                  <wp:posOffset>205740</wp:posOffset>
                </wp:positionV>
                <wp:extent cx="624205" cy="235585"/>
                <wp:effectExtent l="0" t="0" r="0" b="0"/>
                <wp:wrapNone/>
                <wp:docPr id="100" name="文本框 100"/>
                <wp:cNvGraphicFramePr/>
                <a:graphic xmlns:a="http://schemas.openxmlformats.org/drawingml/2006/main">
                  <a:graphicData uri="http://schemas.microsoft.com/office/word/2010/wordprocessingShape">
                    <wps:wsp>
                      <wps:cNvSpPr txBox="1"/>
                      <wps:spPr>
                        <a:xfrm>
                          <a:off x="6565900" y="3326130"/>
                          <a:ext cx="624205" cy="2355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AC3DC4">
                            <w:pPr>
                              <w:keepNext w:val="0"/>
                              <w:keepLines w:val="0"/>
                              <w:pageBreakBefore w:val="0"/>
                              <w:widowControl w:val="0"/>
                              <w:kinsoku/>
                              <w:wordWrap/>
                              <w:overflowPunct/>
                              <w:topLinePunct w:val="0"/>
                              <w:autoSpaceDE/>
                              <w:autoSpaceDN/>
                              <w:bidi w:val="0"/>
                              <w:adjustRightInd w:val="0"/>
                              <w:snapToGrid w:val="0"/>
                              <w:textAlignment w:val="auto"/>
                              <w:outlineLvl w:val="9"/>
                              <w:rPr>
                                <w:rFonts w:hint="eastAsia" w:eastAsia="宋体"/>
                                <w:b/>
                                <w:bCs/>
                                <w:color w:val="FF0000"/>
                                <w:lang w:val="en-US" w:eastAsia="zh-CN"/>
                              </w:rPr>
                            </w:pPr>
                            <w:r>
                              <w:rPr>
                                <w:rFonts w:hint="eastAsia"/>
                                <w:b/>
                                <w:bCs/>
                                <w:color w:val="FF0000"/>
                                <w:lang w:val="en-US" w:eastAsia="zh-CN"/>
                              </w:rPr>
                              <w:t>2.5km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9.15pt;margin-top:16.2pt;height:18.55pt;width:49.15pt;z-index:251698176;mso-width-relative:page;mso-height-relative:page;" filled="f" stroked="f" coordsize="21600,21600" o:gfxdata="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t//wq2gAAAAkBAAAPAAAAAAAAAAEA&#10;IAAAACIAAABkcnMvZG93bnJldi54bWxQSwECFAAUAAAACACHTuJAJdWqOEYCAAB1BAAADgAAAAAA&#10;AAABACAAAAApAQAAZHJzL2Uyb0RvYy54bWxQSwUGAAAAAAYABgBZAQAA4QUAAAAA&#10;">
                <v:fill on="f" focussize="0,0"/>
                <v:stroke on="f" weight="0.5pt"/>
                <v:imagedata o:title=""/>
                <o:lock v:ext="edit" aspectratio="f"/>
                <v:textbox>
                  <w:txbxContent>
                    <w:p w14:paraId="47AC3DC4">
                      <w:pPr>
                        <w:keepNext w:val="0"/>
                        <w:keepLines w:val="0"/>
                        <w:pageBreakBefore w:val="0"/>
                        <w:widowControl w:val="0"/>
                        <w:kinsoku/>
                        <w:wordWrap/>
                        <w:overflowPunct/>
                        <w:topLinePunct w:val="0"/>
                        <w:autoSpaceDE/>
                        <w:autoSpaceDN/>
                        <w:bidi w:val="0"/>
                        <w:adjustRightInd w:val="0"/>
                        <w:snapToGrid w:val="0"/>
                        <w:textAlignment w:val="auto"/>
                        <w:outlineLvl w:val="9"/>
                        <w:rPr>
                          <w:rFonts w:hint="eastAsia" w:eastAsia="宋体"/>
                          <w:b/>
                          <w:bCs/>
                          <w:color w:val="FF0000"/>
                          <w:lang w:val="en-US" w:eastAsia="zh-CN"/>
                        </w:rPr>
                      </w:pPr>
                      <w:r>
                        <w:rPr>
                          <w:rFonts w:hint="eastAsia"/>
                          <w:b/>
                          <w:bCs/>
                          <w:color w:val="FF0000"/>
                          <w:lang w:val="en-US" w:eastAsia="zh-CN"/>
                        </w:rPr>
                        <w:t>2.5km</w:t>
                      </w:r>
                    </w:p>
                  </w:txbxContent>
                </v:textbox>
              </v:shape>
            </w:pict>
          </mc:Fallback>
        </mc:AlternateContent>
      </w:r>
    </w:p>
    <w:p w14:paraId="2B4D9A1B">
      <w:pPr>
        <w:rPr>
          <w:color w:val="auto"/>
          <w:highlight w:val="none"/>
        </w:rPr>
      </w:pPr>
      <w:r>
        <w:rPr>
          <w:color w:val="auto"/>
          <w:sz w:val="24"/>
          <w:highlight w:val="none"/>
        </w:rPr>
        <mc:AlternateContent>
          <mc:Choice Requires="wps">
            <w:drawing>
              <wp:anchor distT="0" distB="0" distL="114300" distR="114300" simplePos="0" relativeHeight="251682816" behindDoc="0" locked="0" layoutInCell="1" allowOverlap="1">
                <wp:simplePos x="0" y="0"/>
                <wp:positionH relativeFrom="column">
                  <wp:posOffset>3519170</wp:posOffset>
                </wp:positionH>
                <wp:positionV relativeFrom="paragraph">
                  <wp:posOffset>48895</wp:posOffset>
                </wp:positionV>
                <wp:extent cx="624205" cy="235585"/>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624205" cy="2355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63DC6">
                            <w:pPr>
                              <w:keepNext w:val="0"/>
                              <w:keepLines w:val="0"/>
                              <w:pageBreakBefore w:val="0"/>
                              <w:widowControl w:val="0"/>
                              <w:kinsoku/>
                              <w:wordWrap/>
                              <w:overflowPunct/>
                              <w:topLinePunct w:val="0"/>
                              <w:autoSpaceDE/>
                              <w:autoSpaceDN/>
                              <w:bidi w:val="0"/>
                              <w:adjustRightInd w:val="0"/>
                              <w:snapToGrid w:val="0"/>
                              <w:textAlignment w:val="auto"/>
                              <w:outlineLvl w:val="9"/>
                              <w:rPr>
                                <w:rFonts w:hint="eastAsia" w:eastAsia="宋体"/>
                                <w:b/>
                                <w:bCs/>
                                <w:color w:val="FFFF00"/>
                                <w:lang w:val="en-US" w:eastAsia="zh-CN"/>
                              </w:rPr>
                            </w:pPr>
                            <w:r>
                              <w:rPr>
                                <w:rFonts w:hint="eastAsia"/>
                                <w:b/>
                                <w:bCs/>
                                <w:color w:val="FFFF00"/>
                                <w:lang w:val="en-US" w:eastAsia="zh-CN"/>
                              </w:rPr>
                              <w:t>100m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1pt;margin-top:3.85pt;height:18.55pt;width:49.15pt;z-index:251682816;mso-width-relative:page;mso-height-relative:page;" filled="f" stroked="f" coordsize="21600,21600" o:gfxdata="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vVp53aAAAACAEAAA8AAAAAAAAAAQAgAAAAIgAAAGRy&#10;cy9kb3ducmV2LnhtbFBLAQIUABQAAAAIAIdO4kAqtJZHPAIAAGkEAAAOAAAAAAAAAAEAIAAAACkB&#10;AABkcnMvZTJvRG9jLnhtbFBLBQYAAAAABgAGAFkBAADXBQAAAAA=&#10;">
                <v:fill on="f" focussize="0,0"/>
                <v:stroke on="f" weight="0.5pt"/>
                <v:imagedata o:title=""/>
                <o:lock v:ext="edit" aspectratio="f"/>
                <v:textbox>
                  <w:txbxContent>
                    <w:p w14:paraId="02E63DC6">
                      <w:pPr>
                        <w:keepNext w:val="0"/>
                        <w:keepLines w:val="0"/>
                        <w:pageBreakBefore w:val="0"/>
                        <w:widowControl w:val="0"/>
                        <w:kinsoku/>
                        <w:wordWrap/>
                        <w:overflowPunct/>
                        <w:topLinePunct w:val="0"/>
                        <w:autoSpaceDE/>
                        <w:autoSpaceDN/>
                        <w:bidi w:val="0"/>
                        <w:adjustRightInd w:val="0"/>
                        <w:snapToGrid w:val="0"/>
                        <w:textAlignment w:val="auto"/>
                        <w:outlineLvl w:val="9"/>
                        <w:rPr>
                          <w:rFonts w:hint="eastAsia" w:eastAsia="宋体"/>
                          <w:b/>
                          <w:bCs/>
                          <w:color w:val="FFFF00"/>
                          <w:lang w:val="en-US" w:eastAsia="zh-CN"/>
                        </w:rPr>
                      </w:pPr>
                      <w:r>
                        <w:rPr>
                          <w:rFonts w:hint="eastAsia"/>
                          <w:b/>
                          <w:bCs/>
                          <w:color w:val="FFFF00"/>
                          <w:lang w:val="en-US" w:eastAsia="zh-CN"/>
                        </w:rPr>
                        <w:t>100m</w:t>
                      </w:r>
                    </w:p>
                  </w:txbxContent>
                </v:textbox>
              </v:shape>
            </w:pict>
          </mc:Fallback>
        </mc:AlternateContent>
      </w:r>
      <w:r>
        <w:rPr>
          <w:color w:val="auto"/>
          <w:sz w:val="24"/>
          <w:highlight w:val="none"/>
        </w:rPr>
        <mc:AlternateContent>
          <mc:Choice Requires="wps">
            <w:drawing>
              <wp:anchor distT="0" distB="0" distL="114300" distR="114300" simplePos="0" relativeHeight="251697152" behindDoc="0" locked="0" layoutInCell="1" allowOverlap="1">
                <wp:simplePos x="0" y="0"/>
                <wp:positionH relativeFrom="column">
                  <wp:posOffset>4076700</wp:posOffset>
                </wp:positionH>
                <wp:positionV relativeFrom="paragraph">
                  <wp:posOffset>203835</wp:posOffset>
                </wp:positionV>
                <wp:extent cx="2817495" cy="2540"/>
                <wp:effectExtent l="0" t="48895" r="1905" b="62865"/>
                <wp:wrapNone/>
                <wp:docPr id="99" name="直接箭头连接符 99"/>
                <wp:cNvGraphicFramePr/>
                <a:graphic xmlns:a="http://schemas.openxmlformats.org/drawingml/2006/main">
                  <a:graphicData uri="http://schemas.microsoft.com/office/word/2010/wordprocessingShape">
                    <wps:wsp>
                      <wps:cNvCnPr>
                        <a:stCxn id="89" idx="0"/>
                        <a:endCxn id="92" idx="3"/>
                      </wps:cNvCnPr>
                      <wps:spPr>
                        <a:xfrm flipV="1">
                          <a:off x="5321300" y="866140"/>
                          <a:ext cx="2817495" cy="254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21pt;margin-top:16.05pt;height:0.2pt;width:221.85pt;z-index:251697152;mso-width-relative:page;mso-height-relative:page;" filled="f" stroked="t" coordsize="21600,21600" o:gfxdata="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b3p/bZAAAACgEAAA8AAAAAAAAAAQAgAAAAIgAAAGRycy9kb3du&#10;cmV2LnhtbFBLAQIUABQAAAAIAIdO4kBaLKUCNwIAADoEAAAOAAAAAAAAAAEAIAAAACgBAABkcnMv&#10;ZTJvRG9jLnhtbFBLBQYAAAAABgAGAFkBAADRBQAAAAA=&#10;">
                <v:fill on="f" focussize="0,0"/>
                <v:stroke weight="0.5pt" color="#FF0000 [3204]" miterlimit="8" joinstyle="miter" endarrow="open"/>
                <v:imagedata o:title=""/>
                <o:lock v:ext="edit" aspectratio="f"/>
              </v:shape>
            </w:pict>
          </mc:Fallback>
        </mc:AlternateContent>
      </w:r>
      <w:r>
        <w:rPr>
          <w:color w:val="auto"/>
          <w:sz w:val="21"/>
          <w:highlight w:val="none"/>
        </w:rPr>
        <mc:AlternateContent>
          <mc:Choice Requires="wps">
            <w:drawing>
              <wp:anchor distT="0" distB="0" distL="114300" distR="114300" simplePos="0" relativeHeight="251694080" behindDoc="0" locked="0" layoutInCell="1" allowOverlap="1">
                <wp:simplePos x="0" y="0"/>
                <wp:positionH relativeFrom="column">
                  <wp:posOffset>3938270</wp:posOffset>
                </wp:positionH>
                <wp:positionV relativeFrom="paragraph">
                  <wp:posOffset>100330</wp:posOffset>
                </wp:positionV>
                <wp:extent cx="200025" cy="186690"/>
                <wp:effectExtent l="6350" t="6350" r="22225" b="16510"/>
                <wp:wrapNone/>
                <wp:docPr id="91" name="流程图: 可选过程 91"/>
                <wp:cNvGraphicFramePr/>
                <a:graphic xmlns:a="http://schemas.openxmlformats.org/drawingml/2006/main">
                  <a:graphicData uri="http://schemas.microsoft.com/office/word/2010/wordprocessingShape">
                    <wps:wsp>
                      <wps:cNvSpPr/>
                      <wps:spPr>
                        <a:xfrm>
                          <a:off x="5050155" y="3427095"/>
                          <a:ext cx="200025" cy="186690"/>
                        </a:xfrm>
                        <a:prstGeom prst="flowChartAlternateProcess">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76" type="#_x0000_t176" style="position:absolute;left:0pt;margin-left:310.1pt;margin-top:7.9pt;height:14.7pt;width:15.75pt;z-index:251694080;v-text-anchor:middle;mso-width-relative:page;mso-height-relative:page;" filled="f" stroked="t" coordsize="21600,21600" o:gfxdata="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s/peF1wAAAAkBAAAPAAAAAAAAAAEAIAAAACIAAABkcnMvZG93bnJldi54bWxQSwECFAAU&#10;AAAACACHTuJAsQxKr50CAAD+BAAADgAAAAAAAAABACAAAAAmAQAAZHJzL2Uyb0RvYy54bWxQSwUG&#10;AAAAAAYABgBZAQAANQYAAAAA&#10;">
                <v:fill on="f" focussize="0,0"/>
                <v:stroke weight="1pt" color="#FFFF00 [3204]" miterlimit="8" joinstyle="miter"/>
                <v:imagedata o:title=""/>
                <o:lock v:ext="edit" aspectratio="f"/>
              </v:shape>
            </w:pict>
          </mc:Fallback>
        </mc:AlternateContent>
      </w:r>
      <w:r>
        <w:rPr>
          <w:color w:val="auto"/>
          <w:sz w:val="21"/>
          <w:highlight w:val="none"/>
        </w:rPr>
        <mc:AlternateContent>
          <mc:Choice Requires="wps">
            <w:drawing>
              <wp:anchor distT="0" distB="0" distL="114300" distR="114300" simplePos="0" relativeHeight="251693056" behindDoc="0" locked="0" layoutInCell="1" allowOverlap="1">
                <wp:simplePos x="0" y="0"/>
                <wp:positionH relativeFrom="column">
                  <wp:posOffset>4001135</wp:posOffset>
                </wp:positionH>
                <wp:positionV relativeFrom="paragraph">
                  <wp:posOffset>149860</wp:posOffset>
                </wp:positionV>
                <wp:extent cx="75565" cy="75565"/>
                <wp:effectExtent l="6350" t="6350" r="13335" b="13335"/>
                <wp:wrapNone/>
                <wp:docPr id="89" name="L 形 89"/>
                <wp:cNvGraphicFramePr/>
                <a:graphic xmlns:a="http://schemas.openxmlformats.org/drawingml/2006/main">
                  <a:graphicData uri="http://schemas.microsoft.com/office/word/2010/wordprocessingShape">
                    <wps:wsp>
                      <wps:cNvSpPr/>
                      <wps:spPr>
                        <a:xfrm>
                          <a:off x="5116830" y="3451860"/>
                          <a:ext cx="75565" cy="75565"/>
                        </a:xfrm>
                        <a:prstGeom prst="corne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15.05pt;margin-top:11.8pt;height:5.95pt;width:5.95pt;z-index:251693056;v-text-anchor:middle;mso-width-relative:page;mso-height-relative:page;" filled="f" stroked="t" coordsize="75565,75565" o:gfxdata="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zsjPl2AAAAAkBAAAPAAAAAAAAAAEAIAAAACIAAABkcnMvZG93bnJldi54&#10;bWxQSwECFAAUAAAACACHTuJAiwgs9mwCAADXBAAADgAAAAAAAAABACAAAAAnAQAAZHJzL2Uyb0Rv&#10;Yy54bWxQSwUGAAAAAAYABgBZAQAABQYAAAAA&#10;" path="m0,0l37782,0,37782,37782,75565,37782,75565,75565,0,75565xe">
                <v:path o:connectlocs="75565,56673;37782,75565;0,37782;18891,0" o:connectangles="0,82,164,247"/>
                <v:fill on="f" focussize="0,0"/>
                <v:stroke weight="1pt" color="#000000 [3213]" miterlimit="8" joinstyle="miter"/>
                <v:imagedata o:title=""/>
                <o:lock v:ext="edit" aspectratio="f"/>
              </v:shape>
            </w:pict>
          </mc:Fallback>
        </mc:AlternateContent>
      </w:r>
    </w:p>
    <w:p w14:paraId="22367ED5">
      <w:pPr>
        <w:rPr>
          <w:color w:val="auto"/>
          <w:highlight w:val="none"/>
        </w:rPr>
      </w:pPr>
    </w:p>
    <w:p w14:paraId="00B54D3B">
      <w:pPr>
        <w:rPr>
          <w:color w:val="auto"/>
          <w:highlight w:val="none"/>
        </w:rPr>
      </w:pPr>
    </w:p>
    <w:p w14:paraId="633AAD0C">
      <w:pPr>
        <w:rPr>
          <w:color w:val="auto"/>
          <w:highlight w:val="none"/>
        </w:rPr>
      </w:pPr>
    </w:p>
    <w:p w14:paraId="2BE8D827">
      <w:pPr>
        <w:rPr>
          <w:color w:val="auto"/>
          <w:highlight w:val="none"/>
        </w:rPr>
      </w:pPr>
    </w:p>
    <w:p w14:paraId="6E16EF73">
      <w:pPr>
        <w:rPr>
          <w:color w:val="auto"/>
          <w:highlight w:val="none"/>
        </w:rPr>
      </w:pPr>
    </w:p>
    <w:p w14:paraId="3B0AAC07">
      <w:pPr>
        <w:rPr>
          <w:color w:val="auto"/>
          <w:highlight w:val="none"/>
        </w:rPr>
      </w:pPr>
    </w:p>
    <w:p w14:paraId="68171EE3">
      <w:pPr>
        <w:rPr>
          <w:color w:val="auto"/>
          <w:highlight w:val="none"/>
        </w:rPr>
      </w:pPr>
    </w:p>
    <w:p w14:paraId="770C9FFD">
      <w:pPr>
        <w:rPr>
          <w:color w:val="auto"/>
          <w:highlight w:val="none"/>
        </w:rPr>
      </w:pPr>
    </w:p>
    <w:p w14:paraId="6CF3D6A7">
      <w:pPr>
        <w:rPr>
          <w:color w:val="auto"/>
          <w:highlight w:val="none"/>
        </w:rPr>
      </w:pPr>
    </w:p>
    <w:p w14:paraId="15E8830B">
      <w:pPr>
        <w:rPr>
          <w:color w:val="auto"/>
          <w:highlight w:val="none"/>
        </w:rPr>
      </w:pPr>
    </w:p>
    <w:p w14:paraId="4572EF30">
      <w:pPr>
        <w:rPr>
          <w:color w:val="auto"/>
          <w:highlight w:val="none"/>
        </w:rPr>
      </w:pPr>
      <w:r>
        <w:rPr>
          <w:color w:val="auto"/>
          <w:sz w:val="21"/>
          <w:highlight w:val="none"/>
        </w:rPr>
        <mc:AlternateContent>
          <mc:Choice Requires="wps">
            <w:drawing>
              <wp:anchor distT="0" distB="0" distL="114300" distR="114300" simplePos="0" relativeHeight="251708416" behindDoc="1" locked="0" layoutInCell="1" allowOverlap="1">
                <wp:simplePos x="0" y="0"/>
                <wp:positionH relativeFrom="column">
                  <wp:posOffset>7063740</wp:posOffset>
                </wp:positionH>
                <wp:positionV relativeFrom="paragraph">
                  <wp:posOffset>635</wp:posOffset>
                </wp:positionV>
                <wp:extent cx="1276985" cy="801370"/>
                <wp:effectExtent l="4445" t="4445" r="13970" b="13335"/>
                <wp:wrapNone/>
                <wp:docPr id="105" name="文本框 105"/>
                <wp:cNvGraphicFramePr/>
                <a:graphic xmlns:a="http://schemas.openxmlformats.org/drawingml/2006/main">
                  <a:graphicData uri="http://schemas.microsoft.com/office/word/2010/wordprocessingShape">
                    <wps:wsp>
                      <wps:cNvSpPr txBox="1"/>
                      <wps:spPr>
                        <a:xfrm>
                          <a:off x="0" y="0"/>
                          <a:ext cx="1276985" cy="801370"/>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7302EE2">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sz w:val="21"/>
                                <w:szCs w:val="21"/>
                                <w:u w:val="single"/>
                                <w:lang w:eastAsia="zh-CN"/>
                              </w:rPr>
                            </w:pPr>
                            <w:r>
                              <w:rPr>
                                <w:rFonts w:hint="eastAsia"/>
                                <w:sz w:val="21"/>
                                <w:szCs w:val="21"/>
                                <w:u w:val="single"/>
                                <w:lang w:eastAsia="zh-CN"/>
                              </w:rPr>
                              <w:t>图例</w:t>
                            </w:r>
                          </w:p>
                          <w:p w14:paraId="786D4F3C">
                            <w:pPr>
                              <w:pStyle w:val="31"/>
                              <w:keepNext w:val="0"/>
                              <w:keepLines w:val="0"/>
                              <w:pageBreakBefore w:val="0"/>
                              <w:widowControl w:val="0"/>
                              <w:kinsoku/>
                              <w:wordWrap/>
                              <w:overflowPunct/>
                              <w:topLinePunct w:val="0"/>
                              <w:autoSpaceDE/>
                              <w:autoSpaceDN/>
                              <w:bidi w:val="0"/>
                              <w:adjustRightInd w:val="0"/>
                              <w:snapToGrid w:val="0"/>
                              <w:textAlignment w:val="auto"/>
                              <w:outlineLvl w:val="9"/>
                              <w:rPr>
                                <w:rFonts w:hint="eastAsia" w:ascii="宋体" w:hAnsi="宋体" w:eastAsia="宋体" w:cs="宋体"/>
                                <w:sz w:val="21"/>
                                <w:szCs w:val="21"/>
                                <w:lang w:val="en-US" w:eastAsia="zh-CN"/>
                              </w:rPr>
                            </w:pPr>
                            <w:r>
                              <w:rPr>
                                <w:rFonts w:hint="eastAsia"/>
                                <w:sz w:val="21"/>
                                <w:szCs w:val="21"/>
                                <w:lang w:val="en-US" w:eastAsia="zh-CN"/>
                              </w:rPr>
                              <w:t xml:space="preserve">  </w:t>
                            </w:r>
                            <w:r>
                              <w:rPr>
                                <w:rFonts w:hint="eastAsia" w:ascii="宋体" w:hAnsi="宋体" w:eastAsia="宋体" w:cs="宋体"/>
                                <w:sz w:val="21"/>
                                <w:szCs w:val="21"/>
                                <w:lang w:val="en-US" w:eastAsia="zh-CN"/>
                              </w:rPr>
                              <w:t>本项目位置</w:t>
                            </w:r>
                          </w:p>
                          <w:p w14:paraId="552894BD">
                            <w:pPr>
                              <w:pStyle w:val="31"/>
                              <w:keepNext w:val="0"/>
                              <w:keepLines w:val="0"/>
                              <w:pageBreakBefore w:val="0"/>
                              <w:widowControl w:val="0"/>
                              <w:kinsoku/>
                              <w:wordWrap/>
                              <w:overflowPunct/>
                              <w:topLinePunct w:val="0"/>
                              <w:autoSpaceDE/>
                              <w:autoSpaceDN/>
                              <w:bidi w:val="0"/>
                              <w:adjustRightInd w:val="0"/>
                              <w:snapToGrid w:val="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噪声评价范围</w:t>
                            </w:r>
                          </w:p>
                          <w:p w14:paraId="005DE960">
                            <w:pPr>
                              <w:pStyle w:val="31"/>
                              <w:keepNext w:val="0"/>
                              <w:keepLines w:val="0"/>
                              <w:pageBreakBefore w:val="0"/>
                              <w:widowControl w:val="0"/>
                              <w:kinsoku/>
                              <w:wordWrap/>
                              <w:overflowPunct/>
                              <w:topLinePunct w:val="0"/>
                              <w:autoSpaceDE/>
                              <w:autoSpaceDN/>
                              <w:bidi w:val="0"/>
                              <w:adjustRightInd w:val="0"/>
                              <w:snapToGrid w:val="0"/>
                              <w:ind w:firstLine="210" w:firstLineChars="1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大气评价范围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2pt;margin-top:0.05pt;height:63.1pt;width:100.55pt;z-index:-251608064;mso-width-relative:page;mso-height-relative:page;" filled="f" stroked="t" coordsize="21600,21600" o:gfxdata="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AdV3+DYAAAACgEA&#10;AA8AAAAAAAAAAQAgAAAAIgAAAGRycy9kb3ducmV2LnhtbFBLAQIUABQAAAAIAIdO4kBH7R1OUwIA&#10;AJIEAAAOAAAAAAAAAAEAIAAAACcBAABkcnMvZTJvRG9jLnhtbFBLBQYAAAAABgAGAFkBAADsBQAA&#10;AAA=&#10;">
                <v:fill on="f" focussize="0,0"/>
                <v:stroke weight="0.5pt" color="#000000 [3204]" joinstyle="round"/>
                <v:imagedata o:title=""/>
                <o:lock v:ext="edit" aspectratio="f"/>
                <v:textbox>
                  <w:txbxContent>
                    <w:p w14:paraId="37302EE2">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sz w:val="21"/>
                          <w:szCs w:val="21"/>
                          <w:u w:val="single"/>
                          <w:lang w:eastAsia="zh-CN"/>
                        </w:rPr>
                      </w:pPr>
                      <w:r>
                        <w:rPr>
                          <w:rFonts w:hint="eastAsia"/>
                          <w:sz w:val="21"/>
                          <w:szCs w:val="21"/>
                          <w:u w:val="single"/>
                          <w:lang w:eastAsia="zh-CN"/>
                        </w:rPr>
                        <w:t>图例</w:t>
                      </w:r>
                    </w:p>
                    <w:p w14:paraId="786D4F3C">
                      <w:pPr>
                        <w:pStyle w:val="31"/>
                        <w:keepNext w:val="0"/>
                        <w:keepLines w:val="0"/>
                        <w:pageBreakBefore w:val="0"/>
                        <w:widowControl w:val="0"/>
                        <w:kinsoku/>
                        <w:wordWrap/>
                        <w:overflowPunct/>
                        <w:topLinePunct w:val="0"/>
                        <w:autoSpaceDE/>
                        <w:autoSpaceDN/>
                        <w:bidi w:val="0"/>
                        <w:adjustRightInd w:val="0"/>
                        <w:snapToGrid w:val="0"/>
                        <w:textAlignment w:val="auto"/>
                        <w:outlineLvl w:val="9"/>
                        <w:rPr>
                          <w:rFonts w:hint="eastAsia" w:ascii="宋体" w:hAnsi="宋体" w:eastAsia="宋体" w:cs="宋体"/>
                          <w:sz w:val="21"/>
                          <w:szCs w:val="21"/>
                          <w:lang w:val="en-US" w:eastAsia="zh-CN"/>
                        </w:rPr>
                      </w:pPr>
                      <w:r>
                        <w:rPr>
                          <w:rFonts w:hint="eastAsia"/>
                          <w:sz w:val="21"/>
                          <w:szCs w:val="21"/>
                          <w:lang w:val="en-US" w:eastAsia="zh-CN"/>
                        </w:rPr>
                        <w:t xml:space="preserve">  </w:t>
                      </w:r>
                      <w:r>
                        <w:rPr>
                          <w:rFonts w:hint="eastAsia" w:ascii="宋体" w:hAnsi="宋体" w:eastAsia="宋体" w:cs="宋体"/>
                          <w:sz w:val="21"/>
                          <w:szCs w:val="21"/>
                          <w:lang w:val="en-US" w:eastAsia="zh-CN"/>
                        </w:rPr>
                        <w:t>本项目位置</w:t>
                      </w:r>
                    </w:p>
                    <w:p w14:paraId="552894BD">
                      <w:pPr>
                        <w:pStyle w:val="31"/>
                        <w:keepNext w:val="0"/>
                        <w:keepLines w:val="0"/>
                        <w:pageBreakBefore w:val="0"/>
                        <w:widowControl w:val="0"/>
                        <w:kinsoku/>
                        <w:wordWrap/>
                        <w:overflowPunct/>
                        <w:topLinePunct w:val="0"/>
                        <w:autoSpaceDE/>
                        <w:autoSpaceDN/>
                        <w:bidi w:val="0"/>
                        <w:adjustRightInd w:val="0"/>
                        <w:snapToGrid w:val="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噪声评价范围</w:t>
                      </w:r>
                    </w:p>
                    <w:p w14:paraId="005DE960">
                      <w:pPr>
                        <w:pStyle w:val="31"/>
                        <w:keepNext w:val="0"/>
                        <w:keepLines w:val="0"/>
                        <w:pageBreakBefore w:val="0"/>
                        <w:widowControl w:val="0"/>
                        <w:kinsoku/>
                        <w:wordWrap/>
                        <w:overflowPunct/>
                        <w:topLinePunct w:val="0"/>
                        <w:autoSpaceDE/>
                        <w:autoSpaceDN/>
                        <w:bidi w:val="0"/>
                        <w:adjustRightInd w:val="0"/>
                        <w:snapToGrid w:val="0"/>
                        <w:ind w:firstLine="210" w:firstLineChars="1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大气评价范围</w:t>
                      </w:r>
                    </w:p>
                  </w:txbxContent>
                </v:textbox>
              </v:shape>
            </w:pict>
          </mc:Fallback>
        </mc:AlternateContent>
      </w:r>
    </w:p>
    <w:p w14:paraId="738D59C0">
      <w:pPr>
        <w:rPr>
          <w:color w:val="auto"/>
          <w:highlight w:val="none"/>
        </w:rPr>
      </w:pPr>
      <w:r>
        <w:rPr>
          <w:color w:val="auto"/>
          <w:sz w:val="21"/>
          <w:highlight w:val="none"/>
        </w:rPr>
        <mc:AlternateContent>
          <mc:Choice Requires="wps">
            <w:drawing>
              <wp:anchor distT="0" distB="0" distL="114300" distR="114300" simplePos="0" relativeHeight="251700224" behindDoc="0" locked="0" layoutInCell="1" allowOverlap="1">
                <wp:simplePos x="0" y="0"/>
                <wp:positionH relativeFrom="column">
                  <wp:posOffset>7125970</wp:posOffset>
                </wp:positionH>
                <wp:positionV relativeFrom="paragraph">
                  <wp:posOffset>41910</wp:posOffset>
                </wp:positionV>
                <wp:extent cx="87630" cy="102235"/>
                <wp:effectExtent l="6350" t="6350" r="20320" b="24765"/>
                <wp:wrapNone/>
                <wp:docPr id="106" name="矩形 106"/>
                <wp:cNvGraphicFramePr/>
                <a:graphic xmlns:a="http://schemas.openxmlformats.org/drawingml/2006/main">
                  <a:graphicData uri="http://schemas.microsoft.com/office/word/2010/wordprocessingShape">
                    <wps:wsp>
                      <wps:cNvSpPr/>
                      <wps:spPr>
                        <a:xfrm>
                          <a:off x="7273290" y="4568190"/>
                          <a:ext cx="87630" cy="1022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61.1pt;margin-top:3.3pt;height:8.05pt;width:6.9pt;z-index:251700224;v-text-anchor:middle;mso-width-relative:page;mso-height-relative:page;" filled="f" stroked="t" coordsize="21600,21600" o:gfxdata="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fH8Em1wAAAAoBAAAPAAAAAAAAAAEAIAAAACIAAABkcnMvZG93bnJl&#10;di54bWxQSwECFAAUAAAACACHTuJAWL8EEXACAADZBAAADgAAAAAAAAABACAAAAAmAQAAZHJzL2Uy&#10;b0RvYy54bWxQSwUGAAAAAAYABgBZAQAACAYAAAAA&#10;">
                <v:fill on="f" focussize="0,0"/>
                <v:stroke weight="1pt" color="#000000 [3213]" miterlimit="8" joinstyle="miter"/>
                <v:imagedata o:title=""/>
                <o:lock v:ext="edit" aspectratio="f"/>
              </v:rect>
            </w:pict>
          </mc:Fallback>
        </mc:AlternateContent>
      </w:r>
    </w:p>
    <w:p w14:paraId="4B046C46">
      <w:pPr>
        <w:rPr>
          <w:color w:val="auto"/>
          <w:highlight w:val="none"/>
        </w:rPr>
      </w:pPr>
      <w:r>
        <w:rPr>
          <w:color w:val="auto"/>
          <w:sz w:val="21"/>
          <w:highlight w:val="none"/>
        </w:rPr>
        <mc:AlternateContent>
          <mc:Choice Requires="wps">
            <w:drawing>
              <wp:anchor distT="0" distB="0" distL="114300" distR="114300" simplePos="0" relativeHeight="251701248" behindDoc="0" locked="0" layoutInCell="1" allowOverlap="1">
                <wp:simplePos x="0" y="0"/>
                <wp:positionH relativeFrom="column">
                  <wp:posOffset>7146290</wp:posOffset>
                </wp:positionH>
                <wp:positionV relativeFrom="paragraph">
                  <wp:posOffset>191770</wp:posOffset>
                </wp:positionV>
                <wp:extent cx="87630" cy="102235"/>
                <wp:effectExtent l="6350" t="6350" r="20320" b="24765"/>
                <wp:wrapNone/>
                <wp:docPr id="109" name="矩形 109"/>
                <wp:cNvGraphicFramePr/>
                <a:graphic xmlns:a="http://schemas.openxmlformats.org/drawingml/2006/main">
                  <a:graphicData uri="http://schemas.microsoft.com/office/word/2010/wordprocessingShape">
                    <wps:wsp>
                      <wps:cNvSpPr/>
                      <wps:spPr>
                        <a:xfrm>
                          <a:off x="0" y="0"/>
                          <a:ext cx="87630" cy="1022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62.7pt;margin-top:15.1pt;height:8.05pt;width:6.9pt;z-index:251701248;v-text-anchor:middle;mso-width-relative:page;mso-height-relative:page;" filled="f" stroked="t" coordsize="21600,21600" o:gfxdata="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I94CPYAAAACwEAAA8AAAAAAAAAAQAgAAAAIgAAAGRycy9kb3ducmV2LnhtbFBL&#10;AQIUABQAAAAIAIdO4kCGKtVqaAIAAM0EAAAOAAAAAAAAAAEAIAAAACcBAABkcnMvZTJvRG9jLnht&#10;bFBLBQYAAAAABgAGAFkBAAABBgAAAAA=&#10;">
                <v:fill on="f" focussize="0,0"/>
                <v:stroke weight="1pt" color="#FF0000 [3204]" miterlimit="8" joinstyle="miter"/>
                <v:imagedata o:title=""/>
                <o:lock v:ext="edit" aspectratio="f"/>
              </v:rect>
            </w:pict>
          </mc:Fallback>
        </mc:AlternateContent>
      </w:r>
      <w:r>
        <w:rPr>
          <w:color w:val="auto"/>
          <w:sz w:val="21"/>
          <w:highlight w:val="none"/>
        </w:rPr>
        <mc:AlternateContent>
          <mc:Choice Requires="wps">
            <w:drawing>
              <wp:anchor distT="0" distB="0" distL="114300" distR="114300" simplePos="0" relativeHeight="251701248" behindDoc="0" locked="0" layoutInCell="1" allowOverlap="1">
                <wp:simplePos x="0" y="0"/>
                <wp:positionH relativeFrom="column">
                  <wp:posOffset>7131050</wp:posOffset>
                </wp:positionH>
                <wp:positionV relativeFrom="paragraph">
                  <wp:posOffset>8890</wp:posOffset>
                </wp:positionV>
                <wp:extent cx="87630" cy="102235"/>
                <wp:effectExtent l="6350" t="6350" r="20320" b="24765"/>
                <wp:wrapNone/>
                <wp:docPr id="108" name="矩形 108"/>
                <wp:cNvGraphicFramePr/>
                <a:graphic xmlns:a="http://schemas.openxmlformats.org/drawingml/2006/main">
                  <a:graphicData uri="http://schemas.microsoft.com/office/word/2010/wordprocessingShape">
                    <wps:wsp>
                      <wps:cNvSpPr/>
                      <wps:spPr>
                        <a:xfrm>
                          <a:off x="0" y="0"/>
                          <a:ext cx="87630" cy="102235"/>
                        </a:xfrm>
                        <a:prstGeom prst="rect">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61.5pt;margin-top:0.7pt;height:8.05pt;width:6.9pt;z-index:251701248;v-text-anchor:middle;mso-width-relative:page;mso-height-relative:page;" filled="f" stroked="t" coordsize="21600,21600" o:gfxdata="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EOkgg/YAAAACgEAAA8AAAAAAAAAAQAgAAAAIgAAAGRycy9kb3ducmV2LnhtbFBL&#10;AQIUABQAAAAIAIdO4kAnMsYuaAIAAM0EAAAOAAAAAAAAAAEAIAAAACcBAABkcnMvZTJvRG9jLnht&#10;bFBLBQYAAAAABgAGAFkBAAABBgAAAAA=&#10;">
                <v:fill on="f" focussize="0,0"/>
                <v:stroke weight="1pt" color="#FFFF00 [3204]" miterlimit="8" joinstyle="miter"/>
                <v:imagedata o:title=""/>
                <o:lock v:ext="edit" aspectratio="f"/>
              </v:rect>
            </w:pict>
          </mc:Fallback>
        </mc:AlternateContent>
      </w:r>
      <w:r>
        <w:rPr>
          <w:color w:val="auto"/>
          <w:highlight w:val="none"/>
        </w:rPr>
        <w:drawing>
          <wp:anchor distT="0" distB="0" distL="114300" distR="114300" simplePos="0" relativeHeight="251696128" behindDoc="0" locked="0" layoutInCell="1" allowOverlap="1">
            <wp:simplePos x="0" y="0"/>
            <wp:positionH relativeFrom="column">
              <wp:posOffset>987425</wp:posOffset>
            </wp:positionH>
            <wp:positionV relativeFrom="paragraph">
              <wp:posOffset>175260</wp:posOffset>
            </wp:positionV>
            <wp:extent cx="307975" cy="133985"/>
            <wp:effectExtent l="0" t="0" r="15875" b="18415"/>
            <wp:wrapNone/>
            <wp:docPr id="9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4"/>
                    <pic:cNvPicPr>
                      <a:picLocks noChangeAspect="1"/>
                    </pic:cNvPicPr>
                  </pic:nvPicPr>
                  <pic:blipFill>
                    <a:blip r:embed="rId42"/>
                    <a:stretch>
                      <a:fillRect/>
                    </a:stretch>
                  </pic:blipFill>
                  <pic:spPr>
                    <a:xfrm>
                      <a:off x="0" y="0"/>
                      <a:ext cx="307975" cy="133985"/>
                    </a:xfrm>
                    <a:prstGeom prst="rect">
                      <a:avLst/>
                    </a:prstGeom>
                    <a:noFill/>
                    <a:ln w="9525">
                      <a:noFill/>
                    </a:ln>
                  </pic:spPr>
                </pic:pic>
              </a:graphicData>
            </a:graphic>
          </wp:anchor>
        </w:drawing>
      </w:r>
    </w:p>
    <w:p w14:paraId="74CED6EF">
      <w:pPr>
        <w:jc w:val="center"/>
        <w:rPr>
          <w:color w:val="auto"/>
          <w:highlight w:val="none"/>
        </w:rPr>
      </w:pPr>
    </w:p>
    <w:p w14:paraId="769EF464">
      <w:pPr>
        <w:pStyle w:val="31"/>
        <w:jc w:val="center"/>
        <w:rPr>
          <w:color w:val="auto"/>
          <w:highlight w:val="none"/>
        </w:rPr>
      </w:pPr>
      <w:r>
        <w:rPr>
          <w:rFonts w:hint="eastAsia" w:ascii="宋体" w:hAnsi="宋体" w:eastAsia="宋体" w:cs="宋体"/>
          <w:b/>
          <w:bCs/>
          <w:color w:val="auto"/>
          <w:kern w:val="2"/>
          <w:sz w:val="24"/>
          <w:szCs w:val="24"/>
          <w:highlight w:val="none"/>
          <w:lang w:val="en-US" w:eastAsia="zh-CN" w:bidi="ar-SA"/>
        </w:rPr>
        <w:t>附图9评价范围图</w:t>
      </w:r>
    </w:p>
    <w:sectPr>
      <w:footerReference r:id="rId9" w:type="default"/>
      <w:pgSz w:w="16840" w:h="11907" w:orient="landscape"/>
      <w:pgMar w:top="1276" w:right="1757" w:bottom="1474" w:left="1757" w:header="851" w:footer="567" w:gutter="0"/>
      <w:pgNumType w:fmt="decimal"/>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宋体">
    <w:altName w:val="宋体"/>
    <w:panose1 w:val="02010600040101010101"/>
    <w:charset w:val="86"/>
    <w:family w:val="auto"/>
    <w:pitch w:val="default"/>
    <w:sig w:usb0="00000000" w:usb1="00000000" w:usb2="00000000" w:usb3="00000000" w:csb0="0004009F" w:csb1="DFD70000"/>
  </w:font>
  <w:font w:name="SimSun-Identity-H">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S Mincho">
    <w:altName w:val="Yu Gothic UI"/>
    <w:panose1 w:val="02020609040205080304"/>
    <w:charset w:val="80"/>
    <w:family w:val="roman"/>
    <w:pitch w:val="default"/>
    <w:sig w:usb0="00000000" w:usb1="00000000" w:usb2="00000012" w:usb3="00000000" w:csb0="4002009F" w:csb1="DFD7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C2498">
    <w:pPr>
      <w:pStyle w:val="1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61E07">
    <w:pPr>
      <w:pStyle w:val="18"/>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02FF4B">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qwyiw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15fUWKYRslP37+d&#10;fvw6/fxK0iEkalyYIfLBITa2b22L8OE84DAxbyuv0xecCPwQ+HgRWLSR8HRpOplOc7g4fMMG+Nnj&#10;dedDfCesJskoqEcFO2HZYRNiHzqEpGzGrqVSXRWVIU1Br6/e5N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qsMosNAIAAGUEAAAOAAAAAAAAAAEAIAAAAB8BAABkcnMvZTJvRG9jLnhtbFBL&#10;BQYAAAAABgAGAFkBAADFBQAAAAA=&#10;">
              <v:fill on="f" focussize="0,0"/>
              <v:stroke on="f" weight="0.5pt"/>
              <v:imagedata o:title=""/>
              <o:lock v:ext="edit" aspectratio="f"/>
              <v:textbox inset="0mm,0mm,0mm,0mm" style="mso-fit-shape-to-text:t;">
                <w:txbxContent>
                  <w:p w14:paraId="5802FF4B">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0E1D0">
    <w:pPr>
      <w:pStyle w:val="18"/>
      <w:jc w:val="both"/>
    </w:pPr>
    <w:r>
      <w:rPr>
        <w:sz w:val="18"/>
      </w:rPr>
      <mc:AlternateContent>
        <mc:Choice Requires="wps">
          <w:drawing>
            <wp:anchor distT="0" distB="0" distL="114300" distR="114300" simplePos="0" relativeHeight="251703296" behindDoc="0" locked="0" layoutInCell="1" allowOverlap="1">
              <wp:simplePos x="0" y="0"/>
              <wp:positionH relativeFrom="margin">
                <wp:posOffset>2846705</wp:posOffset>
              </wp:positionH>
              <wp:positionV relativeFrom="paragraph">
                <wp:posOffset>-327660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421EBA">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4.15pt;margin-top:-25.8pt;height:144pt;width:144pt;mso-position-horizontal-relative:margin;mso-wrap-style:none;z-index:251703296;mso-width-relative:page;mso-height-relative:page;" filled="f" stroked="f" coordsize="21600,21600" o:gfxdata="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yo0HfZAAAACwEAAA8AAAAAAAAAAQAgAAAAIgAAAGRycy9kb3ducmV2&#10;LnhtbFBLAQIUABQAAAAIAIdO4kB5ifFNNAIAAGUEAAAOAAAAAAAAAAEAIAAAACgBAABkcnMvZTJv&#10;RG9jLnhtbFBLBQYAAAAABgAGAFkBAADOBQAAAAA=&#10;">
              <v:fill on="f" focussize="0,0"/>
              <v:stroke on="f" weight="0.5pt"/>
              <v:imagedata o:title=""/>
              <o:lock v:ext="edit" aspectratio="f"/>
              <v:textbox inset="0mm,0mm,0mm,0mm" style="mso-fit-shape-to-text:t;">
                <w:txbxContent>
                  <w:p w14:paraId="16421EBA">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65</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F9683">
    <w:pPr>
      <w:pStyle w:val="18"/>
      <w:jc w:val="both"/>
    </w:pPr>
    <w:r>
      <w:rPr>
        <w:sz w:val="18"/>
      </w:rPr>
      <mc:AlternateContent>
        <mc:Choice Requires="wps">
          <w:drawing>
            <wp:anchor distT="0" distB="0" distL="114300" distR="114300" simplePos="0" relativeHeight="251704320" behindDoc="0" locked="0" layoutInCell="1" allowOverlap="1">
              <wp:simplePos x="0" y="0"/>
              <wp:positionH relativeFrom="margin">
                <wp:posOffset>4170680</wp:posOffset>
              </wp:positionH>
              <wp:positionV relativeFrom="paragraph">
                <wp:posOffset>-182880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863EF1">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28.4pt;margin-top:-14.4pt;height:144pt;width:144pt;mso-position-horizontal-relative:margin;mso-wrap-style:none;z-index:251704320;mso-width-relative:page;mso-height-relative:page;" filled="f" stroked="f" coordsize="21600,21600" o:gfxdata="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xUF0zZAAAACwEAAA8AAAAAAAAAAQAgAAAAIgAAAGRycy9kb3ducmV2&#10;LnhtbFBLAQIUABQAAAAIAIdO4kASNW/RNAIAAGUEAAAOAAAAAAAAAAEAIAAAACgBAABkcnMvZTJv&#10;RG9jLnhtbFBLBQYAAAAABgAGAFkBAADOBQAAAAA=&#10;">
              <v:fill on="f" focussize="0,0"/>
              <v:stroke on="f" weight="0.5pt"/>
              <v:imagedata o:title=""/>
              <o:lock v:ext="edit" aspectratio="f"/>
              <v:textbox inset="0mm,0mm,0mm,0mm" style="mso-fit-shape-to-text:t;">
                <w:txbxContent>
                  <w:p w14:paraId="6B863EF1">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77</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43AF1">
    <w:pPr>
      <w:pStyle w:val="18"/>
      <w:jc w:val="both"/>
    </w:pPr>
    <w:r>
      <w:rPr>
        <w:sz w:val="18"/>
      </w:rPr>
      <mc:AlternateContent>
        <mc:Choice Requires="wps">
          <w:drawing>
            <wp:anchor distT="0" distB="0" distL="114300" distR="114300" simplePos="0" relativeHeight="251705344" behindDoc="0" locked="0" layoutInCell="1" allowOverlap="1">
              <wp:simplePos x="0" y="0"/>
              <wp:positionH relativeFrom="margin">
                <wp:posOffset>2980690</wp:posOffset>
              </wp:positionH>
              <wp:positionV relativeFrom="paragraph">
                <wp:posOffset>-340995</wp:posOffset>
              </wp:positionV>
              <wp:extent cx="1828800" cy="1828800"/>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641CFA">
                          <w:pPr>
                            <w:pStyle w:val="18"/>
                            <w:jc w:val="left"/>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4.7pt;margin-top:-26.85pt;height:144pt;width:144pt;mso-position-horizontal-relative:margin;mso-wrap-style:none;z-index:251705344;mso-width-relative:page;mso-height-relative:page;" filled="f" stroked="f" coordsize="21600,21600" o:gfxdata="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PJ6+/ZAAAACwEAAA8AAAAAAAAAAQAgAAAAIgAAAGRycy9kb3ducmV2&#10;LnhtbFBLAQIUABQAAAAIAIdO4kCjOFXxNAIAAGUEAAAOAAAAAAAAAAEAIAAAACgBAABkcnMvZTJv&#10;RG9jLnhtbFBLBQYAAAAABgAGAFkBAADOBQAAAAA=&#10;">
              <v:fill on="f" focussize="0,0"/>
              <v:stroke on="f" weight="0.5pt"/>
              <v:imagedata o:title=""/>
              <o:lock v:ext="edit" aspectratio="f"/>
              <v:textbox inset="0mm,0mm,0mm,0mm" style="mso-fit-shape-to-text:t;">
                <w:txbxContent>
                  <w:p w14:paraId="25641CFA">
                    <w:pPr>
                      <w:pStyle w:val="18"/>
                      <w:jc w:val="left"/>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77</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989F6">
    <w:pPr>
      <w:pStyle w:val="18"/>
      <w:jc w:val="both"/>
    </w:pPr>
    <w:r>
      <w:rPr>
        <w:sz w:val="18"/>
      </w:rPr>
      <mc:AlternateContent>
        <mc:Choice Requires="wps">
          <w:drawing>
            <wp:anchor distT="0" distB="0" distL="114300" distR="114300" simplePos="0" relativeHeight="251706368" behindDoc="0" locked="0" layoutInCell="1" allowOverlap="1">
              <wp:simplePos x="0" y="0"/>
              <wp:positionH relativeFrom="margin">
                <wp:posOffset>4170680</wp:posOffset>
              </wp:positionH>
              <wp:positionV relativeFrom="paragraph">
                <wp:posOffset>-175260</wp:posOffset>
              </wp:positionV>
              <wp:extent cx="1828800" cy="1828800"/>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E1F8AC">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28.4pt;margin-top:-13.8pt;height:144pt;width:144pt;mso-position-horizontal-relative:margin;mso-wrap-style:none;z-index:251706368;mso-width-relative:page;mso-height-relative:page;" filled="f" stroked="f" coordsize="21600,21600" o:gfxdata="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zkNJvYAAAACwEAAA8AAAAAAAAAAQAgAAAAIgAAAGRycy9kb3ducmV2Lnht&#10;bFBLAQIUABQAAAAIAIdO4kBIwfZVMgIAAGUEAAAOAAAAAAAAAAEAIAAAACcBAABkcnMvZTJvRG9j&#10;LnhtbFBLBQYAAAAABgAGAFkBAADLBQAAAAA=&#10;">
              <v:fill on="f" focussize="0,0"/>
              <v:stroke on="f" weight="0.5pt"/>
              <v:imagedata o:title=""/>
              <o:lock v:ext="edit" aspectratio="f"/>
              <v:textbox inset="0mm,0mm,0mm,0mm" style="mso-fit-shape-to-text:t;">
                <w:txbxContent>
                  <w:p w14:paraId="2FE1F8AC">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92</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E837A">
    <w:pPr>
      <w:pStyle w:val="18"/>
      <w:jc w:val="both"/>
    </w:pPr>
    <w:r>
      <w:rPr>
        <w:sz w:val="18"/>
      </w:rPr>
      <mc:AlternateContent>
        <mc:Choice Requires="wps">
          <w:drawing>
            <wp:anchor distT="0" distB="0" distL="114300" distR="114300" simplePos="0" relativeHeight="251707392" behindDoc="0" locked="0" layoutInCell="1" allowOverlap="1">
              <wp:simplePos x="0" y="0"/>
              <wp:positionH relativeFrom="margin">
                <wp:posOffset>4170680</wp:posOffset>
              </wp:positionH>
              <wp:positionV relativeFrom="paragraph">
                <wp:posOffset>-167640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275561">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28.4pt;margin-top:-13.2pt;height:144pt;width:144pt;mso-position-horizontal-relative:margin;mso-wrap-style:none;z-index:251707392;mso-width-relative:page;mso-height-relative:page;" filled="f" stroked="f" coordsize="21600,21600" o:gfxdata="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YM/t3YAAAACwEAAA8AAAAAAAAAAQAgAAAAIgAAAGRycy9kb3ducmV2Lnht&#10;bFBLAQIUABQAAAAIAIdO4kAjfWjJMgIAAGUEAAAOAAAAAAAAAAEAIAAAACcBAABkcnMvZTJvRG9j&#10;LnhtbFBLBQYAAAAABgAGAFkBAADLBQAAAAA=&#10;">
              <v:fill on="f" focussize="0,0"/>
              <v:stroke on="f" weight="0.5pt"/>
              <v:imagedata o:title=""/>
              <o:lock v:ext="edit" aspectratio="f"/>
              <v:textbox inset="0mm,0mm,0mm,0mm" style="mso-fit-shape-to-text:t;">
                <w:txbxContent>
                  <w:p w14:paraId="4E275561">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EB860"/>
    <w:multiLevelType w:val="multilevel"/>
    <w:tmpl w:val="973EB860"/>
    <w:lvl w:ilvl="0" w:tentative="0">
      <w:start w:val="1"/>
      <w:numFmt w:val="lowerLetter"/>
      <w:pStyle w:val="3"/>
      <w:suff w:val="nothing"/>
      <w:lvlText w:val="%1   "/>
      <w:lvlJc w:val="left"/>
      <w:pPr>
        <w:ind w:left="544" w:hanging="181"/>
      </w:pPr>
      <w:rPr>
        <w:rFonts w:hint="eastAsia" w:ascii="宋体" w:hAnsi="宋体" w:eastAsia="宋体"/>
        <w:b w:val="0"/>
        <w:i w:val="0"/>
        <w:sz w:val="18"/>
        <w:vertAlign w:val="superscript"/>
      </w:rPr>
    </w:lvl>
    <w:lvl w:ilvl="1" w:tentative="0">
      <w:start w:val="1"/>
      <w:numFmt w:val="lowerLetter"/>
      <w:pStyle w:val="4"/>
      <w:lvlText w:val="%2"/>
      <w:lvlJc w:val="left"/>
      <w:pPr>
        <w:tabs>
          <w:tab w:val="left" w:pos="57"/>
        </w:tabs>
        <w:ind w:left="363" w:hanging="363"/>
      </w:pPr>
    </w:lvl>
    <w:lvl w:ilvl="2" w:tentative="0">
      <w:start w:val="1"/>
      <w:numFmt w:val="lowerRoman"/>
      <w:pStyle w:val="5"/>
      <w:lvlText w:val="%3."/>
      <w:lvlJc w:val="right"/>
      <w:pPr>
        <w:tabs>
          <w:tab w:val="left" w:pos="57"/>
        </w:tabs>
        <w:ind w:left="363" w:hanging="363"/>
      </w:pPr>
    </w:lvl>
    <w:lvl w:ilvl="3" w:tentative="0">
      <w:start w:val="1"/>
      <w:numFmt w:val="decimal"/>
      <w:pStyle w:val="6"/>
      <w:lvlText w:val="%4."/>
      <w:lvlJc w:val="left"/>
      <w:pPr>
        <w:tabs>
          <w:tab w:val="left" w:pos="57"/>
        </w:tabs>
        <w:ind w:left="363" w:hanging="363"/>
      </w:pPr>
    </w:lvl>
    <w:lvl w:ilvl="4" w:tentative="0">
      <w:start w:val="1"/>
      <w:numFmt w:val="lowerLetter"/>
      <w:pStyle w:val="7"/>
      <w:lvlText w:val="%5)"/>
      <w:lvlJc w:val="left"/>
      <w:pPr>
        <w:tabs>
          <w:tab w:val="left" w:pos="57"/>
        </w:tabs>
        <w:ind w:left="363" w:hanging="363"/>
      </w:pPr>
    </w:lvl>
    <w:lvl w:ilvl="5" w:tentative="0">
      <w:start w:val="1"/>
      <w:numFmt w:val="lowerRoman"/>
      <w:pStyle w:val="8"/>
      <w:lvlText w:val="%6."/>
      <w:lvlJc w:val="right"/>
      <w:pPr>
        <w:tabs>
          <w:tab w:val="left" w:pos="57"/>
        </w:tabs>
        <w:ind w:left="363" w:hanging="363"/>
      </w:pPr>
    </w:lvl>
    <w:lvl w:ilvl="6" w:tentative="0">
      <w:start w:val="1"/>
      <w:numFmt w:val="decimal"/>
      <w:pStyle w:val="9"/>
      <w:lvlText w:val="%7."/>
      <w:lvlJc w:val="left"/>
      <w:pPr>
        <w:tabs>
          <w:tab w:val="left" w:pos="57"/>
        </w:tabs>
        <w:ind w:left="363" w:hanging="363"/>
      </w:pPr>
    </w:lvl>
    <w:lvl w:ilvl="7" w:tentative="0">
      <w:start w:val="1"/>
      <w:numFmt w:val="lowerLetter"/>
      <w:pStyle w:val="10"/>
      <w:lvlText w:val="%8)"/>
      <w:lvlJc w:val="left"/>
      <w:pPr>
        <w:tabs>
          <w:tab w:val="left" w:pos="57"/>
        </w:tabs>
        <w:ind w:left="363" w:hanging="363"/>
      </w:pPr>
    </w:lvl>
    <w:lvl w:ilvl="8" w:tentative="0">
      <w:start w:val="1"/>
      <w:numFmt w:val="lowerRoman"/>
      <w:pStyle w:val="11"/>
      <w:lvlText w:val="%9."/>
      <w:lvlJc w:val="right"/>
      <w:pPr>
        <w:tabs>
          <w:tab w:val="left" w:pos="57"/>
        </w:tabs>
        <w:ind w:left="363" w:hanging="363"/>
      </w:pPr>
    </w:lvl>
  </w:abstractNum>
  <w:abstractNum w:abstractNumId="1">
    <w:nsid w:val="9AF00831"/>
    <w:multiLevelType w:val="singleLevel"/>
    <w:tmpl w:val="9AF00831"/>
    <w:lvl w:ilvl="0" w:tentative="0">
      <w:start w:val="2"/>
      <w:numFmt w:val="decimal"/>
      <w:suff w:val="nothing"/>
      <w:lvlText w:val="（%1）"/>
      <w:lvlJc w:val="left"/>
    </w:lvl>
  </w:abstractNum>
  <w:abstractNum w:abstractNumId="2">
    <w:nsid w:val="B853EE19"/>
    <w:multiLevelType w:val="singleLevel"/>
    <w:tmpl w:val="B853EE19"/>
    <w:lvl w:ilvl="0" w:tentative="0">
      <w:start w:val="5"/>
      <w:numFmt w:val="decimal"/>
      <w:lvlText w:val="%1."/>
      <w:lvlJc w:val="left"/>
      <w:pPr>
        <w:tabs>
          <w:tab w:val="left" w:pos="312"/>
        </w:tabs>
      </w:pPr>
    </w:lvl>
  </w:abstractNum>
  <w:abstractNum w:abstractNumId="3">
    <w:nsid w:val="3FAE4587"/>
    <w:multiLevelType w:val="singleLevel"/>
    <w:tmpl w:val="3FAE4587"/>
    <w:lvl w:ilvl="0" w:tentative="0">
      <w:start w:val="1"/>
      <w:numFmt w:val="decimal"/>
      <w:lvlText w:val="%1."/>
      <w:lvlJc w:val="left"/>
      <w:pPr>
        <w:tabs>
          <w:tab w:val="left" w:pos="842"/>
        </w:tabs>
        <w:ind w:firstLine="482"/>
      </w:pPr>
      <w:rPr>
        <w:rFonts w:hint="eastAsia"/>
      </w:rPr>
    </w:lvl>
  </w:abstractNum>
  <w:abstractNum w:abstractNumId="4">
    <w:nsid w:val="59DB28CF"/>
    <w:multiLevelType w:val="singleLevel"/>
    <w:tmpl w:val="59DB28CF"/>
    <w:lvl w:ilvl="0" w:tentative="0">
      <w:start w:val="2"/>
      <w:numFmt w:val="decimal"/>
      <w:suff w:val="nothing"/>
      <w:lvlText w:val="%1."/>
      <w:lvlJc w:val="left"/>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wMmI5Njk2MjZlZDA5ZWEyZWQ3OWMyM2JhMzEzY2IifQ=="/>
  </w:docVars>
  <w:rsids>
    <w:rsidRoot w:val="5EDA5480"/>
    <w:rsid w:val="053558BE"/>
    <w:rsid w:val="05AB5A66"/>
    <w:rsid w:val="07746D44"/>
    <w:rsid w:val="096802A0"/>
    <w:rsid w:val="0B361D6B"/>
    <w:rsid w:val="0B4B4C56"/>
    <w:rsid w:val="0CED0B5B"/>
    <w:rsid w:val="112F1CD9"/>
    <w:rsid w:val="16B35473"/>
    <w:rsid w:val="175B6107"/>
    <w:rsid w:val="1B323324"/>
    <w:rsid w:val="1B4C1743"/>
    <w:rsid w:val="220013F9"/>
    <w:rsid w:val="23807D7D"/>
    <w:rsid w:val="24E43EFD"/>
    <w:rsid w:val="2816172E"/>
    <w:rsid w:val="28D40239"/>
    <w:rsid w:val="290C0608"/>
    <w:rsid w:val="29F17F21"/>
    <w:rsid w:val="2D9509C5"/>
    <w:rsid w:val="2E4C4DF6"/>
    <w:rsid w:val="2F5C0D15"/>
    <w:rsid w:val="33136BA5"/>
    <w:rsid w:val="361A7113"/>
    <w:rsid w:val="36264D8F"/>
    <w:rsid w:val="401A25AA"/>
    <w:rsid w:val="40C55168"/>
    <w:rsid w:val="414B73B3"/>
    <w:rsid w:val="445377D3"/>
    <w:rsid w:val="46B248B7"/>
    <w:rsid w:val="4779467C"/>
    <w:rsid w:val="4BA8598E"/>
    <w:rsid w:val="529153B0"/>
    <w:rsid w:val="52C56DAC"/>
    <w:rsid w:val="550B23E6"/>
    <w:rsid w:val="5EDA5480"/>
    <w:rsid w:val="5FBB6E31"/>
    <w:rsid w:val="60433A3F"/>
    <w:rsid w:val="63486993"/>
    <w:rsid w:val="63EE3696"/>
    <w:rsid w:val="659F7C19"/>
    <w:rsid w:val="6AB15092"/>
    <w:rsid w:val="70C1449B"/>
    <w:rsid w:val="75D979EE"/>
    <w:rsid w:val="76666C73"/>
    <w:rsid w:val="78544514"/>
    <w:rsid w:val="7C78065F"/>
    <w:rsid w:val="7D432358"/>
    <w:rsid w:val="7FF01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numPr>
        <w:ilvl w:val="0"/>
        <w:numId w:val="1"/>
      </w:numPr>
      <w:spacing w:before="340" w:beforeLines="0" w:beforeAutospacing="0" w:after="330" w:afterLines="0" w:afterAutospacing="0" w:line="576" w:lineRule="auto"/>
      <w:ind w:left="544" w:hanging="181"/>
      <w:outlineLvl w:val="0"/>
    </w:pPr>
    <w:rPr>
      <w:b/>
      <w:kern w:val="44"/>
      <w:sz w:val="44"/>
    </w:rPr>
  </w:style>
  <w:style w:type="paragraph" w:styleId="4">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363" w:hanging="363"/>
      <w:outlineLvl w:val="1"/>
    </w:pPr>
    <w:rPr>
      <w:rFonts w:ascii="Arial" w:hAnsi="Arial" w:eastAsia="黑体"/>
      <w:b/>
      <w:sz w:val="32"/>
    </w:rPr>
  </w:style>
  <w:style w:type="paragraph" w:styleId="5">
    <w:name w:val="heading 3"/>
    <w:basedOn w:val="1"/>
    <w:next w:val="1"/>
    <w:link w:val="28"/>
    <w:semiHidden/>
    <w:unhideWhenUsed/>
    <w:qFormat/>
    <w:uiPriority w:val="0"/>
    <w:pPr>
      <w:keepNext/>
      <w:keepLines/>
      <w:widowControl w:val="0"/>
      <w:numPr>
        <w:ilvl w:val="2"/>
        <w:numId w:val="1"/>
      </w:numPr>
      <w:spacing w:before="20" w:beforeLines="20" w:after="20" w:afterLines="20"/>
      <w:ind w:firstLineChars="0"/>
      <w:jc w:val="both"/>
      <w:outlineLvl w:val="2"/>
    </w:pPr>
    <w:rPr>
      <w:rFonts w:ascii="Cambria" w:hAnsi="Cambria" w:eastAsia="宋体"/>
      <w:b/>
      <w:bCs/>
      <w:kern w:val="2"/>
      <w:sz w:val="28"/>
      <w:szCs w:val="32"/>
      <w:lang w:eastAsia="en-US" w:bidi="ar-SA"/>
    </w:rPr>
  </w:style>
  <w:style w:type="paragraph" w:styleId="6">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363" w:hanging="363"/>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363" w:hanging="363"/>
      <w:outlineLvl w:val="4"/>
    </w:pPr>
    <w:rPr>
      <w:b/>
      <w:sz w:val="28"/>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363" w:hanging="363"/>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363" w:hanging="363"/>
      <w:outlineLvl w:val="6"/>
    </w:pPr>
    <w:rPr>
      <w:b/>
      <w:sz w:val="24"/>
    </w:rPr>
  </w:style>
  <w:style w:type="paragraph" w:styleId="10">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363" w:hanging="363"/>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363" w:hanging="363"/>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2">
    <w:name w:val="Body Text Indent 2"/>
    <w:basedOn w:val="1"/>
    <w:next w:val="1"/>
    <w:qFormat/>
    <w:uiPriority w:val="0"/>
    <w:pPr>
      <w:spacing w:after="120" w:afterLines="0" w:afterAutospacing="0" w:line="480" w:lineRule="auto"/>
      <w:ind w:left="420" w:leftChars="200"/>
    </w:pPr>
  </w:style>
  <w:style w:type="paragraph" w:styleId="12">
    <w:name w:val="Normal Indent"/>
    <w:basedOn w:val="1"/>
    <w:qFormat/>
    <w:uiPriority w:val="99"/>
    <w:pPr>
      <w:adjustRightInd w:val="0"/>
      <w:spacing w:line="312" w:lineRule="atLeast"/>
      <w:ind w:firstLine="420"/>
      <w:textAlignment w:val="baseline"/>
    </w:pPr>
    <w:rPr>
      <w:kern w:val="0"/>
    </w:rPr>
  </w:style>
  <w:style w:type="paragraph" w:styleId="13">
    <w:name w:val="annotation text"/>
    <w:basedOn w:val="1"/>
    <w:qFormat/>
    <w:uiPriority w:val="0"/>
    <w:pPr>
      <w:jc w:val="left"/>
    </w:pPr>
  </w:style>
  <w:style w:type="paragraph" w:styleId="14">
    <w:name w:val="Body Text"/>
    <w:basedOn w:val="1"/>
    <w:next w:val="1"/>
    <w:qFormat/>
    <w:uiPriority w:val="99"/>
    <w:rPr>
      <w:sz w:val="28"/>
      <w:szCs w:val="28"/>
    </w:rPr>
  </w:style>
  <w:style w:type="paragraph" w:styleId="15">
    <w:name w:val="Body Text Indent"/>
    <w:basedOn w:val="1"/>
    <w:qFormat/>
    <w:uiPriority w:val="99"/>
    <w:pPr>
      <w:ind w:left="-88" w:firstLine="516" w:firstLineChars="199"/>
    </w:pPr>
    <w:rPr>
      <w:sz w:val="24"/>
      <w:szCs w:val="24"/>
    </w:rPr>
  </w:style>
  <w:style w:type="paragraph" w:styleId="16">
    <w:name w:val="Block Text"/>
    <w:basedOn w:val="1"/>
    <w:unhideWhenUsed/>
    <w:qFormat/>
    <w:uiPriority w:val="99"/>
    <w:pPr>
      <w:adjustRightInd w:val="0"/>
      <w:spacing w:before="120" w:line="440" w:lineRule="exact"/>
      <w:ind w:left="284" w:right="284" w:firstLine="567"/>
      <w:textAlignment w:val="baseline"/>
    </w:pPr>
    <w:rPr>
      <w:rFonts w:ascii="楷体_GB2312" w:hAnsi="Times New Roman" w:eastAsia="楷体_GB2312"/>
      <w:spacing w:val="-2"/>
      <w:kern w:val="0"/>
      <w:sz w:val="28"/>
      <w:szCs w:val="20"/>
    </w:rPr>
  </w:style>
  <w:style w:type="paragraph" w:styleId="17">
    <w:name w:val="Plain Text"/>
    <w:basedOn w:val="1"/>
    <w:qFormat/>
    <w:uiPriority w:val="0"/>
    <w:rPr>
      <w:rFonts w:ascii="宋体" w:hAnsi="Courier New" w:cs="宋体"/>
    </w:rPr>
  </w:style>
  <w:style w:type="paragraph" w:styleId="18">
    <w:name w:val="footer"/>
    <w:basedOn w:val="1"/>
    <w:qFormat/>
    <w:uiPriority w:val="99"/>
    <w:pPr>
      <w:tabs>
        <w:tab w:val="center" w:pos="4153"/>
        <w:tab w:val="right" w:pos="8306"/>
      </w:tabs>
      <w:snapToGrid w:val="0"/>
      <w:jc w:val="left"/>
    </w:pPr>
    <w:rPr>
      <w:sz w:val="18"/>
      <w:szCs w:val="18"/>
    </w:rPr>
  </w:style>
  <w:style w:type="paragraph" w:styleId="1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List"/>
    <w:basedOn w:val="1"/>
    <w:qFormat/>
    <w:uiPriority w:val="99"/>
    <w:pPr>
      <w:widowControl/>
      <w:spacing w:line="360" w:lineRule="auto"/>
    </w:pPr>
    <w:rPr>
      <w:rFonts w:ascii="宋体" w:cs="宋体"/>
      <w:sz w:val="24"/>
      <w:szCs w:val="24"/>
    </w:rPr>
  </w:style>
  <w:style w:type="paragraph" w:styleId="21">
    <w:name w:val="table of figures"/>
    <w:basedOn w:val="1"/>
    <w:next w:val="1"/>
    <w:qFormat/>
    <w:uiPriority w:val="0"/>
    <w:pPr>
      <w:keepNext w:val="0"/>
      <w:keepLines w:val="0"/>
      <w:widowControl w:val="0"/>
      <w:suppressLineNumbers w:val="0"/>
      <w:autoSpaceDE w:val="0"/>
      <w:autoSpaceDN w:val="0"/>
      <w:spacing w:line="400" w:lineRule="exact"/>
      <w:ind w:left="200" w:leftChars="200" w:hanging="200" w:hangingChars="200"/>
      <w:jc w:val="both"/>
    </w:pPr>
    <w:rPr>
      <w:rFonts w:hint="default" w:ascii="Calibri" w:hAnsi="Calibri" w:eastAsia="宋体" w:cs="Times New Roman"/>
      <w:kern w:val="2"/>
      <w:sz w:val="28"/>
      <w:szCs w:val="28"/>
      <w:lang w:val="en-US" w:eastAsia="zh-CN" w:bidi="ar"/>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Body Text First Indent"/>
    <w:basedOn w:val="14"/>
    <w:qFormat/>
    <w:uiPriority w:val="99"/>
    <w:pPr>
      <w:spacing w:after="120"/>
      <w:ind w:firstLine="420" w:firstLineChars="100"/>
    </w:pPr>
  </w:style>
  <w:style w:type="table" w:styleId="25">
    <w:name w:val="Table Grid"/>
    <w:basedOn w:val="24"/>
    <w:qFormat/>
    <w:uiPriority w:val="99"/>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Hyperlink"/>
    <w:basedOn w:val="26"/>
    <w:qFormat/>
    <w:uiPriority w:val="0"/>
    <w:rPr>
      <w:color w:val="0000FF"/>
      <w:u w:val="single"/>
    </w:rPr>
  </w:style>
  <w:style w:type="character" w:customStyle="1" w:styleId="28">
    <w:name w:val="标题 3 字符"/>
    <w:link w:val="5"/>
    <w:qFormat/>
    <w:uiPriority w:val="0"/>
    <w:rPr>
      <w:rFonts w:ascii="Cambria" w:hAnsi="Cambria" w:eastAsia="宋体"/>
      <w:b/>
      <w:bCs/>
      <w:kern w:val="2"/>
      <w:sz w:val="28"/>
      <w:szCs w:val="32"/>
      <w:lang w:eastAsia="en-US"/>
    </w:rPr>
  </w:style>
  <w:style w:type="paragraph" w:customStyle="1" w:styleId="29">
    <w:name w:val="0正文"/>
    <w:basedOn w:val="1"/>
    <w:qFormat/>
    <w:uiPriority w:val="99"/>
    <w:pPr>
      <w:adjustRightInd w:val="0"/>
      <w:snapToGrid w:val="0"/>
      <w:ind w:firstLine="480"/>
    </w:pPr>
    <w:rPr>
      <w:szCs w:val="24"/>
    </w:rPr>
  </w:style>
  <w:style w:type="paragraph" w:customStyle="1" w:styleId="30">
    <w:name w:val="一级正文"/>
    <w:basedOn w:val="1"/>
    <w:qFormat/>
    <w:uiPriority w:val="0"/>
    <w:pPr>
      <w:tabs>
        <w:tab w:val="left" w:pos="900"/>
      </w:tabs>
      <w:spacing w:line="240" w:lineRule="auto"/>
      <w:ind w:left="-2" w:leftChars="-100" w:right="210" w:hanging="208" w:hangingChars="65"/>
    </w:pPr>
    <w:rPr>
      <w:rFonts w:ascii="仿宋_GB2312" w:eastAsia="仿宋_GB2312"/>
      <w:sz w:val="32"/>
      <w:szCs w:val="32"/>
    </w:rPr>
  </w:style>
  <w:style w:type="paragraph" w:customStyle="1" w:styleId="31">
    <w:name w:val="_Style 4"/>
    <w:qFormat/>
    <w:uiPriority w:val="1"/>
    <w:pPr>
      <w:widowControl w:val="0"/>
      <w:jc w:val="both"/>
    </w:pPr>
    <w:rPr>
      <w:rFonts w:ascii="Times New Roman" w:hAnsi="Times New Roman" w:eastAsia="仿宋_GB2312" w:cs="Times New Roman"/>
      <w:kern w:val="2"/>
      <w:sz w:val="24"/>
      <w:szCs w:val="22"/>
      <w:lang w:val="en-US" w:eastAsia="zh-CN" w:bidi="ar-SA"/>
    </w:rPr>
  </w:style>
  <w:style w:type="paragraph" w:customStyle="1" w:styleId="32">
    <w:name w:val="修改正文"/>
    <w:basedOn w:val="1"/>
    <w:qFormat/>
    <w:uiPriority w:val="0"/>
    <w:rPr>
      <w:color w:val="00B050"/>
    </w:rPr>
  </w:style>
  <w:style w:type="paragraph" w:customStyle="1" w:styleId="33">
    <w:name w:val="表格内容"/>
    <w:basedOn w:val="1"/>
    <w:qFormat/>
    <w:uiPriority w:val="0"/>
    <w:pPr>
      <w:adjustRightInd w:val="0"/>
      <w:snapToGrid w:val="0"/>
      <w:jc w:val="center"/>
    </w:pPr>
    <w:rPr>
      <w:rFonts w:ascii="Times New Roman"/>
      <w:sz w:val="21"/>
      <w:szCs w:val="21"/>
    </w:rPr>
  </w:style>
  <w:style w:type="paragraph" w:customStyle="1" w:styleId="34">
    <w:name w:val="表格样式"/>
    <w:basedOn w:val="1"/>
    <w:qFormat/>
    <w:uiPriority w:val="99"/>
    <w:pPr>
      <w:jc w:val="center"/>
    </w:pPr>
    <w:rPr>
      <w:rFonts w:ascii="宋体" w:hAnsi="宋体" w:cs="宋体"/>
    </w:rPr>
  </w:style>
  <w:style w:type="paragraph" w:customStyle="1" w:styleId="35">
    <w:name w:val="表格"/>
    <w:qFormat/>
    <w:uiPriority w:val="99"/>
    <w:pPr>
      <w:spacing w:line="380" w:lineRule="exact"/>
      <w:jc w:val="center"/>
    </w:pPr>
    <w:rPr>
      <w:rFonts w:ascii="宋体" w:hAnsi="宋体" w:eastAsia="宋体" w:cs="宋体"/>
      <w:sz w:val="21"/>
      <w:szCs w:val="21"/>
      <w:lang w:val="en-US" w:eastAsia="zh-CN" w:bidi="ar-SA"/>
    </w:rPr>
  </w:style>
  <w:style w:type="paragraph" w:customStyle="1" w:styleId="36">
    <w:name w:val="表格小四"/>
    <w:qFormat/>
    <w:uiPriority w:val="0"/>
    <w:pPr>
      <w:jc w:val="center"/>
    </w:pPr>
    <w:rPr>
      <w:rFonts w:ascii="Times New Roman" w:hAnsi="Times New Roman" w:eastAsia="仿宋_GB2312" w:cs="Times New Roman"/>
      <w:kern w:val="2"/>
      <w:sz w:val="24"/>
      <w:szCs w:val="21"/>
      <w:lang w:val="en-US" w:eastAsia="zh-CN" w:bidi="ar-SA"/>
    </w:rPr>
  </w:style>
  <w:style w:type="paragraph" w:customStyle="1" w:styleId="37">
    <w:name w:val="正文 + 仿宋_GB2312"/>
    <w:basedOn w:val="1"/>
    <w:qFormat/>
    <w:uiPriority w:val="99"/>
    <w:pPr>
      <w:ind w:firstLine="480" w:firstLineChars="200"/>
    </w:pPr>
    <w:rPr>
      <w:rFonts w:ascii="仿宋_GB2312" w:eastAsia="仿宋_GB2312" w:cs="仿宋_GB2312"/>
      <w:sz w:val="24"/>
      <w:szCs w:val="24"/>
    </w:rPr>
  </w:style>
  <w:style w:type="paragraph" w:customStyle="1" w:styleId="38">
    <w:name w:val="样式1"/>
    <w:basedOn w:val="3"/>
    <w:qFormat/>
    <w:uiPriority w:val="99"/>
    <w:pPr>
      <w:keepNext w:val="0"/>
      <w:keepLines w:val="0"/>
      <w:adjustRightInd w:val="0"/>
      <w:spacing w:before="0" w:after="0" w:line="500" w:lineRule="atLeast"/>
    </w:pPr>
    <w:rPr>
      <w:sz w:val="30"/>
      <w:szCs w:val="30"/>
    </w:rPr>
  </w:style>
  <w:style w:type="paragraph" w:customStyle="1" w:styleId="39">
    <w:name w:val="000正文abing(新)"/>
    <w:basedOn w:val="1"/>
    <w:qFormat/>
    <w:uiPriority w:val="0"/>
    <w:pPr>
      <w:widowControl/>
      <w:spacing w:line="440" w:lineRule="exact"/>
      <w:ind w:firstLine="480" w:firstLineChars="200"/>
      <w:jc w:val="left"/>
    </w:pPr>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footer" Target="footer2.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er" Target="foot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w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wmf"/><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98</Pages>
  <Words>15272</Words>
  <Characters>17684</Characters>
  <Lines>0</Lines>
  <Paragraphs>0</Paragraphs>
  <TotalTime>1</TotalTime>
  <ScaleCrop>false</ScaleCrop>
  <LinksUpToDate>false</LinksUpToDate>
  <CharactersWithSpaces>18804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2020-12-07T02:34:00Z</dcterms:created>
  <dc:creator>Administrator</dc:creator>
  <cp:lastModifiedBy>慧ྀൢ小ྀൢ慧ྀൢ๑๑ ﾟ</cp:lastModifiedBy>
  <cp:lastPrinted>2021-03-02T08:01:00Z</cp:lastPrinted>
  <dcterms:modified xsi:type="dcterms:W3CDTF">2026-01-15T05:37:59Z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6EC6D28E3BE54E6E9735678D14B5B06D_13</vt:lpwstr>
  </property>
  <property fmtid="{D5CDD505-2E9C-101B-9397-08002B2CF9AE}" pid="4" name="KSOTemplateDocerSaveRecord">
    <vt:lpwstr>eyJoZGlkIjoiYmUyMDIyY2Y0NjY5NGQ2MDk4ODk0N2MwNDQxN2RiNjYiLCJ1c2VySWQiOiI3Mjk5NDMyNzkifQ==</vt:lpwstr>
  </property>
</Properties>
</file>