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5FE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bookmarkStart w:id="0" w:name="_Toc77757655"/>
      <w:r>
        <w:rPr>
          <w:rFonts w:ascii="方正小标宋简体" w:hAnsi="方正小标宋简体" w:eastAsia="方正小标宋简体" w:cs="方正小标宋简体"/>
          <w:color w:val="000000"/>
          <w:sz w:val="44"/>
          <w:szCs w:val="44"/>
        </w:rPr>
        <w:t>养老服务设施布局</w:t>
      </w:r>
      <w:r>
        <w:rPr>
          <w:rFonts w:hint="default" w:ascii="方正小标宋简体" w:hAnsi="方正小标宋简体" w:eastAsia="方正小标宋简体" w:cs="方正小标宋简体"/>
          <w:color w:val="000000"/>
          <w:sz w:val="44"/>
          <w:szCs w:val="44"/>
        </w:rPr>
        <w:t>规划编制技术指南（试行）</w:t>
      </w:r>
      <w:bookmarkEnd w:id="0"/>
    </w:p>
    <w:p w14:paraId="2A7D814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bookmarkStart w:id="1" w:name="_Toc17812"/>
      <w:bookmarkStart w:id="2" w:name="_Toc10847"/>
      <w:bookmarkStart w:id="3" w:name="_Toc13831"/>
      <w:bookmarkStart w:id="4" w:name="_Toc27181"/>
      <w:bookmarkStart w:id="5" w:name="_Toc1922"/>
      <w:bookmarkStart w:id="6" w:name="_Toc9681"/>
      <w:bookmarkStart w:id="7" w:name="_Toc10901"/>
      <w:bookmarkStart w:id="8" w:name="_Toc918"/>
      <w:bookmarkStart w:id="9" w:name="_Toc22536"/>
      <w:bookmarkStart w:id="10" w:name="_Toc2327"/>
      <w:bookmarkStart w:id="11" w:name="_Toc22748"/>
      <w:bookmarkStart w:id="12" w:name="_Toc3023"/>
      <w:bookmarkStart w:id="13" w:name="_Toc3917"/>
      <w:bookmarkStart w:id="14" w:name="_Toc2188"/>
      <w:bookmarkStart w:id="15" w:name="_Toc21653"/>
      <w:bookmarkStart w:id="16" w:name="_Toc144230362"/>
      <w:r>
        <w:rPr>
          <w:rFonts w:ascii="黑体" w:hAnsi="宋体" w:eastAsia="黑体" w:cs="黑体"/>
          <w:color w:val="000000"/>
          <w:sz w:val="36"/>
          <w:szCs w:val="36"/>
        </w:rPr>
        <w:t>前 言</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483B7B5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pPr>
      <w:r>
        <w:rPr>
          <w:bdr w:val="none" w:color="auto" w:sz="0" w:space="0"/>
        </w:rPr>
        <w:t> </w:t>
      </w:r>
    </w:p>
    <w:p w14:paraId="5FA67BD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ascii="方正仿宋_GBK" w:hAnsi="方正仿宋_GBK" w:eastAsia="方正仿宋_GBK" w:cs="方正仿宋_GBK"/>
          <w:color w:val="000000"/>
          <w:sz w:val="32"/>
          <w:szCs w:val="32"/>
        </w:rPr>
        <w:t>为实施积极应对人口老龄化国家战略，</w:t>
      </w:r>
      <w:r>
        <w:rPr>
          <w:rFonts w:hint="default" w:ascii="方正仿宋_GBK" w:hAnsi="方正仿宋_GBK" w:eastAsia="方正仿宋_GBK" w:cs="方正仿宋_GBK"/>
          <w:color w:val="000000"/>
          <w:sz w:val="32"/>
          <w:szCs w:val="32"/>
        </w:rPr>
        <w:t>加快健全覆盖城乡的县（区）、乡镇（街道）、村（社区）三级养老服务网络，进一步提升养老服务设施布局科学性、合理性和精准性，有效提高养老服务设施土地利用效率，民政部、自然资源部在总结各地实践经验的基础上，研究制定了《养老服务设施布局规划编制技术指南（试行）》，用于指导地方开展养老服务设施布局规划编制工作。</w:t>
      </w:r>
    </w:p>
    <w:p w14:paraId="0E517CF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当前，养老服务设施布局规划编制尚处于实践探索阶段，本指南侧重提出原则性、导向性要求，各地可结合实际，补充、细化、完善本地区养老服务设施布局规划的内容和技术规定，提高针对性、科学性和可操作性。</w:t>
      </w:r>
    </w:p>
    <w:p w14:paraId="2850569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bookmarkStart w:id="17" w:name="_Toc2754"/>
      <w:bookmarkEnd w:id="17"/>
      <w:bookmarkStart w:id="18" w:name="_Toc13794"/>
      <w:bookmarkEnd w:id="18"/>
      <w:bookmarkStart w:id="19" w:name="_Toc21017"/>
      <w:bookmarkEnd w:id="19"/>
      <w:bookmarkStart w:id="20" w:name="_Toc31129"/>
      <w:bookmarkEnd w:id="20"/>
      <w:bookmarkStart w:id="21" w:name="_Toc22364"/>
      <w:bookmarkEnd w:id="21"/>
      <w:bookmarkStart w:id="22" w:name="_Toc30105"/>
      <w:bookmarkEnd w:id="22"/>
      <w:bookmarkStart w:id="23" w:name="_Toc17959"/>
      <w:bookmarkEnd w:id="23"/>
      <w:bookmarkStart w:id="24" w:name="_Toc20982"/>
      <w:bookmarkEnd w:id="24"/>
      <w:bookmarkStart w:id="25" w:name="_Toc30386"/>
      <w:bookmarkEnd w:id="25"/>
      <w:bookmarkStart w:id="26" w:name="_Toc11584"/>
      <w:bookmarkEnd w:id="26"/>
      <w:bookmarkStart w:id="27" w:name="_Toc4711"/>
      <w:bookmarkEnd w:id="27"/>
      <w:bookmarkStart w:id="28" w:name="_Toc14833"/>
      <w:bookmarkEnd w:id="28"/>
      <w:bookmarkStart w:id="29" w:name="_Toc19314"/>
      <w:bookmarkEnd w:id="29"/>
      <w:bookmarkStart w:id="30" w:name="_Toc20962"/>
      <w:bookmarkEnd w:id="30"/>
      <w:bookmarkStart w:id="31" w:name="_Toc15102"/>
    </w:p>
    <w:p w14:paraId="0B45B9C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56BE722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0C52226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7B0FEBF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28F9F7C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4C6BB30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389E6E5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584749D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7D101C9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4FC1949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default" w:ascii="方正小标宋简体" w:hAnsi="方正小标宋简体" w:eastAsia="方正小标宋简体" w:cs="方正小标宋简体"/>
          <w:color w:val="000000"/>
          <w:sz w:val="44"/>
          <w:szCs w:val="44"/>
        </w:rPr>
      </w:pPr>
    </w:p>
    <w:p w14:paraId="0EDA96D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3960" w:firstLineChars="900"/>
        <w:jc w:val="both"/>
      </w:pPr>
      <w:r>
        <w:rPr>
          <w:rFonts w:hint="default" w:ascii="方正小标宋简体" w:hAnsi="方正小标宋简体" w:eastAsia="方正小标宋简体" w:cs="方正小标宋简体"/>
          <w:color w:val="000000"/>
          <w:sz w:val="44"/>
          <w:szCs w:val="44"/>
        </w:rPr>
        <w:t>目 录</w:t>
      </w:r>
    </w:p>
    <w:p w14:paraId="2C53797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jc w:val="both"/>
      </w:pPr>
      <w:r>
        <w:fldChar w:fldCharType="begin"/>
      </w:r>
      <w:r>
        <w:instrText xml:space="preserve"> HYPERLINK "" \l "_Toc8715" </w:instrText>
      </w:r>
      <w:r>
        <w:fldChar w:fldCharType="separate"/>
      </w:r>
      <w:r>
        <w:rPr>
          <w:rStyle w:val="5"/>
          <w:rFonts w:ascii="方正黑体_GBK" w:hAnsi="方正黑体_GBK" w:eastAsia="方正黑体_GBK" w:cs="方正黑体_GBK"/>
          <w:color w:val="000000"/>
          <w:sz w:val="21"/>
          <w:szCs w:val="21"/>
        </w:rPr>
        <w:t>一、总体要求</w:t>
      </w:r>
      <w:r>
        <w:rPr>
          <w:rStyle w:val="5"/>
          <w:rFonts w:hint="default" w:ascii="Times New Roman" w:hAnsi="Times New Roman" w:cs="Times New Roman"/>
          <w:color w:val="000000"/>
          <w:sz w:val="21"/>
          <w:szCs w:val="21"/>
        </w:rPr>
        <w:tab/>
        <w:t>1</w:t>
      </w:r>
      <w:r>
        <w:fldChar w:fldCharType="end"/>
      </w:r>
    </w:p>
    <w:p w14:paraId="237D841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"_Toc28734" </w:instrText>
      </w:r>
      <w:r>
        <w:rPr>
          <w:bdr w:val="none" w:color="auto" w:sz="0" w:space="0"/>
        </w:rPr>
        <w:fldChar w:fldCharType="separate"/>
      </w:r>
      <w:r>
        <w:rPr>
          <w:rStyle w:val="5"/>
          <w:rFonts w:ascii="方正楷体_GBK" w:hAnsi="方正楷体_GBK" w:eastAsia="方正楷体_GBK" w:cs="方正楷体_GBK"/>
          <w:color w:val="000000"/>
          <w:sz w:val="21"/>
          <w:szCs w:val="21"/>
        </w:rPr>
        <w:t>（一）规划目的</w:t>
      </w:r>
      <w:r>
        <w:rPr>
          <w:rStyle w:val="5"/>
          <w:rFonts w:hint="default" w:ascii="Times New Roman" w:hAnsi="Times New Roman" w:cs="Times New Roman"/>
          <w:color w:val="000000"/>
          <w:sz w:val="21"/>
          <w:szCs w:val="21"/>
        </w:rPr>
        <w:tab/>
        <w:t>1</w:t>
      </w:r>
      <w:r>
        <w:rPr>
          <w:bdr w:val="none" w:color="auto" w:sz="0" w:space="0"/>
        </w:rPr>
        <w:fldChar w:fldCharType="end"/>
      </w:r>
    </w:p>
    <w:p w14:paraId="75D4966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"_Toc31142"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（二）基本原则</w:t>
      </w:r>
      <w:r>
        <w:rPr>
          <w:rStyle w:val="5"/>
          <w:rFonts w:hint="default" w:ascii="Times New Roman" w:hAnsi="Times New Roman" w:cs="Times New Roman"/>
          <w:color w:val="000000"/>
          <w:sz w:val="21"/>
          <w:szCs w:val="21"/>
        </w:rPr>
        <w:tab/>
        <w:t>1</w:t>
      </w:r>
      <w:r>
        <w:rPr>
          <w:bdr w:val="none" w:color="auto" w:sz="0" w:space="0"/>
        </w:rPr>
        <w:fldChar w:fldCharType="end"/>
      </w:r>
    </w:p>
    <w:p w14:paraId="61E48C2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"_Toc29145"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（三）适用范围</w:t>
      </w:r>
      <w:r>
        <w:rPr>
          <w:rStyle w:val="5"/>
          <w:rFonts w:hint="default" w:ascii="Times New Roman" w:hAnsi="Times New Roman" w:cs="Times New Roman"/>
          <w:color w:val="000000"/>
          <w:sz w:val="21"/>
          <w:szCs w:val="21"/>
        </w:rPr>
        <w:tab/>
        <w:t>2</w:t>
      </w:r>
      <w:r>
        <w:rPr>
          <w:bdr w:val="none" w:color="auto" w:sz="0" w:space="0"/>
        </w:rPr>
        <w:fldChar w:fldCharType="end"/>
      </w:r>
    </w:p>
    <w:p w14:paraId="03FEBB8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fldChar w:fldCharType="begin"/>
      </w:r>
      <w:r>
        <w:instrText xml:space="preserve"> HYPERLINK "" \l "_Toc15021" </w:instrText>
      </w:r>
      <w:r>
        <w:fldChar w:fldCharType="separate"/>
      </w:r>
      <w:r>
        <w:rPr>
          <w:rStyle w:val="5"/>
          <w:rFonts w:hint="default" w:ascii="方正楷体_GBK" w:hAnsi="方正楷体_GBK" w:eastAsia="方正楷体_GBK" w:cs="方正楷体_GBK"/>
          <w:color w:val="000000"/>
          <w:sz w:val="21"/>
          <w:szCs w:val="21"/>
        </w:rPr>
        <w:t>（四）规划期限</w:t>
      </w:r>
      <w:r>
        <w:rPr>
          <w:rStyle w:val="5"/>
          <w:rFonts w:hint="default" w:ascii="Times New Roman" w:hAnsi="Times New Roman" w:cs="Times New Roman"/>
          <w:color w:val="000000"/>
          <w:sz w:val="21"/>
          <w:szCs w:val="21"/>
        </w:rPr>
        <w:tab/>
        <w:t>2</w:t>
      </w:r>
      <w:r>
        <w:fldChar w:fldCharType="end"/>
      </w:r>
    </w:p>
    <w:p w14:paraId="7AE9616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jc w:val="both"/>
      </w:pPr>
      <w:r>
        <w:fldChar w:fldCharType="begin"/>
      </w:r>
      <w:r>
        <w:instrText xml:space="preserve"> HYPERLINK "" \l "_Toc16347" </w:instrText>
      </w:r>
      <w:r>
        <w:fldChar w:fldCharType="separate"/>
      </w:r>
      <w:r>
        <w:rPr>
          <w:rStyle w:val="5"/>
          <w:rFonts w:hint="default" w:ascii="方正黑体_GBK" w:hAnsi="方正黑体_GBK" w:eastAsia="方正黑体_GBK" w:cs="方正黑体_GBK"/>
          <w:color w:val="000000"/>
          <w:sz w:val="21"/>
          <w:szCs w:val="21"/>
        </w:rPr>
        <w:t>二、编制要点</w:t>
      </w:r>
      <w:r>
        <w:rPr>
          <w:rStyle w:val="5"/>
          <w:rFonts w:hint="default" w:ascii="Times New Roman" w:hAnsi="Times New Roman" w:cs="Times New Roman"/>
          <w:color w:val="000000"/>
          <w:sz w:val="21"/>
          <w:szCs w:val="21"/>
        </w:rPr>
        <w:tab/>
        <w:t>2</w:t>
      </w:r>
      <w:r>
        <w:fldChar w:fldCharType="end"/>
      </w:r>
    </w:p>
    <w:p w14:paraId="15CE785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"_Toc30079"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（一）设施类型</w:t>
      </w:r>
      <w:r>
        <w:rPr>
          <w:rStyle w:val="5"/>
          <w:rFonts w:hint="default" w:ascii="Times New Roman" w:hAnsi="Times New Roman" w:cs="Times New Roman"/>
          <w:color w:val="000000"/>
          <w:sz w:val="21"/>
          <w:szCs w:val="21"/>
        </w:rPr>
        <w:tab/>
        <w:t>2</w:t>
      </w:r>
      <w:r>
        <w:rPr>
          <w:bdr w:val="none" w:color="auto" w:sz="0" w:space="0"/>
        </w:rPr>
        <w:fldChar w:fldCharType="end"/>
      </w:r>
    </w:p>
    <w:p w14:paraId="6C96A2A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"_Toc6264"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（二）数据时间</w:t>
      </w:r>
      <w:r>
        <w:rPr>
          <w:rStyle w:val="5"/>
          <w:rFonts w:hint="default" w:ascii="Times New Roman" w:hAnsi="Times New Roman" w:cs="Times New Roman"/>
          <w:color w:val="000000"/>
          <w:sz w:val="21"/>
          <w:szCs w:val="21"/>
        </w:rPr>
        <w:tab/>
        <w:t>2</w:t>
      </w:r>
      <w:r>
        <w:rPr>
          <w:bdr w:val="none" w:color="auto" w:sz="0" w:space="0"/>
        </w:rPr>
        <w:fldChar w:fldCharType="end"/>
      </w:r>
    </w:p>
    <w:p w14:paraId="0F0415F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"_Toc27022"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（三）基本要求</w:t>
      </w:r>
      <w:r>
        <w:rPr>
          <w:rStyle w:val="5"/>
          <w:rFonts w:hint="default" w:ascii="Times New Roman" w:hAnsi="Times New Roman" w:cs="Times New Roman"/>
          <w:color w:val="000000"/>
          <w:sz w:val="21"/>
          <w:szCs w:val="21"/>
        </w:rPr>
        <w:tab/>
        <w:t>3</w:t>
      </w:r>
      <w:r>
        <w:rPr>
          <w:bdr w:val="none" w:color="auto" w:sz="0" w:space="0"/>
        </w:rPr>
        <w:fldChar w:fldCharType="end"/>
      </w:r>
    </w:p>
    <w:p w14:paraId="0E6EAEC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fldChar w:fldCharType="begin"/>
      </w:r>
      <w:r>
        <w:instrText xml:space="preserve"> HYPERLINK "" \l "_Toc30525" </w:instrText>
      </w:r>
      <w:r>
        <w:fldChar w:fldCharType="separate"/>
      </w:r>
      <w:r>
        <w:rPr>
          <w:rStyle w:val="5"/>
          <w:rFonts w:hint="default" w:ascii="方正楷体_GBK" w:hAnsi="方正楷体_GBK" w:eastAsia="方正楷体_GBK" w:cs="方正楷体_GBK"/>
          <w:color w:val="000000"/>
          <w:sz w:val="21"/>
          <w:szCs w:val="21"/>
        </w:rPr>
        <w:t>（四）机构养老服务设施配建标准</w:t>
      </w:r>
      <w:r>
        <w:rPr>
          <w:rStyle w:val="5"/>
          <w:rFonts w:hint="default" w:ascii="Times New Roman" w:hAnsi="Times New Roman" w:cs="Times New Roman"/>
          <w:color w:val="000000"/>
          <w:sz w:val="21"/>
          <w:szCs w:val="21"/>
        </w:rPr>
        <w:tab/>
        <w:t>5</w:t>
      </w:r>
      <w:r>
        <w:fldChar w:fldCharType="end"/>
      </w:r>
    </w:p>
    <w:p w14:paraId="62F635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jc w:val="both"/>
      </w:pPr>
      <w:r>
        <w:fldChar w:fldCharType="begin"/>
      </w:r>
      <w:r>
        <w:instrText xml:space="preserve"> HYPERLINK "" \l "_Toc32391" </w:instrText>
      </w:r>
      <w:r>
        <w:fldChar w:fldCharType="separate"/>
      </w:r>
      <w:r>
        <w:rPr>
          <w:rStyle w:val="5"/>
          <w:rFonts w:hint="default" w:ascii="方正黑体_GBK" w:hAnsi="方正黑体_GBK" w:eastAsia="方正黑体_GBK" w:cs="方正黑体_GBK"/>
          <w:color w:val="000000"/>
          <w:sz w:val="21"/>
          <w:szCs w:val="21"/>
        </w:rPr>
        <w:t>三、主要内容</w:t>
      </w:r>
      <w:r>
        <w:rPr>
          <w:rStyle w:val="5"/>
          <w:rFonts w:hint="default" w:ascii="Times New Roman" w:hAnsi="Times New Roman" w:cs="Times New Roman"/>
          <w:color w:val="000000"/>
          <w:sz w:val="21"/>
          <w:szCs w:val="21"/>
        </w:rPr>
        <w:tab/>
        <w:t>6</w:t>
      </w:r>
      <w:r>
        <w:fldChar w:fldCharType="end"/>
      </w:r>
    </w:p>
    <w:p w14:paraId="4278E69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"_Toc32277"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（一）供需现状</w:t>
      </w:r>
      <w:r>
        <w:rPr>
          <w:rStyle w:val="5"/>
          <w:rFonts w:hint="default" w:ascii="Times New Roman" w:hAnsi="Times New Roman" w:cs="Times New Roman"/>
          <w:color w:val="000000"/>
          <w:sz w:val="21"/>
          <w:szCs w:val="21"/>
        </w:rPr>
        <w:tab/>
        <w:t>6</w:t>
      </w:r>
      <w:r>
        <w:rPr>
          <w:bdr w:val="none" w:color="auto" w:sz="0" w:space="0"/>
        </w:rPr>
        <w:fldChar w:fldCharType="end"/>
      </w:r>
    </w:p>
    <w:p w14:paraId="7B5CE5A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"_Toc3032"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（二）目标指标</w:t>
      </w:r>
      <w:r>
        <w:rPr>
          <w:rStyle w:val="5"/>
          <w:rFonts w:hint="default" w:ascii="Times New Roman" w:hAnsi="Times New Roman" w:cs="Times New Roman"/>
          <w:color w:val="000000"/>
          <w:sz w:val="21"/>
          <w:szCs w:val="21"/>
        </w:rPr>
        <w:tab/>
        <w:t>7</w:t>
      </w:r>
      <w:r>
        <w:rPr>
          <w:bdr w:val="none" w:color="auto" w:sz="0" w:space="0"/>
        </w:rPr>
        <w:fldChar w:fldCharType="end"/>
      </w:r>
    </w:p>
    <w:p w14:paraId="2D2ABC3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"_Toc5943"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（三）布局规划</w:t>
      </w:r>
      <w:r>
        <w:rPr>
          <w:rStyle w:val="5"/>
          <w:rFonts w:hint="default" w:ascii="Times New Roman" w:hAnsi="Times New Roman" w:cs="Times New Roman"/>
          <w:color w:val="000000"/>
          <w:sz w:val="21"/>
          <w:szCs w:val="21"/>
        </w:rPr>
        <w:tab/>
        <w:t>8</w:t>
      </w:r>
      <w:r>
        <w:rPr>
          <w:bdr w:val="none" w:color="auto" w:sz="0" w:space="0"/>
        </w:rPr>
        <w:fldChar w:fldCharType="end"/>
      </w:r>
    </w:p>
    <w:p w14:paraId="32B1166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"_Toc2389"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（四）实施安排</w:t>
      </w:r>
      <w:r>
        <w:rPr>
          <w:rStyle w:val="5"/>
          <w:rFonts w:hint="default" w:ascii="Times New Roman" w:hAnsi="Times New Roman" w:cs="Times New Roman"/>
          <w:color w:val="000000"/>
          <w:sz w:val="21"/>
          <w:szCs w:val="21"/>
        </w:rPr>
        <w:tab/>
        <w:t>8</w:t>
      </w:r>
      <w:r>
        <w:rPr>
          <w:bdr w:val="none" w:color="auto" w:sz="0" w:space="0"/>
        </w:rPr>
        <w:fldChar w:fldCharType="end"/>
      </w:r>
      <w:bookmarkStart w:id="32" w:name="_GoBack"/>
    </w:p>
    <w:p w14:paraId="211F996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fldChar w:fldCharType="begin"/>
      </w:r>
      <w:r>
        <w:instrText xml:space="preserve"> HYPERLINK "" \l "_Toc8121" </w:instrText>
      </w:r>
      <w:r>
        <w:fldChar w:fldCharType="separate"/>
      </w:r>
      <w:r>
        <w:rPr>
          <w:rStyle w:val="5"/>
          <w:rFonts w:hint="default" w:ascii="方正楷体_GBK" w:hAnsi="方正楷体_GBK" w:eastAsia="方正楷体_GBK" w:cs="方正楷体_GBK"/>
          <w:color w:val="000000"/>
          <w:sz w:val="21"/>
          <w:szCs w:val="21"/>
        </w:rPr>
        <w:t>（五）保障措施</w:t>
      </w:r>
      <w:r>
        <w:rPr>
          <w:rStyle w:val="5"/>
          <w:rFonts w:hint="default" w:ascii="Times New Roman" w:hAnsi="Times New Roman" w:cs="Times New Roman"/>
          <w:color w:val="000000"/>
          <w:sz w:val="21"/>
          <w:szCs w:val="21"/>
        </w:rPr>
        <w:tab/>
        <w:t>8</w:t>
      </w:r>
      <w:r>
        <w:fldChar w:fldCharType="end"/>
      </w:r>
    </w:p>
    <w:p w14:paraId="468B283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jc w:val="both"/>
      </w:pPr>
      <w:r>
        <w:fldChar w:fldCharType="begin"/>
      </w:r>
      <w:r>
        <w:instrText xml:space="preserve"> HYPERLINK "" \l "_Toc23046" </w:instrText>
      </w:r>
      <w:r>
        <w:fldChar w:fldCharType="separate"/>
      </w:r>
      <w:r>
        <w:rPr>
          <w:rStyle w:val="5"/>
          <w:rFonts w:hint="default" w:ascii="方正黑体_GBK" w:hAnsi="方正黑体_GBK" w:eastAsia="方正黑体_GBK" w:cs="方正黑体_GBK"/>
          <w:color w:val="000000"/>
          <w:sz w:val="21"/>
          <w:szCs w:val="21"/>
        </w:rPr>
        <w:t>四、规划成果</w:t>
      </w:r>
      <w:r>
        <w:rPr>
          <w:rStyle w:val="5"/>
          <w:rFonts w:hint="default" w:ascii="Times New Roman" w:hAnsi="Times New Roman" w:cs="Times New Roman"/>
          <w:color w:val="000000"/>
          <w:sz w:val="21"/>
          <w:szCs w:val="21"/>
        </w:rPr>
        <w:tab/>
        <w:t>8</w:t>
      </w:r>
      <w:r>
        <w:fldChar w:fldCharType="end"/>
      </w:r>
    </w:p>
    <w:p w14:paraId="195A043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"_Toc10148"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（一）规划文本</w:t>
      </w:r>
      <w:r>
        <w:rPr>
          <w:rStyle w:val="5"/>
          <w:rFonts w:hint="default" w:ascii="Times New Roman" w:hAnsi="Times New Roman" w:cs="Times New Roman"/>
          <w:color w:val="000000"/>
          <w:sz w:val="21"/>
          <w:szCs w:val="21"/>
        </w:rPr>
        <w:tab/>
        <w:t>8</w:t>
      </w:r>
      <w:r>
        <w:rPr>
          <w:bdr w:val="none" w:color="auto" w:sz="0" w:space="0"/>
        </w:rPr>
        <w:fldChar w:fldCharType="end"/>
      </w:r>
    </w:p>
    <w:p w14:paraId="0CCA395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"_Toc10854"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（二）规划图集</w:t>
      </w:r>
      <w:r>
        <w:rPr>
          <w:rStyle w:val="5"/>
          <w:rFonts w:hint="default" w:ascii="Times New Roman" w:hAnsi="Times New Roman" w:cs="Times New Roman"/>
          <w:color w:val="000000"/>
          <w:sz w:val="21"/>
          <w:szCs w:val="21"/>
        </w:rPr>
        <w:tab/>
        <w:t>9</w:t>
      </w:r>
      <w:r>
        <w:rPr>
          <w:bdr w:val="none" w:color="auto" w:sz="0" w:space="0"/>
        </w:rPr>
        <w:fldChar w:fldCharType="end"/>
      </w:r>
    </w:p>
    <w:p w14:paraId="6688ACE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rPr>
          <w:bdr w:val="none" w:color="auto" w:sz="0" w:space="0"/>
        </w:rPr>
        <w:fldChar w:fldCharType="begin"/>
      </w:r>
      <w:r>
        <w:rPr>
          <w:bdr w:val="none" w:color="auto" w:sz="0" w:space="0"/>
        </w:rPr>
        <w:instrText xml:space="preserve"> HYPERLINK "" \l "_Toc31675" </w:instrText>
      </w:r>
      <w:r>
        <w:rPr>
          <w:bdr w:val="none" w:color="auto" w:sz="0" w:space="0"/>
        </w:rPr>
        <w:fldChar w:fldCharType="separate"/>
      </w:r>
      <w:r>
        <w:rPr>
          <w:rStyle w:val="5"/>
          <w:rFonts w:hint="default" w:ascii="方正楷体_GBK" w:hAnsi="方正楷体_GBK" w:eastAsia="方正楷体_GBK" w:cs="方正楷体_GBK"/>
          <w:color w:val="000000"/>
          <w:sz w:val="21"/>
          <w:szCs w:val="21"/>
        </w:rPr>
        <w:t>（三）附件</w:t>
      </w:r>
      <w:r>
        <w:rPr>
          <w:rStyle w:val="5"/>
          <w:rFonts w:hint="default" w:ascii="Times New Roman" w:hAnsi="Times New Roman" w:cs="Times New Roman"/>
          <w:color w:val="000000"/>
          <w:sz w:val="21"/>
          <w:szCs w:val="21"/>
        </w:rPr>
        <w:tab/>
        <w:t>9</w:t>
      </w:r>
      <w:r>
        <w:rPr>
          <w:bdr w:val="none" w:color="auto" w:sz="0" w:space="0"/>
        </w:rPr>
        <w:fldChar w:fldCharType="end"/>
      </w:r>
    </w:p>
    <w:p w14:paraId="0B823B4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ind w:left="420"/>
        <w:jc w:val="both"/>
      </w:pPr>
      <w:r>
        <w:fldChar w:fldCharType="begin"/>
      </w:r>
      <w:r>
        <w:instrText xml:space="preserve"> HYPERLINK "" \l "_Toc26011" </w:instrText>
      </w:r>
      <w:r>
        <w:fldChar w:fldCharType="separate"/>
      </w:r>
      <w:r>
        <w:rPr>
          <w:rStyle w:val="5"/>
          <w:rFonts w:hint="default" w:ascii="方正楷体_GBK" w:hAnsi="方正楷体_GBK" w:eastAsia="方正楷体_GBK" w:cs="方正楷体_GBK"/>
          <w:color w:val="000000"/>
          <w:sz w:val="21"/>
          <w:szCs w:val="21"/>
        </w:rPr>
        <w:t>（四）矢量数据</w:t>
      </w:r>
      <w:r>
        <w:rPr>
          <w:rStyle w:val="5"/>
          <w:rFonts w:hint="default" w:ascii="Times New Roman" w:hAnsi="Times New Roman" w:cs="Times New Roman"/>
          <w:color w:val="000000"/>
          <w:sz w:val="21"/>
          <w:szCs w:val="21"/>
        </w:rPr>
        <w:tab/>
        <w:t>10</w:t>
      </w:r>
      <w:r>
        <w:fldChar w:fldCharType="end"/>
      </w:r>
    </w:p>
    <w:p w14:paraId="7D31B39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jc w:val="both"/>
      </w:pPr>
      <w:r>
        <w:rPr>
          <w:bdr w:val="none" w:color="auto" w:sz="0" w:space="0"/>
        </w:rPr>
        <w:fldChar w:fldCharType="begin"/>
      </w:r>
      <w:r>
        <w:rPr>
          <w:bdr w:val="none" w:color="auto" w:sz="0" w:space="0"/>
        </w:rPr>
        <w:instrText xml:space="preserve"> HYPERLINK "" \l "_Toc8560" </w:instrText>
      </w:r>
      <w:r>
        <w:rPr>
          <w:bdr w:val="none" w:color="auto" w:sz="0" w:space="0"/>
        </w:rPr>
        <w:fldChar w:fldCharType="separate"/>
      </w:r>
      <w:r>
        <w:rPr>
          <w:rStyle w:val="5"/>
          <w:rFonts w:hint="default" w:ascii="方正黑体_GBK" w:hAnsi="方正黑体_GBK" w:eastAsia="方正黑体_GBK" w:cs="方正黑体_GBK"/>
          <w:color w:val="000000"/>
          <w:sz w:val="21"/>
          <w:szCs w:val="21"/>
        </w:rPr>
        <w:t>附录1：术语和定义</w:t>
      </w:r>
      <w:r>
        <w:rPr>
          <w:rStyle w:val="5"/>
          <w:rFonts w:hint="default" w:ascii="Times New Roman" w:hAnsi="Times New Roman" w:cs="Times New Roman"/>
          <w:color w:val="000000"/>
          <w:sz w:val="21"/>
          <w:szCs w:val="21"/>
        </w:rPr>
        <w:tab/>
        <w:t>10</w:t>
      </w:r>
      <w:r>
        <w:rPr>
          <w:bdr w:val="none" w:color="auto" w:sz="0" w:space="0"/>
        </w:rPr>
        <w:fldChar w:fldCharType="end"/>
      </w:r>
    </w:p>
    <w:p w14:paraId="5F1CE4C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tabs>
          <w:tab w:val="left" w:pos="8851"/>
        </w:tabs>
        <w:spacing w:before="0" w:beforeAutospacing="0" w:after="0" w:afterAutospacing="0"/>
        <w:jc w:val="both"/>
      </w:pPr>
      <w:r>
        <w:rPr>
          <w:bdr w:val="none" w:color="auto" w:sz="0" w:space="0"/>
        </w:rPr>
        <w:fldChar w:fldCharType="begin"/>
      </w:r>
      <w:r>
        <w:rPr>
          <w:bdr w:val="none" w:color="auto" w:sz="0" w:space="0"/>
        </w:rPr>
        <w:instrText xml:space="preserve"> HYPERLINK "" \l "_Toc16334" </w:instrText>
      </w:r>
      <w:r>
        <w:rPr>
          <w:bdr w:val="none" w:color="auto" w:sz="0" w:space="0"/>
        </w:rPr>
        <w:fldChar w:fldCharType="separate"/>
      </w:r>
      <w:r>
        <w:rPr>
          <w:rStyle w:val="5"/>
          <w:rFonts w:hint="default" w:ascii="方正黑体_GBK" w:hAnsi="方正黑体_GBK" w:eastAsia="方正黑体_GBK" w:cs="方正黑体_GBK"/>
          <w:color w:val="000000"/>
          <w:sz w:val="21"/>
          <w:szCs w:val="21"/>
        </w:rPr>
        <w:t>附录2：规划文本参考提纲</w:t>
      </w:r>
      <w:r>
        <w:rPr>
          <w:rStyle w:val="5"/>
          <w:rFonts w:hint="default" w:ascii="Times New Roman" w:hAnsi="Times New Roman" w:cs="Times New Roman"/>
          <w:color w:val="000000"/>
          <w:sz w:val="21"/>
          <w:szCs w:val="21"/>
        </w:rPr>
        <w:tab/>
        <w:t>11</w:t>
      </w:r>
      <w:r>
        <w:rPr>
          <w:bdr w:val="none" w:color="auto" w:sz="0" w:space="0"/>
        </w:rPr>
        <w:fldChar w:fldCharType="end"/>
      </w:r>
    </w:p>
    <w:p w14:paraId="0C3EA00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bdr w:val="none" w:color="auto" w:sz="0" w:space="0"/>
        </w:rPr>
        <w:t> </w:t>
      </w:r>
    </w:p>
    <w:p w14:paraId="1651D6A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bookmarkStart w:id="33" w:name="_Toc8715"/>
      <w:bookmarkStart w:id="34" w:name="_Toc30479"/>
      <w:bookmarkStart w:id="35" w:name="_Toc31782"/>
      <w:bookmarkStart w:id="36" w:name="_Toc2343"/>
      <w:bookmarkStart w:id="37" w:name="_Toc30932"/>
      <w:bookmarkStart w:id="38" w:name="_Toc10927"/>
      <w:bookmarkStart w:id="39" w:name="_Toc32024"/>
      <w:bookmarkStart w:id="40" w:name="_Toc23717"/>
      <w:bookmarkStart w:id="41" w:name="_Toc29573"/>
      <w:bookmarkStart w:id="42" w:name="_Toc18069"/>
      <w:bookmarkStart w:id="43" w:name="_Toc21831"/>
      <w:bookmarkStart w:id="44" w:name="_Toc32071"/>
      <w:bookmarkStart w:id="45" w:name="_Toc30415"/>
      <w:bookmarkStart w:id="46" w:name="_Toc29499"/>
    </w:p>
    <w:p w14:paraId="795575A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5372169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1072483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5A918DB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041F2FE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6E923E7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2331347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017520D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4EBF338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426F52A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21EDFA0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default" w:ascii="方正黑体_GBK" w:hAnsi="方正黑体_GBK" w:eastAsia="方正黑体_GBK" w:cs="方正黑体_GBK"/>
          <w:color w:val="000000"/>
          <w:sz w:val="32"/>
          <w:szCs w:val="32"/>
        </w:rPr>
      </w:pPr>
    </w:p>
    <w:p w14:paraId="265EE18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494" w:name="_GoBack"/>
      <w:bookmarkEnd w:id="494"/>
      <w:r>
        <w:rPr>
          <w:rFonts w:hint="default" w:ascii="方正黑体_GBK" w:hAnsi="方正黑体_GBK" w:eastAsia="方正黑体_GBK" w:cs="方正黑体_GBK"/>
          <w:color w:val="000000"/>
          <w:sz w:val="32"/>
          <w:szCs w:val="32"/>
        </w:rPr>
        <w:t>一、总体要求</w:t>
      </w:r>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28E3FCB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47" w:name="_Toc28734"/>
      <w:bookmarkStart w:id="48" w:name="_Toc31968"/>
      <w:bookmarkStart w:id="49" w:name="_Toc15612"/>
      <w:bookmarkStart w:id="50" w:name="_Toc6078"/>
      <w:bookmarkStart w:id="51" w:name="_Toc31468"/>
      <w:bookmarkStart w:id="52" w:name="_Toc29207"/>
      <w:bookmarkStart w:id="53" w:name="_Toc22344"/>
      <w:bookmarkStart w:id="54" w:name="_Toc4541"/>
      <w:bookmarkStart w:id="55" w:name="_Toc19151"/>
      <w:bookmarkStart w:id="56" w:name="_Toc29927"/>
      <w:bookmarkStart w:id="57" w:name="_Toc6058"/>
      <w:bookmarkStart w:id="58" w:name="_Toc22110"/>
      <w:bookmarkStart w:id="59" w:name="_Toc8522"/>
      <w:r>
        <w:rPr>
          <w:rFonts w:hint="default" w:ascii="方正楷体_GBK" w:hAnsi="方正楷体_GBK" w:eastAsia="方正楷体_GBK" w:cs="方正楷体_GBK"/>
          <w:color w:val="000000"/>
          <w:sz w:val="32"/>
          <w:szCs w:val="32"/>
        </w:rPr>
        <w:t>（一）规划目的</w:t>
      </w:r>
      <w:bookmarkEnd w:id="47"/>
      <w:bookmarkEnd w:id="48"/>
      <w:bookmarkEnd w:id="49"/>
      <w:bookmarkEnd w:id="50"/>
      <w:bookmarkEnd w:id="51"/>
      <w:bookmarkEnd w:id="52"/>
      <w:bookmarkEnd w:id="53"/>
      <w:bookmarkEnd w:id="54"/>
      <w:bookmarkEnd w:id="55"/>
      <w:bookmarkEnd w:id="56"/>
      <w:bookmarkEnd w:id="57"/>
      <w:bookmarkEnd w:id="58"/>
      <w:bookmarkEnd w:id="59"/>
    </w:p>
    <w:p w14:paraId="5F57118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综合考虑人口老龄化状况、老年人养老服务需求、养老服务设施资源、经济社会发展水平、自然资源、生态环境、历史文化等因素，客观分析发展趋势，着眼加快健全覆盖城乡的县（区）、乡镇（街道）、村（社区）三级养老服务网络，</w:t>
      </w:r>
      <w:r>
        <w:rPr>
          <w:rFonts w:hint="default" w:ascii="Times New Roman" w:hAnsi="Times New Roman" w:cs="Times New Roman"/>
          <w:color w:val="000000"/>
          <w:sz w:val="32"/>
          <w:szCs w:val="32"/>
        </w:rPr>
        <w:t>根据国民经济和社会发展规划、国土空间总体规划和相关专项规划</w:t>
      </w:r>
      <w:r>
        <w:rPr>
          <w:rFonts w:hint="default" w:ascii="方正仿宋_GBK" w:hAnsi="方正仿宋_GBK" w:eastAsia="方正仿宋_GBK" w:cs="方正仿宋_GBK"/>
          <w:color w:val="000000"/>
          <w:sz w:val="32"/>
          <w:szCs w:val="32"/>
        </w:rPr>
        <w:t>，科学确定本行政区域内养老服务设施的类型、布局和规模，全面增强养老服务设施供给能力，充足预留养老服务设施建设发展空间，不断促进养老服务扩容提质，推动适合我国国情的养老服务体系成熟定型。</w:t>
      </w:r>
    </w:p>
    <w:p w14:paraId="6EA9CD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60" w:name="_Toc31142"/>
      <w:bookmarkStart w:id="61" w:name="_Toc22524"/>
      <w:bookmarkStart w:id="62" w:name="_Toc24179"/>
      <w:bookmarkStart w:id="63" w:name="_Toc10154"/>
      <w:bookmarkStart w:id="64" w:name="_Toc8537"/>
      <w:bookmarkStart w:id="65" w:name="_Toc14578"/>
      <w:bookmarkStart w:id="66" w:name="_Toc1936"/>
      <w:bookmarkStart w:id="67" w:name="_Toc31345"/>
      <w:bookmarkStart w:id="68" w:name="_Toc8943"/>
      <w:bookmarkStart w:id="69" w:name="_Toc29178"/>
      <w:bookmarkStart w:id="70" w:name="_Toc14981"/>
      <w:bookmarkStart w:id="71" w:name="_Toc26061"/>
      <w:bookmarkStart w:id="72" w:name="_Toc27150"/>
      <w:bookmarkStart w:id="73" w:name="_Toc27366"/>
      <w:bookmarkStart w:id="74" w:name="_Toc25445"/>
      <w:bookmarkStart w:id="75" w:name="_Toc32015"/>
      <w:bookmarkStart w:id="76" w:name="_Toc11023"/>
      <w:bookmarkStart w:id="77" w:name="_Toc7161"/>
      <w:bookmarkStart w:id="78" w:name="_Toc11297"/>
      <w:bookmarkStart w:id="79" w:name="_Toc26517"/>
      <w:bookmarkStart w:id="80" w:name="_Toc13562"/>
      <w:r>
        <w:rPr>
          <w:rFonts w:hint="default" w:ascii="方正楷体_GBK" w:hAnsi="方正楷体_GBK" w:eastAsia="方正楷体_GBK" w:cs="方正楷体_GBK"/>
          <w:color w:val="000000"/>
          <w:sz w:val="32"/>
          <w:szCs w:val="32"/>
        </w:rPr>
        <w:t>（二）基本原则</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5DEB98D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以人为本，以需定供。</w:t>
      </w:r>
      <w:r>
        <w:rPr>
          <w:rFonts w:hint="default" w:ascii="方正仿宋_GBK" w:hAnsi="方正仿宋_GBK" w:eastAsia="方正仿宋_GBK" w:cs="方正仿宋_GBK"/>
          <w:color w:val="000000"/>
          <w:sz w:val="32"/>
          <w:szCs w:val="32"/>
        </w:rPr>
        <w:t>坚持以人民为中心的发展思想，聚焦老年人养老服务实际需求，不断健全养老服务网络，引导养老服务设施向需求集中区域配置，根据人口老龄化程度和养老服务需求变化，因地制宜优化设施用地比例及设施配置安排。</w:t>
      </w:r>
    </w:p>
    <w:p w14:paraId="49F07E1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因地制宜，优化配置。</w:t>
      </w:r>
      <w:r>
        <w:rPr>
          <w:rFonts w:hint="default" w:ascii="方正仿宋_GBK" w:hAnsi="方正仿宋_GBK" w:eastAsia="方正仿宋_GBK" w:cs="方正仿宋_GBK"/>
          <w:color w:val="000000"/>
          <w:sz w:val="32"/>
          <w:szCs w:val="32"/>
        </w:rPr>
        <w:t>充分考虑不同区域、城乡地区发展差异化特点，以资源协调配置为基础，推动存量盘活和增量优化并举，有效统筹养老服务设施资源，不断提高设施利用效能。</w:t>
      </w:r>
    </w:p>
    <w:p w14:paraId="447FE5C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底线约束，适度前瞻</w:t>
      </w:r>
      <w:r>
        <w:rPr>
          <w:rFonts w:hint="default" w:ascii="方正仿宋_GBK" w:hAnsi="方正仿宋_GBK" w:eastAsia="方正仿宋_GBK" w:cs="方正仿宋_GBK"/>
          <w:color w:val="000000"/>
          <w:sz w:val="32"/>
          <w:szCs w:val="32"/>
        </w:rPr>
        <w:t>。按照本指南提出的养老服务设施配置基本要求，实行差异化引导。基于人口老龄化发展现状和趋势，</w:t>
      </w:r>
    </w:p>
    <w:p w14:paraId="5A08BF0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充分考虑失能老年人数量变化情况，预留土地发展空间，逐年确定设施配置和床位规模总量。</w:t>
      </w:r>
    </w:p>
    <w:p w14:paraId="2C8C375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81" w:name="_Toc29569"/>
      <w:bookmarkStart w:id="82" w:name="_Toc15438"/>
      <w:bookmarkStart w:id="83" w:name="_Toc28505"/>
      <w:bookmarkStart w:id="84" w:name="_Toc17365"/>
      <w:bookmarkStart w:id="85" w:name="_Toc27159"/>
      <w:bookmarkStart w:id="86" w:name="_Toc10070"/>
      <w:bookmarkStart w:id="87" w:name="_Toc2365"/>
      <w:bookmarkStart w:id="88" w:name="_Toc26594"/>
      <w:bookmarkStart w:id="89" w:name="_Toc29527"/>
      <w:bookmarkStart w:id="90" w:name="_Toc16968"/>
      <w:bookmarkStart w:id="91" w:name="_Toc31406"/>
      <w:bookmarkStart w:id="92" w:name="_Toc19898"/>
      <w:bookmarkStart w:id="93" w:name="_Toc28956"/>
      <w:r>
        <w:rPr>
          <w:rFonts w:hint="default" w:ascii="方正仿宋_GBK" w:hAnsi="方正仿宋_GBK" w:eastAsia="方正仿宋_GBK" w:cs="方正仿宋_GBK"/>
          <w:b/>
          <w:bCs/>
          <w:color w:val="000000"/>
          <w:sz w:val="32"/>
          <w:szCs w:val="32"/>
        </w:rPr>
        <w:t>统筹协调，有效衔接。</w:t>
      </w:r>
      <w:r>
        <w:rPr>
          <w:rFonts w:hint="default" w:ascii="方正仿宋_GBK" w:hAnsi="方正仿宋_GBK" w:eastAsia="方正仿宋_GBK" w:cs="方正仿宋_GBK"/>
          <w:color w:val="000000"/>
          <w:sz w:val="32"/>
          <w:szCs w:val="32"/>
        </w:rPr>
        <w:t>有效发挥养老服务体系建设规划指导作用，加强与医疗卫生、教育、公园绿地、综合交通等相关规划衔接，坚持协调配合，形成工作合力。</w:t>
      </w:r>
      <w:bookmarkEnd w:id="81"/>
      <w:bookmarkEnd w:id="82"/>
      <w:bookmarkEnd w:id="83"/>
      <w:bookmarkEnd w:id="84"/>
      <w:bookmarkEnd w:id="85"/>
      <w:bookmarkEnd w:id="86"/>
      <w:bookmarkEnd w:id="87"/>
      <w:bookmarkEnd w:id="88"/>
      <w:bookmarkEnd w:id="89"/>
      <w:bookmarkEnd w:id="90"/>
      <w:bookmarkEnd w:id="91"/>
      <w:bookmarkEnd w:id="92"/>
      <w:bookmarkEnd w:id="93"/>
    </w:p>
    <w:p w14:paraId="4488417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94" w:name="_Toc29145"/>
      <w:bookmarkStart w:id="95" w:name="_Toc20731"/>
      <w:bookmarkStart w:id="96" w:name="_Toc27216"/>
      <w:bookmarkStart w:id="97" w:name="_Toc17996"/>
      <w:bookmarkStart w:id="98" w:name="_Toc27438"/>
      <w:bookmarkStart w:id="99" w:name="_Toc5568"/>
      <w:bookmarkStart w:id="100" w:name="_Toc29359"/>
      <w:bookmarkStart w:id="101" w:name="_Toc14413"/>
      <w:r>
        <w:rPr>
          <w:rFonts w:hint="default" w:ascii="方正楷体_GBK" w:hAnsi="方正楷体_GBK" w:eastAsia="方正楷体_GBK" w:cs="方正楷体_GBK"/>
          <w:color w:val="000000"/>
          <w:sz w:val="32"/>
          <w:szCs w:val="32"/>
        </w:rPr>
        <w:t>（三）适用范围</w:t>
      </w:r>
      <w:bookmarkEnd w:id="94"/>
      <w:bookmarkEnd w:id="95"/>
      <w:bookmarkEnd w:id="96"/>
      <w:bookmarkEnd w:id="97"/>
      <w:bookmarkEnd w:id="98"/>
      <w:bookmarkEnd w:id="99"/>
      <w:bookmarkEnd w:id="100"/>
      <w:bookmarkEnd w:id="101"/>
    </w:p>
    <w:p w14:paraId="0DA127D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本指南适用于地市级、县级养老服务设施布局规划的编制工作。省级养老服务设施布局规划可参照编制。</w:t>
      </w:r>
    </w:p>
    <w:p w14:paraId="353AD4A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102" w:name="_Toc15021"/>
      <w:bookmarkStart w:id="103" w:name="_Toc24535"/>
      <w:bookmarkStart w:id="104" w:name="_Toc5773"/>
      <w:bookmarkStart w:id="105" w:name="_Toc18248"/>
      <w:bookmarkStart w:id="106" w:name="_Toc7017"/>
      <w:bookmarkStart w:id="107" w:name="_Toc2027"/>
      <w:bookmarkStart w:id="108" w:name="_Toc6521"/>
      <w:bookmarkStart w:id="109" w:name="_Toc18852"/>
      <w:bookmarkStart w:id="110" w:name="_Toc13013"/>
      <w:bookmarkStart w:id="111" w:name="_Toc30922"/>
      <w:bookmarkStart w:id="112" w:name="_Toc1291"/>
      <w:bookmarkStart w:id="113" w:name="_Toc18591"/>
      <w:bookmarkStart w:id="114" w:name="_Toc9904"/>
      <w:bookmarkStart w:id="115" w:name="_Toc11139"/>
      <w:bookmarkStart w:id="116" w:name="_Toc25433"/>
      <w:bookmarkStart w:id="117" w:name="_Toc12085"/>
      <w:bookmarkStart w:id="118" w:name="_Toc30228"/>
      <w:bookmarkStart w:id="119" w:name="_Toc20182"/>
      <w:r>
        <w:rPr>
          <w:rFonts w:hint="default" w:ascii="方正楷体_GBK" w:hAnsi="方正楷体_GBK" w:eastAsia="方正楷体_GBK" w:cs="方正楷体_GBK"/>
          <w:color w:val="000000"/>
          <w:sz w:val="32"/>
          <w:szCs w:val="32"/>
        </w:rPr>
        <w:t>（四）规划期限</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53B9770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本轮养老服务设施布局规划编制期至2035年，近期着眼至2030年。</w:t>
      </w:r>
    </w:p>
    <w:p w14:paraId="569E1C1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120" w:name="_Toc16347"/>
      <w:bookmarkStart w:id="121" w:name="_Toc29668"/>
      <w:bookmarkStart w:id="122" w:name="_Toc27390"/>
      <w:bookmarkStart w:id="123" w:name="_Toc25210"/>
      <w:bookmarkStart w:id="124" w:name="_Toc28117"/>
      <w:bookmarkStart w:id="125" w:name="_Toc11493"/>
      <w:bookmarkStart w:id="126" w:name="_Toc8659"/>
      <w:bookmarkStart w:id="127" w:name="_Toc32507"/>
      <w:bookmarkStart w:id="128" w:name="_Toc2466"/>
      <w:bookmarkStart w:id="129" w:name="_Toc19389"/>
      <w:bookmarkStart w:id="130" w:name="_Toc24743"/>
      <w:bookmarkStart w:id="131" w:name="_Toc15014"/>
      <w:bookmarkStart w:id="132" w:name="_Toc18166"/>
      <w:bookmarkStart w:id="133" w:name="_Toc4556"/>
      <w:bookmarkStart w:id="134" w:name="_Toc29314"/>
      <w:bookmarkStart w:id="135" w:name="_Toc28953"/>
      <w:bookmarkStart w:id="136" w:name="_Toc25572"/>
      <w:bookmarkStart w:id="137" w:name="_Toc19064"/>
      <w:bookmarkStart w:id="138" w:name="_Toc15200"/>
      <w:bookmarkStart w:id="139" w:name="_Toc8024"/>
      <w:bookmarkStart w:id="140" w:name="_Toc7068"/>
      <w:bookmarkStart w:id="141" w:name="_Toc717904316"/>
      <w:r>
        <w:rPr>
          <w:rFonts w:hint="default" w:ascii="方正黑体_GBK" w:hAnsi="方正黑体_GBK" w:eastAsia="方正黑体_GBK" w:cs="方正黑体_GBK"/>
          <w:color w:val="000000"/>
          <w:sz w:val="32"/>
          <w:szCs w:val="32"/>
        </w:rPr>
        <w:t>二</w:t>
      </w:r>
      <w:bookmarkEnd w:id="120"/>
      <w:r>
        <w:rPr>
          <w:rFonts w:hint="default" w:ascii="方正黑体_GBK" w:hAnsi="方正黑体_GBK" w:eastAsia="方正黑体_GBK" w:cs="方正黑体_GBK"/>
          <w:color w:val="000000"/>
          <w:sz w:val="32"/>
          <w:szCs w:val="32"/>
        </w:rPr>
        <w:t>、编制</w:t>
      </w:r>
      <w:bookmarkEnd w:id="121"/>
      <w:bookmarkEnd w:id="122"/>
      <w:bookmarkEnd w:id="123"/>
      <w:bookmarkEnd w:id="124"/>
      <w:bookmarkEnd w:id="125"/>
      <w:bookmarkEnd w:id="126"/>
      <w:bookmarkEnd w:id="127"/>
      <w:bookmarkEnd w:id="128"/>
      <w:bookmarkEnd w:id="129"/>
      <w:bookmarkEnd w:id="130"/>
      <w:bookmarkEnd w:id="131"/>
      <w:bookmarkEnd w:id="132"/>
      <w:bookmarkEnd w:id="133"/>
      <w:r>
        <w:rPr>
          <w:rFonts w:hint="default" w:ascii="方正黑体_GBK" w:hAnsi="方正黑体_GBK" w:eastAsia="方正黑体_GBK" w:cs="方正黑体_GBK"/>
          <w:color w:val="000000"/>
          <w:sz w:val="32"/>
          <w:szCs w:val="32"/>
        </w:rPr>
        <w:t>要点</w:t>
      </w:r>
      <w:bookmarkEnd w:id="134"/>
      <w:bookmarkEnd w:id="135"/>
      <w:bookmarkEnd w:id="136"/>
      <w:bookmarkEnd w:id="137"/>
      <w:bookmarkEnd w:id="138"/>
      <w:bookmarkEnd w:id="139"/>
      <w:bookmarkEnd w:id="140"/>
      <w:bookmarkEnd w:id="141"/>
    </w:p>
    <w:p w14:paraId="660CE6E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142" w:name="_Toc16434"/>
      <w:bookmarkStart w:id="143" w:name="_Toc19089"/>
      <w:bookmarkStart w:id="144" w:name="_Toc3725"/>
      <w:bookmarkStart w:id="145" w:name="_Toc15711"/>
      <w:bookmarkStart w:id="146" w:name="_Toc14977"/>
      <w:bookmarkStart w:id="147" w:name="_Toc3855"/>
      <w:bookmarkStart w:id="148" w:name="_Toc18399"/>
      <w:bookmarkStart w:id="149" w:name="_Toc31850"/>
      <w:bookmarkStart w:id="150" w:name="_Toc5308"/>
      <w:bookmarkStart w:id="151" w:name="_Toc29612"/>
      <w:bookmarkStart w:id="152" w:name="_Toc1969"/>
      <w:bookmarkStart w:id="153" w:name="_Toc30010"/>
      <w:bookmarkStart w:id="154" w:name="_Toc19589"/>
      <w:bookmarkStart w:id="155" w:name="_Toc30079"/>
      <w:bookmarkStart w:id="156" w:name="_Toc1890"/>
      <w:bookmarkStart w:id="157" w:name="_Toc30420"/>
      <w:bookmarkStart w:id="158" w:name="_Toc1713"/>
      <w:bookmarkStart w:id="159" w:name="_Toc23127"/>
      <w:bookmarkStart w:id="160" w:name="_Toc19689"/>
      <w:bookmarkStart w:id="161" w:name="_Toc26042"/>
      <w:bookmarkStart w:id="162" w:name="_Toc3130"/>
      <w:r>
        <w:rPr>
          <w:rFonts w:hint="default" w:ascii="方正楷体_GBK" w:hAnsi="方正楷体_GBK" w:eastAsia="方正楷体_GBK" w:cs="方正楷体_GBK"/>
          <w:color w:val="000000"/>
          <w:sz w:val="32"/>
          <w:szCs w:val="32"/>
        </w:rPr>
        <w:t>（一）设施类型</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3A5F9C3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养老服务设施包括机构养老服务设施和社区养老服务设施。其中，机构养老服务设施包括社会福利院（养老类）、县级综合养老服务管理平台、特困人员供养服务机构、乡镇（街道）区域养老服务中心以及各类养老机构等所使用的设施；社区养老服务设施主要包括但不限于嵌入式社区养老服务设施、村（社区）养老服务站点等。</w:t>
      </w:r>
    </w:p>
    <w:p w14:paraId="4C9AFF9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163" w:name="_Toc6264"/>
      <w:bookmarkStart w:id="164" w:name="_Toc29452"/>
      <w:bookmarkStart w:id="165" w:name="_Toc13721"/>
      <w:bookmarkStart w:id="166" w:name="_Toc19182"/>
      <w:bookmarkStart w:id="167" w:name="_Toc7424"/>
      <w:bookmarkStart w:id="168" w:name="_Toc17386"/>
      <w:bookmarkStart w:id="169" w:name="_Toc22127"/>
      <w:bookmarkStart w:id="170" w:name="_Toc1996"/>
      <w:r>
        <w:rPr>
          <w:rFonts w:hint="default" w:ascii="方正楷体_GBK" w:hAnsi="方正楷体_GBK" w:eastAsia="方正楷体_GBK" w:cs="方正楷体_GBK"/>
          <w:color w:val="000000"/>
          <w:sz w:val="32"/>
          <w:szCs w:val="32"/>
        </w:rPr>
        <w:t>（二）数据时间</w:t>
      </w:r>
      <w:bookmarkEnd w:id="163"/>
      <w:bookmarkEnd w:id="164"/>
      <w:bookmarkEnd w:id="165"/>
      <w:bookmarkEnd w:id="166"/>
      <w:bookmarkEnd w:id="167"/>
      <w:bookmarkEnd w:id="168"/>
      <w:bookmarkEnd w:id="169"/>
      <w:bookmarkEnd w:id="170"/>
    </w:p>
    <w:p w14:paraId="1C17DCE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相关现状数据宜采用规划基准年的资料，反映发展历程的数据不宜少于5年。</w:t>
      </w:r>
    </w:p>
    <w:p w14:paraId="0B39BF6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171" w:name="_Toc27022"/>
      <w:bookmarkStart w:id="172" w:name="_Toc32454"/>
      <w:bookmarkStart w:id="173" w:name="_Toc3367"/>
      <w:bookmarkStart w:id="174" w:name="_Toc17542"/>
      <w:bookmarkStart w:id="175" w:name="_Toc31554"/>
      <w:bookmarkStart w:id="176" w:name="_Toc13442"/>
      <w:bookmarkStart w:id="177" w:name="_Toc970"/>
      <w:bookmarkStart w:id="178" w:name="_Toc9162"/>
      <w:r>
        <w:rPr>
          <w:rFonts w:hint="default" w:ascii="方正楷体_GBK" w:hAnsi="方正楷体_GBK" w:eastAsia="方正楷体_GBK" w:cs="方正楷体_GBK"/>
          <w:color w:val="000000"/>
          <w:sz w:val="32"/>
          <w:szCs w:val="32"/>
        </w:rPr>
        <w:t>（三）基本要求</w:t>
      </w:r>
      <w:bookmarkEnd w:id="171"/>
      <w:bookmarkEnd w:id="172"/>
      <w:bookmarkEnd w:id="173"/>
      <w:bookmarkEnd w:id="174"/>
      <w:bookmarkEnd w:id="175"/>
      <w:bookmarkEnd w:id="176"/>
      <w:bookmarkEnd w:id="177"/>
      <w:bookmarkEnd w:id="178"/>
    </w:p>
    <w:p w14:paraId="3CB8EF5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1.选址布局要求</w:t>
      </w:r>
    </w:p>
    <w:p w14:paraId="27EDA8F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（1）区位。</w:t>
      </w:r>
      <w:r>
        <w:rPr>
          <w:rFonts w:hint="default" w:ascii="方正仿宋_GBK" w:hAnsi="方正仿宋_GBK" w:eastAsia="方正仿宋_GBK" w:cs="方正仿宋_GBK"/>
          <w:color w:val="000000"/>
          <w:sz w:val="32"/>
          <w:szCs w:val="32"/>
        </w:rPr>
        <w:t>养老服务设施选址一般位于城镇开发边界或村庄建设边界范围内，优先设置在老年人较为集聚、养老需求较为集中的区域，为老年人提供方便可及的服务。</w:t>
      </w:r>
    </w:p>
    <w:p w14:paraId="67486D5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（2）交通。</w:t>
      </w:r>
      <w:r>
        <w:rPr>
          <w:rFonts w:hint="default" w:ascii="方正仿宋_GBK" w:hAnsi="方正仿宋_GBK" w:eastAsia="方正仿宋_GBK" w:cs="方正仿宋_GBK"/>
          <w:color w:val="000000"/>
          <w:sz w:val="32"/>
          <w:szCs w:val="32"/>
        </w:rPr>
        <w:t>养老服务设施选址宜方便子女探望，适应老年人出行需求，选址宜在公共交通方便可达的地段，避开邻近对外交通、快速干道及交通量大的交叉口路段。</w:t>
      </w:r>
    </w:p>
    <w:p w14:paraId="16209FD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（3）环境。</w:t>
      </w:r>
      <w:r>
        <w:rPr>
          <w:rFonts w:hint="default" w:ascii="方正仿宋_GBK" w:hAnsi="方正仿宋_GBK" w:eastAsia="方正仿宋_GBK" w:cs="方正仿宋_GBK"/>
          <w:color w:val="000000"/>
          <w:sz w:val="32"/>
          <w:szCs w:val="32"/>
        </w:rPr>
        <w:t>养老服务设施选址宜选择在地质条件稳定、光照充足、绿化较好、空气优良等环境条件良好的地段，基础设施相对完善，有相对独立的出入口，与周边住宅区域互不干扰，应远离污染源、噪声源及危险品生产和储运场所，避让地质灾害高、极高风（危）险区。</w:t>
      </w:r>
    </w:p>
    <w:p w14:paraId="359CFD8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（4）设施。</w:t>
      </w:r>
      <w:r>
        <w:rPr>
          <w:rFonts w:hint="default" w:ascii="方正仿宋_GBK" w:hAnsi="方正仿宋_GBK" w:eastAsia="方正仿宋_GBK" w:cs="方正仿宋_GBK"/>
          <w:color w:val="000000"/>
          <w:sz w:val="32"/>
          <w:szCs w:val="32"/>
        </w:rPr>
        <w:t>养老服务设施选址宜选择在市政配套成熟区域，宜靠近老年人居住集中的城乡社区，并宜与医院、社区卫生服务中心（乡镇卫生院）、社区卫生服务站（村卫生室）、社区党群服务中心（社区邻里中心）等服务设施综合设置或相邻布局。</w:t>
      </w:r>
    </w:p>
    <w:p w14:paraId="40E97B6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2.建设类型</w:t>
      </w:r>
    </w:p>
    <w:p w14:paraId="6B9CB3A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（1）保留类。</w:t>
      </w:r>
      <w:r>
        <w:rPr>
          <w:rFonts w:hint="default" w:ascii="方正仿宋_GBK" w:hAnsi="方正仿宋_GBK" w:eastAsia="方正仿宋_GBK" w:cs="方正仿宋_GBK"/>
          <w:color w:val="000000"/>
          <w:sz w:val="32"/>
          <w:szCs w:val="32"/>
        </w:rPr>
        <w:t>对于满足消防等许可要求，运营完善、配备设施相对齐全的现有养老服务设施，予以保留完善。对于满足消防安全等相关要求，但暂未满足消防许可要求的现有养老服务设施，予以整改后保留。但对于现状不能满足用地安全、消防安全、房屋质量安全等相关要求，且无法改造升级的现有养老服务设施，应予以撤并。</w:t>
      </w:r>
    </w:p>
    <w:p w14:paraId="35BC0C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（2）新建类。</w:t>
      </w:r>
      <w:r>
        <w:rPr>
          <w:rFonts w:hint="default" w:ascii="方正仿宋_GBK" w:hAnsi="方正仿宋_GBK" w:eastAsia="方正仿宋_GBK" w:cs="方正仿宋_GBK"/>
          <w:color w:val="000000"/>
          <w:sz w:val="32"/>
          <w:szCs w:val="32"/>
        </w:rPr>
        <w:t>新建养老服务设施规模应合理适度，符合规划控制要求和选址原则，邻近老年人养老需求较为集中地区，远离污染源、噪音源等，交通便利。</w:t>
      </w:r>
    </w:p>
    <w:p w14:paraId="146B9A8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（3）改建类。</w:t>
      </w:r>
      <w:r>
        <w:rPr>
          <w:rFonts w:hint="default" w:ascii="方正仿宋_GBK" w:hAnsi="方正仿宋_GBK" w:eastAsia="方正仿宋_GBK" w:cs="方正仿宋_GBK"/>
          <w:color w:val="000000"/>
          <w:sz w:val="32"/>
          <w:szCs w:val="32"/>
        </w:rPr>
        <w:t>改建养老服务设施可利用闲置的企业办公用房、酒店宾馆、学校（幼儿园）、企事业单位用房、社区用房、公用住宅房屋等，按照相关规范标准改造为养老服务设施。</w:t>
      </w:r>
    </w:p>
    <w:p w14:paraId="63CDDE2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（4）扩建类。</w:t>
      </w:r>
      <w:r>
        <w:rPr>
          <w:rFonts w:hint="default" w:ascii="方正仿宋_GBK" w:hAnsi="方正仿宋_GBK" w:eastAsia="方正仿宋_GBK" w:cs="方正仿宋_GBK"/>
          <w:color w:val="000000"/>
          <w:sz w:val="32"/>
          <w:szCs w:val="32"/>
        </w:rPr>
        <w:t>扩建养老服务设施包括现有用地扩建和现有建筑提升改造两种形式。现有用地扩建是指对现有养老服务设施周边用地进行梳理整合，具备条件扩建的养老服务设施可划定扩建范围，提出养老服务床位扩容需求。现有建筑提升改造是指周边用地无条件扩建，但条件急需改善提升的养老服务设施，在现有养老服务设施用地范围内可依规扩大建筑面积，增加养老服务床位数量。</w:t>
      </w:r>
    </w:p>
    <w:p w14:paraId="6ED46CF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3.控制指引</w:t>
      </w:r>
    </w:p>
    <w:p w14:paraId="6EB7194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（1）布局导引。</w:t>
      </w:r>
      <w:r>
        <w:rPr>
          <w:rFonts w:hint="default" w:ascii="方正仿宋_GBK" w:hAnsi="方正仿宋_GBK" w:eastAsia="方正仿宋_GBK" w:cs="方正仿宋_GBK"/>
          <w:color w:val="000000"/>
          <w:sz w:val="32"/>
          <w:szCs w:val="32"/>
        </w:rPr>
        <w:t>老年人口密度较高的地区应作为养老服务设施的重点配置区域，养老服务设施单体规模应集约紧凑，充分考虑公共交通、日照、环境、安全等因素。养老服务设施设计上宜为未来扩建或增加养老服务床位预留空间。</w:t>
      </w:r>
    </w:p>
    <w:p w14:paraId="461DE0A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（2）用地兼容。</w:t>
      </w:r>
      <w:r>
        <w:rPr>
          <w:rFonts w:hint="default" w:ascii="方正仿宋_GBK" w:hAnsi="方正仿宋_GBK" w:eastAsia="方正仿宋_GBK" w:cs="方正仿宋_GBK"/>
          <w:color w:val="000000"/>
          <w:sz w:val="32"/>
          <w:szCs w:val="32"/>
        </w:rPr>
        <w:t>鼓励通过复合功能用地方式设立养老服务设施，允许养老服务设施在功能用途互利、环境要求相似且相互没有不利影响的用地上综合设置。</w:t>
      </w:r>
    </w:p>
    <w:p w14:paraId="3253075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有条件情况下，养老服务设施宜与以下设施用地兼容设置，主要包括公共管理与公共服务用地、城镇社区服务设施用地、农村社区服务设施用地、一类/二类城镇住宅用地等，尤其宜与基层医疗卫生设施用地混合设置，但不宜与工矿用地、交通运输用地等混合设置。</w:t>
      </w:r>
    </w:p>
    <w:p w14:paraId="7B28999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养老服务设施与居住、社区医疗卫生设施等用地混合设置时，应做到适度区隔、相对独立，宜有独立出入口或独立电梯，可对外开放。当养老服务设施与居住建筑、社区管理、文化等设施综合设置时，宜保障养老服务设施安全、安静、避免干扰，并宜在建筑低层部分设置，不宜安排在地下层、半地下层和夹层。</w:t>
      </w:r>
    </w:p>
    <w:p w14:paraId="450AD78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179" w:name="_Toc30525"/>
      <w:bookmarkStart w:id="180" w:name="_Toc29715"/>
      <w:bookmarkStart w:id="181" w:name="_Toc18552"/>
      <w:bookmarkStart w:id="182" w:name="_Toc15964"/>
      <w:bookmarkStart w:id="183" w:name="_Toc28691"/>
      <w:bookmarkStart w:id="184" w:name="_Toc5988"/>
      <w:bookmarkStart w:id="185" w:name="_Toc24698"/>
      <w:bookmarkStart w:id="186" w:name="_Toc31858"/>
      <w:bookmarkStart w:id="187" w:name="_Toc16335"/>
      <w:bookmarkStart w:id="188" w:name="_Toc19644"/>
      <w:bookmarkStart w:id="189" w:name="_Toc5682"/>
      <w:bookmarkStart w:id="190" w:name="_Toc14838"/>
      <w:bookmarkStart w:id="191" w:name="_Toc25737"/>
      <w:bookmarkStart w:id="192" w:name="_Toc32581"/>
      <w:bookmarkStart w:id="193" w:name="_Toc10101"/>
      <w:bookmarkStart w:id="194" w:name="_Toc22942"/>
      <w:bookmarkStart w:id="195" w:name="_Toc3697"/>
      <w:bookmarkStart w:id="196" w:name="_Toc7606"/>
      <w:bookmarkStart w:id="197" w:name="_Toc7976"/>
      <w:bookmarkStart w:id="198" w:name="_Toc7406"/>
      <w:bookmarkStart w:id="199" w:name="_Toc20014"/>
      <w:r>
        <w:rPr>
          <w:rFonts w:hint="default" w:ascii="方正楷体_GBK" w:hAnsi="方正楷体_GBK" w:eastAsia="方正楷体_GBK" w:cs="方正楷体_GBK"/>
          <w:color w:val="000000"/>
          <w:sz w:val="32"/>
          <w:szCs w:val="32"/>
        </w:rPr>
        <w:t>（四）机构养老服务设施配建标准</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09C5374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机构养老服务设施床均面积、容积率和建筑密度等配置标准按照相关国家标准和行业标准的规定执行。</w:t>
      </w:r>
    </w:p>
    <w:p w14:paraId="7B5F916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1.机构养老服务设施床位配建。</w:t>
      </w:r>
      <w:r>
        <w:rPr>
          <w:rFonts w:hint="default" w:ascii="方正仿宋_GBK" w:hAnsi="方正仿宋_GBK" w:eastAsia="方正仿宋_GBK" w:cs="方正仿宋_GBK"/>
          <w:color w:val="000000"/>
          <w:sz w:val="32"/>
          <w:szCs w:val="32"/>
        </w:rPr>
        <w:t>机构养老服务设施中的护理型床位占机构养老服务床位总数比例，到2030年宜达到70%，到2035年宜达到80%。高龄、失能老年人口比例较高的地区，可适当提高养老机构床位数量和护理型床位比例标准，在整体床位数中同步规划设置一定比例的认知障碍照护床位。</w:t>
      </w:r>
    </w:p>
    <w:p w14:paraId="351D48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2.机构养老服务设施规模。</w:t>
      </w:r>
      <w:r>
        <w:rPr>
          <w:rFonts w:hint="default" w:ascii="方正仿宋_GBK" w:hAnsi="方正仿宋_GBK" w:eastAsia="方正仿宋_GBK" w:cs="方正仿宋_GBK"/>
          <w:color w:val="000000"/>
          <w:sz w:val="32"/>
          <w:szCs w:val="32"/>
        </w:rPr>
        <w:t>机构养老服务设施床位规模应根据老年人口分布实际情况及趋势等确定，单个设施建设规模一般不宜超过500张养老服务床位。</w:t>
      </w:r>
    </w:p>
    <w:p w14:paraId="2AEA81A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200" w:name="_Toc27823"/>
      <w:bookmarkStart w:id="201" w:name="_Toc15148"/>
      <w:bookmarkStart w:id="202" w:name="_Toc25664"/>
      <w:bookmarkStart w:id="203" w:name="_Toc18924"/>
      <w:bookmarkStart w:id="204" w:name="_Toc15215"/>
      <w:bookmarkStart w:id="205" w:name="_Toc7290"/>
      <w:bookmarkStart w:id="206" w:name="_Toc30072"/>
      <w:bookmarkStart w:id="207" w:name="_Toc22203"/>
      <w:bookmarkStart w:id="208" w:name="_Toc9271"/>
      <w:bookmarkStart w:id="209" w:name="_Toc29430"/>
      <w:bookmarkStart w:id="210" w:name="_Toc2921"/>
      <w:bookmarkStart w:id="211" w:name="_Toc31821"/>
      <w:bookmarkStart w:id="212" w:name="_Toc23974"/>
      <w:bookmarkStart w:id="213" w:name="_Toc32476"/>
      <w:bookmarkStart w:id="214" w:name="_Toc6473"/>
      <w:r>
        <w:rPr>
          <w:rFonts w:hint="default" w:ascii="方正楷体_GBK" w:hAnsi="方正楷体_GBK" w:eastAsia="方正楷体_GBK" w:cs="方正楷体_GBK"/>
          <w:color w:val="000000"/>
          <w:sz w:val="32"/>
          <w:szCs w:val="32"/>
        </w:rPr>
        <w:t>（五）社区养老服务设施配</w:t>
      </w:r>
      <w:bookmarkEnd w:id="200"/>
      <w:bookmarkEnd w:id="201"/>
      <w:bookmarkEnd w:id="202"/>
      <w:bookmarkEnd w:id="203"/>
      <w:bookmarkEnd w:id="204"/>
      <w:bookmarkEnd w:id="205"/>
      <w:bookmarkEnd w:id="206"/>
      <w:bookmarkEnd w:id="207"/>
      <w:r>
        <w:rPr>
          <w:rFonts w:hint="default" w:ascii="方正楷体_GBK" w:hAnsi="方正楷体_GBK" w:eastAsia="方正楷体_GBK" w:cs="方正楷体_GBK"/>
          <w:color w:val="000000"/>
          <w:sz w:val="32"/>
          <w:szCs w:val="32"/>
        </w:rPr>
        <w:t>建标准</w:t>
      </w:r>
      <w:bookmarkEnd w:id="208"/>
      <w:bookmarkEnd w:id="209"/>
      <w:bookmarkEnd w:id="210"/>
      <w:bookmarkEnd w:id="211"/>
      <w:bookmarkEnd w:id="212"/>
      <w:bookmarkEnd w:id="213"/>
      <w:bookmarkEnd w:id="214"/>
    </w:p>
    <w:p w14:paraId="1D39B4A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按照人均用地相关标准分区分级规划设置社区养老服务设施，人口老龄化程度较高地区可结合实际适当上调标准。社区养老服务设施床均面积、容积率和建筑密度等配置标准按照相关国家标准和行业标准的规定执行。</w:t>
      </w:r>
    </w:p>
    <w:p w14:paraId="0DE77426">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方正仿宋_GBK" w:hAnsi="方正仿宋_GBK" w:eastAsia="方正仿宋_GBK" w:cs="方正仿宋_GBK"/>
          <w:b/>
          <w:bCs/>
          <w:color w:val="000000"/>
          <w:sz w:val="32"/>
          <w:szCs w:val="32"/>
        </w:rPr>
        <w:t>1.嵌入式社区养老服务设施。</w:t>
      </w:r>
      <w:r>
        <w:rPr>
          <w:rFonts w:hint="default" w:ascii="方正仿宋_GBK" w:hAnsi="方正仿宋_GBK" w:eastAsia="方正仿宋_GBK" w:cs="方正仿宋_GBK"/>
          <w:color w:val="000000"/>
          <w:sz w:val="32"/>
          <w:szCs w:val="32"/>
        </w:rPr>
        <w:t>一般宜具有全日托养、日间照料、老年助餐、服务转介、资源链接等功能，为辖区范围内的老年人就近提供居家社区养老服务。</w:t>
      </w:r>
    </w:p>
    <w:p w14:paraId="50C9113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方正仿宋_GBK" w:hAnsi="方正仿宋_GBK" w:eastAsia="方正仿宋_GBK" w:cs="方正仿宋_GBK"/>
          <w:b/>
          <w:bCs/>
          <w:color w:val="000000"/>
          <w:sz w:val="32"/>
          <w:szCs w:val="32"/>
        </w:rPr>
        <w:t>2.村（社区）养老服务站点。</w:t>
      </w:r>
      <w:r>
        <w:rPr>
          <w:rFonts w:hint="default" w:ascii="方正仿宋_GBK" w:hAnsi="方正仿宋_GBK" w:eastAsia="方正仿宋_GBK" w:cs="方正仿宋_GBK"/>
          <w:color w:val="000000"/>
          <w:sz w:val="32"/>
          <w:szCs w:val="32"/>
        </w:rPr>
        <w:t>一般宜具有日间照料、老年助餐、上门服务等功能，具备条件的可开展短期全日托养服务。</w:t>
      </w:r>
    </w:p>
    <w:p w14:paraId="161AF73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pPr>
      <w:r>
        <w:rPr>
          <w:rFonts w:hint="default" w:ascii="方正仿宋_GBK" w:hAnsi="方正仿宋_GBK" w:eastAsia="方正仿宋_GBK" w:cs="方正仿宋_GBK"/>
          <w:color w:val="000000"/>
          <w:sz w:val="32"/>
          <w:szCs w:val="32"/>
        </w:rPr>
        <w:t>推动嵌入式社区养老服务设施、村（社区）养老服务站点等社区养老服务设施与乡镇（街道）区域养老服务中心等机构养老服务设施形成资源共享、功能互补格局，共同构建一刻钟居家社区养老服务圈。</w:t>
      </w:r>
    </w:p>
    <w:p w14:paraId="03776FE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215" w:name="_Toc32391"/>
      <w:bookmarkStart w:id="216" w:name="_Toc21719"/>
      <w:bookmarkStart w:id="217" w:name="_Toc17439"/>
      <w:bookmarkStart w:id="218" w:name="_Toc13615"/>
      <w:bookmarkStart w:id="219" w:name="_Toc8434"/>
      <w:bookmarkStart w:id="220" w:name="_Toc7815"/>
      <w:bookmarkStart w:id="221" w:name="_Toc30541"/>
      <w:bookmarkStart w:id="222" w:name="_Toc6826"/>
      <w:bookmarkStart w:id="223" w:name="_Toc23921"/>
      <w:bookmarkStart w:id="224" w:name="_Toc15727"/>
      <w:bookmarkStart w:id="225" w:name="_Toc18155"/>
      <w:bookmarkStart w:id="226" w:name="_Toc237"/>
      <w:bookmarkStart w:id="227" w:name="_Toc31204"/>
      <w:bookmarkStart w:id="228" w:name="_Toc11022"/>
      <w:bookmarkStart w:id="229" w:name="_Toc8112"/>
      <w:bookmarkStart w:id="230" w:name="_Toc8666"/>
      <w:bookmarkStart w:id="231" w:name="_Toc25528"/>
      <w:bookmarkStart w:id="232" w:name="_Toc7186"/>
      <w:bookmarkStart w:id="233" w:name="_Toc9478"/>
      <w:bookmarkStart w:id="234" w:name="_Toc30806"/>
      <w:bookmarkStart w:id="235" w:name="_Toc29869"/>
      <w:r>
        <w:rPr>
          <w:rFonts w:hint="default" w:ascii="方正黑体_GBK" w:hAnsi="方正黑体_GBK" w:eastAsia="方正黑体_GBK" w:cs="方正黑体_GBK"/>
          <w:color w:val="000000"/>
          <w:sz w:val="32"/>
          <w:szCs w:val="32"/>
        </w:rPr>
        <w:t>三、主要内容</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7563B1A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236" w:name="_Toc32277"/>
      <w:bookmarkStart w:id="237" w:name="_Toc7108"/>
      <w:bookmarkStart w:id="238" w:name="_Toc27926"/>
      <w:bookmarkStart w:id="239" w:name="_Toc23151"/>
      <w:bookmarkStart w:id="240" w:name="_Toc12551"/>
      <w:bookmarkStart w:id="241" w:name="_Toc27564"/>
      <w:bookmarkStart w:id="242" w:name="_Toc5777"/>
      <w:bookmarkStart w:id="243" w:name="_Toc2460"/>
      <w:bookmarkStart w:id="244" w:name="_Toc3219"/>
      <w:bookmarkStart w:id="245" w:name="_Toc384"/>
      <w:bookmarkStart w:id="246" w:name="_Toc23675"/>
      <w:bookmarkStart w:id="247" w:name="_Toc7622"/>
      <w:bookmarkStart w:id="248" w:name="_Toc10483"/>
      <w:bookmarkStart w:id="249" w:name="_Toc2024"/>
      <w:bookmarkStart w:id="250" w:name="_Toc6268"/>
      <w:bookmarkStart w:id="251" w:name="_Toc2082"/>
      <w:bookmarkStart w:id="252" w:name="_Toc18119"/>
      <w:bookmarkStart w:id="253" w:name="_Toc11944"/>
      <w:bookmarkStart w:id="254" w:name="_Toc22530"/>
      <w:bookmarkStart w:id="255" w:name="_Toc31669"/>
      <w:bookmarkStart w:id="256" w:name="_Toc31336"/>
      <w:r>
        <w:rPr>
          <w:rFonts w:hint="default" w:ascii="方正楷体_GBK" w:hAnsi="方正楷体_GBK" w:eastAsia="方正楷体_GBK" w:cs="方正楷体_GBK"/>
          <w:color w:val="000000"/>
          <w:sz w:val="32"/>
          <w:szCs w:val="32"/>
        </w:rPr>
        <w:t>（一）供需现状</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6CEF119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1.养老服务设施供给现状。</w:t>
      </w:r>
      <w:r>
        <w:rPr>
          <w:rFonts w:hint="default" w:ascii="方正仿宋_GBK" w:hAnsi="方正仿宋_GBK" w:eastAsia="方正仿宋_GBK" w:cs="方正仿宋_GBK"/>
          <w:color w:val="000000"/>
          <w:sz w:val="32"/>
          <w:szCs w:val="32"/>
        </w:rPr>
        <w:t>分析现有养老服务设施的配建情况、布局情况、使用效率与存在问题等，重点把握养老服务设施数量、规模等现状概况；养老服务设施的权属关系、周边环境、运营服务管理等情况。</w:t>
      </w:r>
    </w:p>
    <w:p w14:paraId="24BC433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2.养老服务设施需求现状。</w:t>
      </w:r>
      <w:r>
        <w:rPr>
          <w:rFonts w:hint="default" w:ascii="方正仿宋_GBK" w:hAnsi="方正仿宋_GBK" w:eastAsia="方正仿宋_GBK" w:cs="方正仿宋_GBK"/>
          <w:color w:val="000000"/>
          <w:sz w:val="32"/>
          <w:szCs w:val="32"/>
        </w:rPr>
        <w:t>以县域为统筹，以乡镇（街道）等行政管理基本单元或详细规划编制单元为基础，分析现有老年人口数量和结构、老年人口分布和密度、养老服务需求等，重点把握年龄结构、失能状况、经济收入、家庭照护情况等与养老服务需求相关的老年人口特征。</w:t>
      </w:r>
    </w:p>
    <w:p w14:paraId="6482EC7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3.存在问题与布局策略</w:t>
      </w:r>
      <w:r>
        <w:rPr>
          <w:rFonts w:hint="default" w:ascii="方正仿宋_GBK" w:hAnsi="方正仿宋_GBK" w:eastAsia="方正仿宋_GBK" w:cs="方正仿宋_GBK"/>
          <w:color w:val="000000"/>
          <w:sz w:val="32"/>
          <w:szCs w:val="32"/>
        </w:rPr>
        <w:t>。分析现有养老服务设施供需方面存在的突出问题，提出养老服务设施规划的布局策略。</w:t>
      </w:r>
    </w:p>
    <w:p w14:paraId="0D0F2A2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257" w:name="_Toc3032"/>
      <w:bookmarkStart w:id="258" w:name="_Toc22484"/>
      <w:bookmarkStart w:id="259" w:name="_Toc26197"/>
      <w:bookmarkStart w:id="260" w:name="_Toc31393"/>
      <w:bookmarkStart w:id="261" w:name="_Toc13890"/>
      <w:bookmarkStart w:id="262" w:name="_Toc31526"/>
      <w:bookmarkStart w:id="263" w:name="_Toc18520"/>
      <w:bookmarkStart w:id="264" w:name="_Toc14275"/>
      <w:bookmarkStart w:id="265" w:name="_Toc21615"/>
      <w:bookmarkStart w:id="266" w:name="_Toc10393"/>
      <w:bookmarkStart w:id="267" w:name="_Toc12932"/>
      <w:bookmarkStart w:id="268" w:name="_Toc4914"/>
      <w:bookmarkStart w:id="269" w:name="_Toc30362"/>
      <w:bookmarkStart w:id="270" w:name="_Toc4323"/>
      <w:bookmarkStart w:id="271" w:name="_Toc32506"/>
      <w:bookmarkStart w:id="272" w:name="_Toc1317"/>
      <w:bookmarkStart w:id="273" w:name="_Toc24359"/>
      <w:bookmarkStart w:id="274" w:name="_Toc2273"/>
      <w:bookmarkStart w:id="275" w:name="_Toc25077"/>
      <w:bookmarkStart w:id="276" w:name="_Toc19972"/>
      <w:bookmarkStart w:id="277" w:name="_Toc6668"/>
      <w:r>
        <w:rPr>
          <w:rFonts w:hint="default" w:ascii="方正楷体_GBK" w:hAnsi="方正楷体_GBK" w:eastAsia="方正楷体_GBK" w:cs="方正楷体_GBK"/>
          <w:color w:val="000000"/>
          <w:sz w:val="32"/>
          <w:szCs w:val="32"/>
        </w:rPr>
        <w:t>（二）目标指标</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7C607F4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1.规划目标。</w:t>
      </w:r>
      <w:r>
        <w:rPr>
          <w:rFonts w:hint="default" w:ascii="方正仿宋_GBK" w:hAnsi="方正仿宋_GBK" w:eastAsia="方正仿宋_GBK" w:cs="方正仿宋_GBK"/>
          <w:color w:val="000000"/>
          <w:sz w:val="32"/>
          <w:szCs w:val="32"/>
        </w:rPr>
        <w:t>统筹考虑人口老龄化发展趋势、设施供需情况等要求，采用定性与定量相结合的方式，提出分阶段发展目标。</w:t>
      </w:r>
    </w:p>
    <w:p w14:paraId="6F1640A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2.指标体系</w:t>
      </w:r>
      <w:r>
        <w:rPr>
          <w:rFonts w:hint="default" w:ascii="方正仿宋_GBK" w:hAnsi="方正仿宋_GBK" w:eastAsia="方正仿宋_GBK" w:cs="方正仿宋_GBK"/>
          <w:color w:val="000000"/>
          <w:sz w:val="32"/>
          <w:szCs w:val="32"/>
        </w:rPr>
        <w:t>。明确养老服务设施规划指标，主要包括养老服务设施规模指标和养老服务床位规模指标。养老服务设施规模指标主要以常住人口为基数，结合未来5-15年人口老龄化趋势，以及近远期老年人口规模，重点分析失能老年人数量增长形势，宜按照全体老年人中有3%的老年人入住养老机构规模预测所需养老服务设施数量，为实现养老服务高质量发展预留充足的设施建设发展空间。养老服务床位规模指标主要以养老服务设施规模指标为基础，重点预测失能老年人口规模，合理确定养老服务床位数、护理型床位占比与数量等。</w:t>
      </w:r>
    </w:p>
    <w:p w14:paraId="7F0CD51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278" w:name="_Toc5943"/>
      <w:bookmarkStart w:id="279" w:name="_Toc18296"/>
      <w:bookmarkStart w:id="280" w:name="_Toc530"/>
      <w:bookmarkStart w:id="281" w:name="_Toc3630"/>
      <w:bookmarkStart w:id="282" w:name="_Toc3468"/>
      <w:bookmarkStart w:id="283" w:name="_Toc6128"/>
      <w:bookmarkStart w:id="284" w:name="_Toc29474"/>
      <w:bookmarkStart w:id="285" w:name="_Toc4703"/>
      <w:bookmarkStart w:id="286" w:name="_Toc24642"/>
      <w:bookmarkStart w:id="287" w:name="_Toc24842"/>
      <w:bookmarkStart w:id="288" w:name="_Toc21262"/>
      <w:bookmarkStart w:id="289" w:name="_Toc5194"/>
      <w:bookmarkStart w:id="290" w:name="_Toc24527"/>
      <w:bookmarkStart w:id="291" w:name="_Toc27214"/>
      <w:bookmarkStart w:id="292" w:name="_Toc16313"/>
      <w:bookmarkStart w:id="293" w:name="_Toc6076"/>
      <w:bookmarkStart w:id="294" w:name="_Toc23795"/>
      <w:bookmarkStart w:id="295" w:name="_Toc19896"/>
      <w:bookmarkStart w:id="296" w:name="_Toc14045"/>
      <w:bookmarkStart w:id="297" w:name="_Toc25468"/>
      <w:bookmarkStart w:id="298" w:name="_Toc1888"/>
      <w:r>
        <w:rPr>
          <w:rFonts w:hint="default" w:ascii="方正楷体_GBK" w:hAnsi="方正楷体_GBK" w:eastAsia="方正楷体_GBK" w:cs="方正楷体_GBK"/>
          <w:color w:val="000000"/>
          <w:sz w:val="32"/>
          <w:szCs w:val="32"/>
        </w:rPr>
        <w:t>（三）布局规划</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14:paraId="652E1DA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明确养老服务设施的配置标准、布局要求、综合配置及资源整合利用、周边环境建设等方面内容和要求，将机构养老服务设施建设落到用地或点位。</w:t>
      </w:r>
    </w:p>
    <w:p w14:paraId="28E970E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299" w:name="_Toc2389"/>
      <w:bookmarkStart w:id="300" w:name="_Toc19365"/>
      <w:bookmarkStart w:id="301" w:name="_Toc16555"/>
      <w:bookmarkStart w:id="302" w:name="_Toc18993"/>
      <w:bookmarkStart w:id="303" w:name="_Toc6217"/>
      <w:bookmarkStart w:id="304" w:name="_Toc24510"/>
      <w:bookmarkStart w:id="305" w:name="_Toc10735"/>
      <w:bookmarkStart w:id="306" w:name="_Toc21037"/>
      <w:bookmarkStart w:id="307" w:name="_Toc31701"/>
      <w:bookmarkStart w:id="308" w:name="_Toc14544"/>
      <w:bookmarkStart w:id="309" w:name="_Toc24250"/>
      <w:bookmarkStart w:id="310" w:name="_Toc15299"/>
      <w:bookmarkStart w:id="311" w:name="_Toc24875"/>
      <w:bookmarkStart w:id="312" w:name="_Toc3718"/>
      <w:bookmarkStart w:id="313" w:name="_Toc4325"/>
      <w:bookmarkStart w:id="314" w:name="_Toc17973"/>
      <w:bookmarkStart w:id="315" w:name="_Toc13412"/>
      <w:bookmarkStart w:id="316" w:name="_Toc25569"/>
      <w:bookmarkStart w:id="317" w:name="_Toc18919"/>
      <w:bookmarkStart w:id="318" w:name="_Toc3125"/>
      <w:bookmarkStart w:id="319" w:name="_Toc29989"/>
      <w:r>
        <w:rPr>
          <w:rFonts w:hint="default" w:ascii="方正楷体_GBK" w:hAnsi="方正楷体_GBK" w:eastAsia="方正楷体_GBK" w:cs="方正楷体_GBK"/>
          <w:color w:val="000000"/>
          <w:sz w:val="32"/>
          <w:szCs w:val="32"/>
        </w:rPr>
        <w:t>（四）实施安排</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14:paraId="4ADEB57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1.重点任务。</w:t>
      </w:r>
      <w:r>
        <w:rPr>
          <w:rFonts w:hint="default" w:ascii="方正仿宋_GBK" w:hAnsi="方正仿宋_GBK" w:eastAsia="方正仿宋_GBK" w:cs="方正仿宋_GBK"/>
          <w:color w:val="000000"/>
          <w:sz w:val="32"/>
          <w:szCs w:val="32"/>
        </w:rPr>
        <w:t>根据养老服务设施发展现状分析、老年人口规模、老年人口分布情况和养老服务床位配建指标等，确定规划实施的重点任务，并明确建设目标及要求。</w:t>
      </w:r>
    </w:p>
    <w:p w14:paraId="375BF1C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2.实施进度。</w:t>
      </w:r>
      <w:r>
        <w:rPr>
          <w:rFonts w:hint="default" w:ascii="方正仿宋_GBK" w:hAnsi="方正仿宋_GBK" w:eastAsia="方正仿宋_GBK" w:cs="方正仿宋_GBK"/>
          <w:color w:val="000000"/>
          <w:sz w:val="32"/>
          <w:szCs w:val="32"/>
        </w:rPr>
        <w:t>根据重点任务和养老服务设施配建标准、床位规模等基础条件，编制近远期项目表、近远期规划图，确定规划分阶段推进目标和实施方案。</w:t>
      </w:r>
    </w:p>
    <w:p w14:paraId="27A0E2B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320" w:name="_Toc6560"/>
      <w:bookmarkStart w:id="321" w:name="_Toc3229"/>
      <w:bookmarkStart w:id="322" w:name="_Toc8121"/>
      <w:bookmarkStart w:id="323" w:name="_Toc19141"/>
      <w:bookmarkStart w:id="324" w:name="_Toc18179"/>
      <w:bookmarkStart w:id="325" w:name="_Toc11604"/>
      <w:bookmarkStart w:id="326" w:name="_Toc19640"/>
      <w:bookmarkStart w:id="327" w:name="_Toc12541"/>
      <w:bookmarkStart w:id="328" w:name="_Toc13357"/>
      <w:bookmarkStart w:id="329" w:name="_Toc9491"/>
      <w:bookmarkStart w:id="330" w:name="_Toc21949"/>
      <w:bookmarkStart w:id="331" w:name="_Toc13675"/>
      <w:bookmarkStart w:id="332" w:name="_Toc30960"/>
      <w:bookmarkStart w:id="333" w:name="_Toc1094"/>
      <w:bookmarkStart w:id="334" w:name="_Toc1895"/>
      <w:bookmarkStart w:id="335" w:name="_Toc31696"/>
      <w:bookmarkStart w:id="336" w:name="_Toc2211"/>
      <w:bookmarkStart w:id="337" w:name="_Toc1659"/>
      <w:bookmarkStart w:id="338" w:name="_Toc8438"/>
      <w:bookmarkStart w:id="339" w:name="_Toc3476"/>
      <w:bookmarkStart w:id="340" w:name="_Toc26599"/>
      <w:r>
        <w:rPr>
          <w:rFonts w:hint="default" w:ascii="方正楷体_GBK" w:hAnsi="方正楷体_GBK" w:eastAsia="方正楷体_GBK" w:cs="方正楷体_GBK"/>
          <w:color w:val="000000"/>
          <w:sz w:val="32"/>
          <w:szCs w:val="32"/>
        </w:rPr>
        <w:t>（五）保障措施</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42012BB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为推进规划的顺利实施，从组织领导、监督考核、资金统筹、土地供应、存量改造和动态评估等方面明确相关保障措施。</w:t>
      </w:r>
    </w:p>
    <w:p w14:paraId="3CF9FA1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341" w:name="_Toc23046"/>
      <w:bookmarkStart w:id="342" w:name="_Toc23222"/>
      <w:bookmarkStart w:id="343" w:name="_Toc13153"/>
      <w:bookmarkStart w:id="344" w:name="_Toc26802"/>
      <w:bookmarkStart w:id="345" w:name="_Toc32503"/>
      <w:bookmarkStart w:id="346" w:name="_Toc2826"/>
      <w:bookmarkStart w:id="347" w:name="_Toc30901"/>
      <w:bookmarkStart w:id="348" w:name="_Toc24841"/>
      <w:bookmarkStart w:id="349" w:name="_Toc973"/>
      <w:bookmarkStart w:id="350" w:name="_Toc24226"/>
      <w:bookmarkStart w:id="351" w:name="_Toc4843"/>
      <w:bookmarkStart w:id="352" w:name="_Toc26681"/>
      <w:bookmarkStart w:id="353" w:name="_Toc27693"/>
      <w:bookmarkStart w:id="354" w:name="_Toc19923"/>
      <w:bookmarkStart w:id="355" w:name="_Toc3865"/>
      <w:bookmarkStart w:id="356" w:name="_Toc23736"/>
      <w:bookmarkStart w:id="357" w:name="_Toc25124"/>
      <w:bookmarkStart w:id="358" w:name="_Toc27593"/>
      <w:bookmarkStart w:id="359" w:name="_Toc27785"/>
      <w:bookmarkStart w:id="360" w:name="_Toc31981"/>
      <w:bookmarkStart w:id="361" w:name="_Toc17608"/>
      <w:r>
        <w:rPr>
          <w:rFonts w:hint="default" w:ascii="方正黑体_GBK" w:hAnsi="方正黑体_GBK" w:eastAsia="方正黑体_GBK" w:cs="方正黑体_GBK"/>
          <w:color w:val="000000"/>
          <w:sz w:val="32"/>
          <w:szCs w:val="32"/>
        </w:rPr>
        <w:t>四、规划成果</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67B3539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包括规划文本、规划图集、附件和矢量数据。涉及向社会公开的规划文本、图件等，需符合国家保密管理和地图管理等有关规定。</w:t>
      </w:r>
    </w:p>
    <w:p w14:paraId="41E4834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362" w:name="_Toc10148"/>
      <w:bookmarkStart w:id="363" w:name="_Toc7616"/>
      <w:bookmarkStart w:id="364" w:name="_Toc31630"/>
      <w:bookmarkStart w:id="365" w:name="_Toc30432"/>
      <w:bookmarkStart w:id="366" w:name="_Toc11256"/>
      <w:bookmarkStart w:id="367" w:name="_Toc21863"/>
      <w:bookmarkStart w:id="368" w:name="_Toc1744"/>
      <w:bookmarkStart w:id="369" w:name="_Toc11724"/>
      <w:bookmarkStart w:id="370" w:name="_Toc23285"/>
      <w:bookmarkStart w:id="371" w:name="_Toc11157"/>
      <w:bookmarkStart w:id="372" w:name="_Toc2727"/>
      <w:bookmarkStart w:id="373" w:name="_Toc10800"/>
      <w:bookmarkStart w:id="374" w:name="_Toc8763"/>
      <w:bookmarkStart w:id="375" w:name="_Toc6678"/>
      <w:bookmarkStart w:id="376" w:name="_Toc18905"/>
      <w:bookmarkStart w:id="377" w:name="_Toc10818"/>
      <w:bookmarkStart w:id="378" w:name="_Toc30868"/>
      <w:bookmarkStart w:id="379" w:name="_Toc15651"/>
      <w:bookmarkStart w:id="380" w:name="_Toc24918"/>
      <w:bookmarkStart w:id="381" w:name="_Toc17055"/>
      <w:bookmarkStart w:id="382" w:name="_Toc19931"/>
      <w:r>
        <w:rPr>
          <w:rFonts w:hint="default" w:ascii="方正楷体_GBK" w:hAnsi="方正楷体_GBK" w:eastAsia="方正楷体_GBK" w:cs="方正楷体_GBK"/>
          <w:color w:val="000000"/>
          <w:sz w:val="32"/>
          <w:szCs w:val="32"/>
        </w:rPr>
        <w:t>（一）规划文本</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022373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规划文本应以条文形式表述养老服务设施布局规划的主要内容，文字表达应简练明确，具有指导性、科学性和可操作性。规划文本可参考附录提纲所列内容。</w:t>
      </w:r>
    </w:p>
    <w:p w14:paraId="782BCCC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383" w:name="_Toc10854"/>
      <w:bookmarkStart w:id="384" w:name="_Toc1539"/>
      <w:bookmarkStart w:id="385" w:name="_Toc32324"/>
      <w:bookmarkStart w:id="386" w:name="_Toc31758"/>
      <w:bookmarkStart w:id="387" w:name="_Toc19999"/>
      <w:bookmarkStart w:id="388" w:name="_Toc25424"/>
      <w:bookmarkStart w:id="389" w:name="_Toc19764"/>
      <w:bookmarkStart w:id="390" w:name="_Toc31857"/>
      <w:bookmarkStart w:id="391" w:name="_Toc28696"/>
      <w:bookmarkStart w:id="392" w:name="_Toc25756"/>
      <w:bookmarkStart w:id="393" w:name="_Toc13431"/>
      <w:bookmarkStart w:id="394" w:name="_Toc10930"/>
      <w:bookmarkStart w:id="395" w:name="_Toc24929"/>
      <w:bookmarkStart w:id="396" w:name="_Toc29448"/>
      <w:bookmarkStart w:id="397" w:name="_Toc8173"/>
      <w:bookmarkStart w:id="398" w:name="_Toc15832"/>
      <w:bookmarkStart w:id="399" w:name="_Toc11761"/>
      <w:bookmarkStart w:id="400" w:name="_Toc25719"/>
      <w:bookmarkStart w:id="401" w:name="_Toc9028"/>
      <w:bookmarkStart w:id="402" w:name="_Toc32409"/>
      <w:bookmarkStart w:id="403" w:name="_Toc23107"/>
      <w:r>
        <w:rPr>
          <w:rFonts w:hint="default" w:ascii="方正楷体_GBK" w:hAnsi="方正楷体_GBK" w:eastAsia="方正楷体_GBK" w:cs="方正楷体_GBK"/>
          <w:color w:val="000000"/>
          <w:sz w:val="32"/>
          <w:szCs w:val="32"/>
        </w:rPr>
        <w:t>（二）规划图集</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0DFA085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规划图集所表达的内容和要求与规划文本一致，并标注图名、比例尺、图例、绘制时间等。</w:t>
      </w:r>
    </w:p>
    <w:p w14:paraId="2A9E7F5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1.基础图件。</w:t>
      </w:r>
      <w:r>
        <w:rPr>
          <w:rFonts w:hint="default" w:ascii="方正仿宋_GBK" w:hAnsi="方正仿宋_GBK" w:eastAsia="方正仿宋_GBK" w:cs="方正仿宋_GBK"/>
          <w:color w:val="000000"/>
          <w:sz w:val="32"/>
          <w:szCs w:val="32"/>
        </w:rPr>
        <w:t>主要包括但不限于机构养老服务设施现状分布图、社区养老服务设施现状分布图、老年人口密度分区图等。</w:t>
      </w:r>
    </w:p>
    <w:p w14:paraId="2202692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2.成果图件。</w:t>
      </w:r>
      <w:r>
        <w:rPr>
          <w:rFonts w:hint="default" w:ascii="方正仿宋_GBK" w:hAnsi="方正仿宋_GBK" w:eastAsia="方正仿宋_GBK" w:cs="方正仿宋_GBK"/>
          <w:color w:val="000000"/>
          <w:sz w:val="32"/>
          <w:szCs w:val="32"/>
        </w:rPr>
        <w:t>主要包括但不限于机构养老服务设施近期布局规划图和远期布局规划图、社区养老服务设施近期布局规划图和远期布局规划图等。</w:t>
      </w:r>
    </w:p>
    <w:p w14:paraId="772424F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404" w:name="_Toc23203"/>
      <w:bookmarkStart w:id="405" w:name="_Toc31675"/>
      <w:bookmarkStart w:id="406" w:name="_Toc3099"/>
      <w:bookmarkStart w:id="407" w:name="_Toc9010"/>
      <w:bookmarkStart w:id="408" w:name="_Toc31828"/>
      <w:bookmarkStart w:id="409" w:name="_Toc7138"/>
      <w:bookmarkStart w:id="410" w:name="_Toc12305"/>
      <w:bookmarkStart w:id="411" w:name="_Toc19986"/>
      <w:bookmarkStart w:id="412" w:name="_Toc22092"/>
      <w:bookmarkStart w:id="413" w:name="_Toc20555"/>
      <w:bookmarkStart w:id="414" w:name="_Toc7620"/>
      <w:bookmarkStart w:id="415" w:name="_Toc30121"/>
      <w:bookmarkStart w:id="416" w:name="_Toc20158"/>
      <w:bookmarkStart w:id="417" w:name="_Toc26317"/>
      <w:bookmarkStart w:id="418" w:name="_Toc9101"/>
      <w:bookmarkStart w:id="419" w:name="_Toc21569"/>
      <w:bookmarkStart w:id="420" w:name="_Toc19497"/>
      <w:bookmarkStart w:id="421" w:name="_Toc32610"/>
      <w:bookmarkStart w:id="422" w:name="_Toc18931"/>
      <w:r>
        <w:rPr>
          <w:rFonts w:hint="default" w:ascii="方正楷体_GBK" w:hAnsi="方正楷体_GBK" w:eastAsia="方正楷体_GBK" w:cs="方正楷体_GBK"/>
          <w:color w:val="000000"/>
          <w:sz w:val="32"/>
          <w:szCs w:val="32"/>
        </w:rPr>
        <w:t>（三）附件</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5DE4F98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附件包括规划说明书、基础资料汇编、历次规划审查会议纪要及修改说明等。</w:t>
      </w:r>
    </w:p>
    <w:p w14:paraId="1862102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423" w:name="_Toc12195"/>
      <w:bookmarkStart w:id="424" w:name="_Toc29734"/>
      <w:bookmarkStart w:id="425" w:name="_Toc276"/>
      <w:bookmarkStart w:id="426" w:name="_Toc11465"/>
      <w:bookmarkStart w:id="427" w:name="_Toc15973"/>
      <w:bookmarkStart w:id="428" w:name="_Toc2257"/>
      <w:r>
        <w:rPr>
          <w:rFonts w:hint="default" w:ascii="方正仿宋_GBK" w:hAnsi="方正仿宋_GBK" w:eastAsia="方正仿宋_GBK" w:cs="方正仿宋_GBK"/>
          <w:b/>
          <w:bCs/>
          <w:color w:val="000000"/>
          <w:sz w:val="32"/>
          <w:szCs w:val="32"/>
        </w:rPr>
        <w:t>1.规划说明</w:t>
      </w:r>
      <w:bookmarkEnd w:id="423"/>
      <w:bookmarkEnd w:id="424"/>
      <w:bookmarkEnd w:id="425"/>
      <w:bookmarkEnd w:id="426"/>
      <w:bookmarkEnd w:id="427"/>
      <w:bookmarkEnd w:id="428"/>
      <w:r>
        <w:rPr>
          <w:rFonts w:hint="default" w:ascii="方正仿宋_GBK" w:hAnsi="方正仿宋_GBK" w:eastAsia="方正仿宋_GBK" w:cs="方正仿宋_GBK"/>
          <w:b/>
          <w:bCs/>
          <w:color w:val="000000"/>
          <w:sz w:val="32"/>
          <w:szCs w:val="32"/>
        </w:rPr>
        <w:t>书</w:t>
      </w:r>
    </w:p>
    <w:p w14:paraId="6F7954E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对规划中关键问题的分析研究、核心规划内容和关键指标进行详细说明。</w:t>
      </w:r>
    </w:p>
    <w:p w14:paraId="49E7A60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429" w:name="_Toc20704"/>
      <w:bookmarkStart w:id="430" w:name="_Toc22456"/>
      <w:bookmarkStart w:id="431" w:name="_Toc16961"/>
      <w:bookmarkStart w:id="432" w:name="_Toc17373"/>
      <w:bookmarkStart w:id="433" w:name="_Toc22905"/>
      <w:bookmarkStart w:id="434" w:name="_Toc20271"/>
      <w:bookmarkStart w:id="435" w:name="_Toc16608"/>
      <w:r>
        <w:rPr>
          <w:rFonts w:hint="default" w:ascii="方正仿宋_GBK" w:hAnsi="方正仿宋_GBK" w:eastAsia="方正仿宋_GBK" w:cs="方正仿宋_GBK"/>
          <w:b/>
          <w:bCs/>
          <w:color w:val="000000"/>
          <w:sz w:val="32"/>
          <w:szCs w:val="32"/>
        </w:rPr>
        <w:t>2.基础资料汇编</w:t>
      </w:r>
      <w:bookmarkEnd w:id="429"/>
      <w:bookmarkEnd w:id="430"/>
      <w:bookmarkEnd w:id="431"/>
      <w:bookmarkEnd w:id="432"/>
      <w:bookmarkEnd w:id="433"/>
      <w:bookmarkEnd w:id="434"/>
      <w:bookmarkEnd w:id="435"/>
    </w:p>
    <w:p w14:paraId="7427FB3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整理汇编规划工作中涉及或使用的基础资料、相关专题研究成果等内容。</w:t>
      </w:r>
    </w:p>
    <w:p w14:paraId="4FF9B5C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b/>
          <w:bCs/>
          <w:color w:val="000000"/>
          <w:sz w:val="32"/>
          <w:szCs w:val="32"/>
        </w:rPr>
        <w:t>3.规划编制过程有关说明</w:t>
      </w:r>
    </w:p>
    <w:p w14:paraId="6548A35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规划编制中的公众意见征求、专家审查意见、会议纪要、相关修改说明等。</w:t>
      </w:r>
    </w:p>
    <w:p w14:paraId="3965759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436" w:name="_Toc26011"/>
      <w:r>
        <w:rPr>
          <w:rFonts w:hint="default" w:ascii="方正楷体_GBK" w:hAnsi="方正楷体_GBK" w:eastAsia="方正楷体_GBK" w:cs="方正楷体_GBK"/>
          <w:color w:val="000000"/>
          <w:sz w:val="32"/>
          <w:szCs w:val="32"/>
        </w:rPr>
        <w:t>（四）矢量数据</w:t>
      </w:r>
      <w:bookmarkEnd w:id="436"/>
    </w:p>
    <w:p w14:paraId="2CE7F33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bookmarkStart w:id="437" w:name="_Toc3662"/>
      <w:r>
        <w:rPr>
          <w:rFonts w:hint="default" w:ascii="方正仿宋_GBK" w:hAnsi="方正仿宋_GBK" w:eastAsia="方正仿宋_GBK" w:cs="方正仿宋_GBK"/>
          <w:color w:val="000000"/>
          <w:sz w:val="32"/>
          <w:szCs w:val="32"/>
        </w:rPr>
        <w:t>将规划文本、规划图集、附件等按统一的数据规范，制作形成养老服务设施布局规划矢量数据库，统筹纳入国土空间规划“一张图”等相关监督信息系统。</w:t>
      </w:r>
      <w:bookmarkEnd w:id="437"/>
      <w:bookmarkStart w:id="438" w:name="_Toc21019"/>
      <w:bookmarkEnd w:id="438"/>
      <w:bookmarkStart w:id="439" w:name="_Toc25209"/>
      <w:bookmarkEnd w:id="439"/>
      <w:bookmarkStart w:id="440" w:name="_Toc5311"/>
      <w:bookmarkEnd w:id="440"/>
      <w:bookmarkStart w:id="441" w:name="_Toc9663"/>
      <w:bookmarkEnd w:id="441"/>
      <w:bookmarkStart w:id="442" w:name="_Toc11408"/>
      <w:bookmarkEnd w:id="442"/>
      <w:bookmarkStart w:id="443" w:name="_Toc31661"/>
      <w:bookmarkEnd w:id="443"/>
      <w:bookmarkStart w:id="444" w:name="_Toc20917"/>
      <w:bookmarkEnd w:id="444"/>
      <w:bookmarkStart w:id="445" w:name="_Toc26451"/>
      <w:bookmarkEnd w:id="445"/>
      <w:bookmarkStart w:id="446" w:name="_Toc9625"/>
      <w:bookmarkEnd w:id="446"/>
      <w:bookmarkStart w:id="447" w:name="_Toc20914"/>
      <w:bookmarkEnd w:id="447"/>
      <w:bookmarkStart w:id="448" w:name="_Toc21531"/>
      <w:bookmarkEnd w:id="448"/>
      <w:bookmarkStart w:id="449" w:name="_Toc27938"/>
      <w:bookmarkEnd w:id="449"/>
      <w:bookmarkStart w:id="450" w:name="_Toc21255"/>
      <w:bookmarkEnd w:id="450"/>
      <w:bookmarkStart w:id="451" w:name="_Toc795"/>
      <w:bookmarkEnd w:id="451"/>
      <w:bookmarkStart w:id="452" w:name="_Toc27213"/>
      <w:bookmarkEnd w:id="452"/>
      <w:bookmarkStart w:id="453" w:name="_Toc14601"/>
      <w:bookmarkEnd w:id="453"/>
      <w:bookmarkStart w:id="454" w:name="_Toc30027"/>
      <w:bookmarkEnd w:id="454"/>
      <w:bookmarkStart w:id="455" w:name="_Toc12303"/>
      <w:bookmarkEnd w:id="455"/>
      <w:bookmarkStart w:id="456" w:name="_Toc28579"/>
      <w:bookmarkEnd w:id="456"/>
      <w:bookmarkStart w:id="457" w:name="_Toc5755"/>
      <w:bookmarkEnd w:id="457"/>
      <w:bookmarkStart w:id="458" w:name="_Toc24026"/>
      <w:bookmarkEnd w:id="458"/>
      <w:bookmarkStart w:id="459" w:name="_Toc5674"/>
    </w:p>
    <w:p w14:paraId="1E89C9B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bdr w:val="none" w:color="auto" w:sz="0" w:space="0"/>
        </w:rPr>
        <w:t> </w:t>
      </w:r>
    </w:p>
    <w:p w14:paraId="0A3F8A8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bookmarkStart w:id="460" w:name="_Toc8560"/>
      <w:r>
        <w:rPr>
          <w:rFonts w:hint="default" w:ascii="方正黑体_GBK" w:hAnsi="方正黑体_GBK" w:eastAsia="方正黑体_GBK" w:cs="方正黑体_GBK"/>
          <w:color w:val="000000"/>
          <w:sz w:val="32"/>
          <w:szCs w:val="32"/>
        </w:rPr>
        <w:t>附录1：术语和定义</w:t>
      </w:r>
      <w:bookmarkEnd w:id="460"/>
      <w:bookmarkStart w:id="461" w:name="_Toc16121"/>
      <w:bookmarkEnd w:id="461"/>
      <w:bookmarkStart w:id="462" w:name="_Toc3602"/>
      <w:bookmarkEnd w:id="462"/>
      <w:bookmarkStart w:id="463" w:name="_Toc22065"/>
      <w:bookmarkEnd w:id="463"/>
      <w:bookmarkStart w:id="464" w:name="_Toc11220"/>
      <w:bookmarkEnd w:id="464"/>
      <w:bookmarkStart w:id="465" w:name="_Toc3967"/>
      <w:bookmarkEnd w:id="465"/>
      <w:bookmarkStart w:id="466" w:name="_Toc9702"/>
    </w:p>
    <w:p w14:paraId="7D7D943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1.老年人：本行政区域内60周岁及以上常住人群。</w:t>
      </w:r>
    </w:p>
    <w:p w14:paraId="1AAB1CBB">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2.老年人口密度：每平方公里城镇建设用地范围内所居住的老年人口数量。</w:t>
      </w:r>
      <w:bookmarkStart w:id="467" w:name="_Toc25304"/>
      <w:bookmarkStart w:id="468" w:name="_Toc21246"/>
      <w:bookmarkStart w:id="469" w:name="_Toc12864"/>
      <w:bookmarkStart w:id="470" w:name="_Toc32421"/>
      <w:bookmarkStart w:id="471" w:name="_Toc27114"/>
      <w:bookmarkStart w:id="472" w:name="_Toc31629"/>
    </w:p>
    <w:p w14:paraId="3C37E14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3.养老服务设施：指专门为老年人提供日间照料、康复护理、全日托养以及助餐、助医、助洁、助行、助浴、助急等养老服务的房屋和场所，在本指南中包括机构养老服务设施和社区养老服务设施。</w:t>
      </w:r>
    </w:p>
    <w:p w14:paraId="091C92B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4.嵌入式社区养老服务设施：指设立在居民居住区（小区），利用已有的建筑设施，为老年人开展全托、日托、上门等综合性养老服务的房屋和场所。</w:t>
      </w:r>
    </w:p>
    <w:p w14:paraId="5A229C2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5.护理型床位：指建在养老服务机构中保障失能老年人基本生活照料和护理服务的床位设施。同时符合以下条件，可界定为护理型床位：（1）配置护理床，或配置普通床并按1名养老护理员照料3名重度、完全失能老年人，1名养老护理员照料6名轻度、度失能老年人配备标准；（2）老年人居室、卫生间、浴室、餐厅、公共活动空间实现无障碍；（3）配备协助失能老年人移动、就餐、洗浴、如厕等基本生活和服务所需辅助器具。护理型床位占比是指本区域内养老服务机构建有护理型床位数/床位总数*100%。</w:t>
      </w:r>
    </w:p>
    <w:p w14:paraId="41DA4F4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bdr w:val="none" w:color="auto" w:sz="0" w:space="0"/>
        </w:rPr>
        <w:t> </w:t>
      </w:r>
    </w:p>
    <w:p w14:paraId="6CD41E8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bookmarkStart w:id="473" w:name="_Toc16334"/>
      <w:bookmarkStart w:id="474" w:name="_Toc26834"/>
      <w:bookmarkStart w:id="475" w:name="_Toc7697"/>
      <w:bookmarkStart w:id="476" w:name="_Toc21641"/>
      <w:bookmarkStart w:id="477" w:name="_Toc23317"/>
      <w:bookmarkStart w:id="478" w:name="_Toc7455"/>
      <w:bookmarkStart w:id="479" w:name="_Toc24627"/>
      <w:bookmarkStart w:id="480" w:name="_Toc20598"/>
      <w:bookmarkStart w:id="481" w:name="_Toc6230"/>
      <w:bookmarkStart w:id="482" w:name="_Toc2099"/>
      <w:bookmarkStart w:id="483" w:name="_Toc21165"/>
      <w:bookmarkStart w:id="484" w:name="_Toc17390"/>
      <w:bookmarkStart w:id="485" w:name="_Toc6702"/>
      <w:bookmarkStart w:id="486" w:name="_Toc6910"/>
      <w:bookmarkStart w:id="487" w:name="_Toc18873"/>
      <w:bookmarkStart w:id="488" w:name="_Toc5618"/>
      <w:bookmarkStart w:id="489" w:name="_Toc22837"/>
      <w:bookmarkStart w:id="490" w:name="_Toc24546"/>
      <w:bookmarkStart w:id="491" w:name="_Toc23478"/>
      <w:bookmarkStart w:id="492" w:name="_Toc18899"/>
      <w:bookmarkStart w:id="493" w:name="_Toc18639"/>
      <w:r>
        <w:rPr>
          <w:rFonts w:hint="default" w:ascii="方正黑体_GBK" w:hAnsi="方正黑体_GBK" w:eastAsia="方正黑体_GBK" w:cs="方正黑体_GBK"/>
          <w:color w:val="000000"/>
          <w:sz w:val="32"/>
          <w:szCs w:val="32"/>
        </w:rPr>
        <w:t>附录2：</w:t>
      </w:r>
      <w:bookmarkEnd w:id="473"/>
      <w:r>
        <w:rPr>
          <w:rFonts w:hint="default" w:ascii="方正黑体_GBK" w:hAnsi="方正黑体_GBK" w:eastAsia="方正黑体_GBK" w:cs="方正黑体_GBK"/>
          <w:color w:val="000000"/>
          <w:sz w:val="32"/>
          <w:szCs w:val="32"/>
        </w:rPr>
        <w:t>规划文本参考提纲</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76F6161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一、规划总则</w:t>
      </w:r>
    </w:p>
    <w:p w14:paraId="4B211AA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（一）规划目的</w:t>
      </w:r>
    </w:p>
    <w:p w14:paraId="61A88C9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（二）指导思想</w:t>
      </w:r>
    </w:p>
    <w:p w14:paraId="256525A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（三）规划原则</w:t>
      </w:r>
    </w:p>
    <w:p w14:paraId="490BFDF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（四）规划依据</w:t>
      </w:r>
    </w:p>
    <w:p w14:paraId="75C8B70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（五）规划范围</w:t>
      </w:r>
    </w:p>
    <w:p w14:paraId="391D556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（六）规划期限</w:t>
      </w:r>
    </w:p>
    <w:p w14:paraId="3EFFE9CA">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二、现状分析</w:t>
      </w:r>
    </w:p>
    <w:p w14:paraId="2F39947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（一）人口老龄化发展情况和老年人口规模预测</w:t>
      </w:r>
    </w:p>
    <w:p w14:paraId="3A007ED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（二）养老服务设施供需现状和预测分析</w:t>
      </w:r>
    </w:p>
    <w:p w14:paraId="27B9CFA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（三）养老服务设施发展现状</w:t>
      </w:r>
    </w:p>
    <w:p w14:paraId="1D4C2DE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三、规划目标与指标</w:t>
      </w:r>
    </w:p>
    <w:p w14:paraId="46D32A6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（一）规划目标</w:t>
      </w:r>
    </w:p>
    <w:p w14:paraId="401B21B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（二）指标体系</w:t>
      </w:r>
    </w:p>
    <w:p w14:paraId="122E79B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（三）布局策略</w:t>
      </w:r>
    </w:p>
    <w:p w14:paraId="7B68168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四、机构养老服务设施布局安排</w:t>
      </w:r>
    </w:p>
    <w:p w14:paraId="1495E1C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（一）规划目标</w:t>
      </w:r>
    </w:p>
    <w:p w14:paraId="5FB55F5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（二）布局导引</w:t>
      </w:r>
    </w:p>
    <w:p w14:paraId="4931D8A2">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（三）配置标准</w:t>
      </w:r>
    </w:p>
    <w:p w14:paraId="578A1C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五、社区养老服务设施布局安排</w:t>
      </w:r>
    </w:p>
    <w:p w14:paraId="51346ED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（一）规划目标</w:t>
      </w:r>
    </w:p>
    <w:p w14:paraId="04877F28">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（二）布局导引</w:t>
      </w:r>
    </w:p>
    <w:p w14:paraId="0601D31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（三）配置标准</w:t>
      </w:r>
    </w:p>
    <w:p w14:paraId="443CAE3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六、实施安排</w:t>
      </w:r>
    </w:p>
    <w:p w14:paraId="71C9540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（一）重点任务</w:t>
      </w:r>
    </w:p>
    <w:p w14:paraId="5666441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（二）实施进度</w:t>
      </w:r>
    </w:p>
    <w:p w14:paraId="6166365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黑体_GBK" w:hAnsi="方正黑体_GBK" w:eastAsia="方正黑体_GBK" w:cs="方正黑体_GBK"/>
          <w:color w:val="000000"/>
          <w:sz w:val="32"/>
          <w:szCs w:val="32"/>
        </w:rPr>
        <w:t>七、保障措施</w:t>
      </w:r>
    </w:p>
    <w:p w14:paraId="4493E5A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（一）组织保障</w:t>
      </w:r>
    </w:p>
    <w:p w14:paraId="0738B80E">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（二）资金保障</w:t>
      </w:r>
    </w:p>
    <w:p w14:paraId="64B619F5">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pPr>
      <w:r>
        <w:rPr>
          <w:rFonts w:hint="default" w:ascii="方正仿宋_GBK" w:hAnsi="方正仿宋_GBK" w:eastAsia="方正仿宋_GBK" w:cs="方正仿宋_GBK"/>
          <w:color w:val="000000"/>
          <w:sz w:val="32"/>
          <w:szCs w:val="32"/>
        </w:rPr>
        <w:t>（三）监督考核</w:t>
      </w:r>
    </w:p>
    <w:bookmarkEnd w:id="16"/>
    <w:bookmarkEnd w:id="31"/>
    <w:bookmarkEnd w:id="32"/>
    <w:bookmarkEnd w:id="459"/>
    <w:bookmarkEnd w:id="466"/>
    <w:bookmarkEnd w:id="467"/>
    <w:bookmarkEnd w:id="468"/>
    <w:bookmarkEnd w:id="469"/>
    <w:bookmarkEnd w:id="470"/>
    <w:bookmarkEnd w:id="471"/>
    <w:bookmarkEnd w:id="472"/>
    <w:p w14:paraId="21E660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黑体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5B2080"/>
    <w:rsid w:val="065B2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2025-12-02T08:28:00Z</dcterms:created>
  <dc:creator>Administrator</dc:creator>
  <cp:lastModifiedBy>Administrator</cp:lastModifiedBy>
  <dcterms:modified xsi:type="dcterms:W3CDTF">2025-12-02T08:30:59Z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E261808DE88B433FBF3ED2BC1854BD55_11</vt:lpwstr>
  </property>
  <property fmtid="{D5CDD505-2E9C-101B-9397-08002B2CF9AE}" pid="4" name="KSOTemplateDocerSaveRecord">
    <vt:lpwstr>eyJoZGlkIjoiYjcyOWJiODBiZjA0NjI5ZTc1ZTYxYjdhODVlMjJhOTQifQ==</vt:lpwstr>
  </property>
</Properties>
</file>