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600" w:lineRule="exact"/>
        <w:ind w:left="0" w:leftChars="0"/>
        <w:jc w:val="right"/>
        <w:textAlignment w:val="auto"/>
        <w:rPr>
          <w:rFonts w:ascii="仿宋_GB2312" w:eastAsia="仿宋_GB2312"/>
          <w:color w:val="FF0000"/>
          <w:sz w:val="32"/>
          <w:szCs w:val="32"/>
          <w:highlight w:val="lightGray"/>
        </w:rPr>
      </w:pPr>
    </w:p>
    <w:p>
      <w:pPr>
        <w:keepNext w:val="0"/>
        <w:keepLines w:val="0"/>
        <w:pageBreakBefore w:val="0"/>
        <w:widowControl/>
        <w:kinsoku/>
        <w:wordWrap/>
        <w:overflowPunct/>
        <w:topLinePunct w:val="0"/>
        <w:bidi w:val="0"/>
        <w:spacing w:line="600" w:lineRule="exact"/>
        <w:ind w:left="0" w:leftChars="0"/>
        <w:jc w:val="right"/>
        <w:textAlignment w:val="auto"/>
        <w:rPr>
          <w:rFonts w:ascii="仿宋_GB2312" w:eastAsia="仿宋_GB2312"/>
          <w:color w:val="FF0000"/>
          <w:sz w:val="32"/>
          <w:szCs w:val="32"/>
          <w:highlight w:val="lightGray"/>
        </w:rPr>
      </w:pPr>
    </w:p>
    <w:p>
      <w:pPr>
        <w:pStyle w:val="12"/>
        <w:keepNext w:val="0"/>
        <w:keepLines w:val="0"/>
        <w:pageBreakBefore w:val="0"/>
        <w:kinsoku/>
        <w:wordWrap/>
        <w:overflowPunct/>
        <w:topLinePunct w:val="0"/>
        <w:bidi w:val="0"/>
        <w:spacing w:line="600" w:lineRule="exact"/>
        <w:ind w:left="78" w:leftChars="0" w:hanging="78"/>
        <w:textAlignment w:val="auto"/>
        <w:rPr>
          <w:color w:val="FF0000"/>
        </w:rPr>
      </w:pPr>
    </w:p>
    <w:p>
      <w:pPr>
        <w:keepNext w:val="0"/>
        <w:keepLines w:val="0"/>
        <w:pageBreakBefore w:val="0"/>
        <w:widowControl/>
        <w:kinsoku/>
        <w:wordWrap/>
        <w:overflowPunct/>
        <w:topLinePunct w:val="0"/>
        <w:bidi w:val="0"/>
        <w:spacing w:line="600" w:lineRule="exact"/>
        <w:ind w:left="0" w:leftChars="0"/>
        <w:jc w:val="right"/>
        <w:textAlignment w:val="auto"/>
        <w:rPr>
          <w:rFonts w:ascii="仿宋_GB2312" w:eastAsia="仿宋_GB2312"/>
          <w:color w:val="FF0000"/>
          <w:sz w:val="32"/>
          <w:szCs w:val="32"/>
          <w:highlight w:val="lightGray"/>
        </w:rPr>
      </w:pPr>
    </w:p>
    <w:p>
      <w:pPr>
        <w:pStyle w:val="31"/>
        <w:keepNext w:val="0"/>
        <w:keepLines w:val="0"/>
        <w:pageBreakBefore w:val="0"/>
        <w:kinsoku/>
        <w:wordWrap/>
        <w:overflowPunct/>
        <w:topLinePunct w:val="0"/>
        <w:bidi w:val="0"/>
        <w:spacing w:line="600" w:lineRule="exact"/>
        <w:ind w:left="0" w:leftChars="0"/>
        <w:jc w:val="right"/>
        <w:textAlignment w:val="auto"/>
        <w:rPr>
          <w:rFonts w:ascii="仿宋" w:hAnsi="仿宋" w:eastAsia="仿宋" w:cs="宋体"/>
          <w:sz w:val="32"/>
          <w:szCs w:val="32"/>
          <w:highlight w:val="yellow"/>
          <w:shd w:val="clear" w:color="auto" w:fill="auto"/>
        </w:rPr>
      </w:pPr>
      <w:r>
        <w:rPr>
          <w:rFonts w:hint="eastAsia" w:ascii="仿宋" w:hAnsi="仿宋" w:eastAsia="仿宋"/>
          <w:sz w:val="32"/>
          <w:szCs w:val="32"/>
          <w:highlight w:val="yellow"/>
          <w:shd w:val="clear" w:color="auto" w:fill="auto"/>
        </w:rPr>
        <w:t>本环建表字〔202</w:t>
      </w:r>
      <w:r>
        <w:rPr>
          <w:rFonts w:hint="eastAsia" w:ascii="仿宋" w:hAnsi="仿宋" w:eastAsia="仿宋"/>
          <w:sz w:val="32"/>
          <w:szCs w:val="32"/>
          <w:highlight w:val="yellow"/>
          <w:shd w:val="clear" w:color="auto" w:fill="auto"/>
          <w:lang w:val="en-US" w:eastAsia="zh-CN"/>
        </w:rPr>
        <w:t>3</w:t>
      </w:r>
      <w:r>
        <w:rPr>
          <w:rFonts w:hint="eastAsia" w:ascii="仿宋" w:hAnsi="仿宋" w:eastAsia="仿宋"/>
          <w:sz w:val="32"/>
          <w:szCs w:val="32"/>
          <w:highlight w:val="yellow"/>
          <w:shd w:val="clear" w:color="auto" w:fill="auto"/>
        </w:rPr>
        <w:t>〕</w:t>
      </w:r>
      <w:r>
        <w:rPr>
          <w:rFonts w:hint="eastAsia" w:ascii="仿宋" w:hAnsi="仿宋" w:eastAsia="仿宋"/>
          <w:sz w:val="32"/>
          <w:szCs w:val="32"/>
          <w:highlight w:val="yellow"/>
          <w:shd w:val="clear" w:color="auto" w:fill="auto"/>
          <w:lang w:val="en-US" w:eastAsia="zh-CN"/>
        </w:rPr>
        <w:t>5</w:t>
      </w:r>
      <w:r>
        <w:rPr>
          <w:rFonts w:hint="eastAsia" w:ascii="仿宋" w:hAnsi="仿宋" w:eastAsia="仿宋"/>
          <w:sz w:val="32"/>
          <w:szCs w:val="32"/>
          <w:highlight w:val="yellow"/>
          <w:shd w:val="clear" w:color="auto" w:fill="auto"/>
        </w:rPr>
        <w:t>号</w:t>
      </w:r>
    </w:p>
    <w:p>
      <w:pPr>
        <w:keepNext w:val="0"/>
        <w:keepLines w:val="0"/>
        <w:pageBreakBefore w:val="0"/>
        <w:kinsoku/>
        <w:wordWrap/>
        <w:overflowPunct/>
        <w:topLinePunct w:val="0"/>
        <w:bidi w:val="0"/>
        <w:spacing w:line="600" w:lineRule="exact"/>
        <w:ind w:left="0"/>
        <w:jc w:val="center"/>
        <w:textAlignment w:val="auto"/>
        <w:rPr>
          <w:rFonts w:hint="eastAsia" w:ascii="宋体" w:hAnsi="宋体" w:cs="华文中宋"/>
          <w:b/>
          <w:snapToGrid/>
          <w:spacing w:val="0"/>
          <w:sz w:val="44"/>
          <w:szCs w:val="44"/>
          <w:lang w:bidi="en-US"/>
        </w:rPr>
      </w:pPr>
      <w:r>
        <w:rPr>
          <w:rFonts w:hint="eastAsia" w:ascii="宋体" w:hAnsi="宋体" w:eastAsia="宋体" w:cs="宋体"/>
          <w:b/>
          <w:snapToGrid/>
          <w:spacing w:val="0"/>
          <w:kern w:val="2"/>
          <w:sz w:val="44"/>
          <w:szCs w:val="44"/>
        </w:rPr>
        <w:t>关于《</w:t>
      </w:r>
      <w:r>
        <w:rPr>
          <w:rFonts w:hint="eastAsia" w:ascii="宋体" w:hAnsi="宋体" w:cs="华文中宋"/>
          <w:b/>
          <w:snapToGrid/>
          <w:spacing w:val="0"/>
          <w:sz w:val="44"/>
          <w:szCs w:val="44"/>
          <w:lang w:bidi="en-US"/>
        </w:rPr>
        <w:t>本溪申源生态环保工程有限公司年经营1000吨废矿物油新建项目环境影响</w:t>
      </w:r>
    </w:p>
    <w:p>
      <w:pPr>
        <w:keepNext w:val="0"/>
        <w:keepLines w:val="0"/>
        <w:pageBreakBefore w:val="0"/>
        <w:kinsoku/>
        <w:wordWrap/>
        <w:overflowPunct/>
        <w:topLinePunct w:val="0"/>
        <w:bidi w:val="0"/>
        <w:spacing w:line="600" w:lineRule="exact"/>
        <w:ind w:left="0"/>
        <w:jc w:val="center"/>
        <w:textAlignment w:val="auto"/>
        <w:rPr>
          <w:rFonts w:hint="eastAsia" w:ascii="宋体" w:hAnsi="宋体" w:eastAsia="宋体" w:cs="宋体"/>
          <w:b/>
          <w:snapToGrid/>
          <w:spacing w:val="0"/>
          <w:kern w:val="2"/>
          <w:sz w:val="44"/>
          <w:szCs w:val="44"/>
        </w:rPr>
      </w:pPr>
      <w:r>
        <w:rPr>
          <w:rFonts w:hint="eastAsia" w:ascii="宋体" w:hAnsi="宋体" w:cs="华文中宋"/>
          <w:b/>
          <w:snapToGrid/>
          <w:spacing w:val="0"/>
          <w:sz w:val="44"/>
          <w:szCs w:val="44"/>
          <w:lang w:bidi="en-US"/>
        </w:rPr>
        <w:t>报告表</w:t>
      </w:r>
      <w:r>
        <w:rPr>
          <w:rFonts w:hint="eastAsia" w:ascii="宋体" w:hAnsi="宋体" w:eastAsia="宋体" w:cs="宋体"/>
          <w:b/>
          <w:snapToGrid/>
          <w:spacing w:val="0"/>
          <w:kern w:val="2"/>
          <w:sz w:val="44"/>
          <w:szCs w:val="44"/>
        </w:rPr>
        <w:t>》的批复</w:t>
      </w:r>
    </w:p>
    <w:p>
      <w:pPr>
        <w:keepNext w:val="0"/>
        <w:keepLines w:val="0"/>
        <w:pageBreakBefore w:val="0"/>
        <w:kinsoku/>
        <w:wordWrap/>
        <w:overflowPunct/>
        <w:topLinePunct w:val="0"/>
        <w:bidi w:val="0"/>
        <w:spacing w:line="600" w:lineRule="exact"/>
        <w:jc w:val="center"/>
        <w:textAlignment w:val="auto"/>
        <w:rPr>
          <w:rFonts w:hint="eastAsia" w:eastAsia="仿宋_GB2312" w:cs="Times New Roman"/>
          <w:b/>
          <w:bCs w:val="0"/>
          <w:sz w:val="32"/>
          <w:lang w:eastAsia="zh-CN"/>
        </w:rPr>
      </w:pPr>
      <w:r>
        <w:rPr>
          <w:rFonts w:hint="eastAsia" w:eastAsia="仿宋_GB2312" w:cs="Times New Roman"/>
          <w:b/>
          <w:bCs w:val="0"/>
          <w:sz w:val="32"/>
          <w:lang w:eastAsia="zh-CN"/>
        </w:rPr>
        <w:t>（</w:t>
      </w:r>
      <w:r>
        <w:rPr>
          <w:rFonts w:hint="eastAsia" w:eastAsia="仿宋_GB2312" w:cs="Times New Roman"/>
          <w:b/>
          <w:bCs w:val="0"/>
          <w:sz w:val="32"/>
          <w:lang w:val="en-US" w:eastAsia="zh-CN"/>
        </w:rPr>
        <w:t>征求意见稿</w:t>
      </w:r>
      <w:r>
        <w:rPr>
          <w:rFonts w:hint="eastAsia" w:eastAsia="仿宋_GB2312" w:cs="Times New Roman"/>
          <w:b/>
          <w:bCs w:val="0"/>
          <w:sz w:val="32"/>
          <w:lang w:eastAsia="zh-CN"/>
        </w:rPr>
        <w:t>）</w:t>
      </w:r>
    </w:p>
    <w:p>
      <w:pPr>
        <w:pStyle w:val="22"/>
        <w:keepNext w:val="0"/>
        <w:keepLines w:val="0"/>
        <w:pageBreakBefore w:val="0"/>
        <w:kinsoku/>
        <w:wordWrap/>
        <w:overflowPunct/>
        <w:topLinePunct w:val="0"/>
        <w:bidi w:val="0"/>
        <w:spacing w:line="600" w:lineRule="exact"/>
        <w:textAlignment w:val="auto"/>
        <w:rPr>
          <w:rFonts w:hint="eastAsia"/>
          <w:lang w:eastAsia="zh-CN"/>
        </w:rPr>
      </w:pPr>
    </w:p>
    <w:p>
      <w:pPr>
        <w:keepNext w:val="0"/>
        <w:keepLines w:val="0"/>
        <w:pageBreakBefore w:val="0"/>
        <w:kinsoku/>
        <w:wordWrap/>
        <w:overflowPunct/>
        <w:topLinePunct w:val="0"/>
        <w:bidi w:val="0"/>
        <w:spacing w:line="600" w:lineRule="exact"/>
        <w:textAlignment w:val="auto"/>
        <w:rPr>
          <w:rFonts w:hint="eastAsia" w:ascii="Times New Roman" w:hAnsi="Times New Roman" w:eastAsia="仿宋_GB2312" w:cs="Times New Roman"/>
          <w:sz w:val="32"/>
          <w:lang w:val="en-US" w:eastAsia="zh-CN"/>
        </w:rPr>
      </w:pPr>
      <w:r>
        <w:rPr>
          <w:rFonts w:hint="eastAsia" w:ascii="仿宋" w:hAnsi="仿宋" w:eastAsia="仿宋"/>
          <w:sz w:val="32"/>
          <w:szCs w:val="32"/>
        </w:rPr>
        <w:t>本溪申源生态环保工程有限公司</w:t>
      </w:r>
      <w:r>
        <w:rPr>
          <w:rFonts w:hint="eastAsia" w:ascii="Times New Roman" w:hAnsi="Times New Roman" w:eastAsia="仿宋_GB2312" w:cs="Times New Roman"/>
          <w:sz w:val="32"/>
          <w:lang w:val="en-US" w:eastAsia="zh-CN"/>
        </w:rPr>
        <w:t>：</w:t>
      </w:r>
    </w:p>
    <w:p>
      <w:pPr>
        <w:keepNext w:val="0"/>
        <w:keepLines w:val="0"/>
        <w:pageBreakBefore w:val="0"/>
        <w:kinsoku/>
        <w:wordWrap/>
        <w:overflowPunct/>
        <w:topLinePunct w:val="0"/>
        <w:bidi w:val="0"/>
        <w:spacing w:line="600" w:lineRule="exact"/>
        <w:ind w:left="0" w:leftChars="0" w:firstLine="680" w:firstLineChars="200"/>
        <w:textAlignment w:val="auto"/>
        <w:rPr>
          <w:rFonts w:hint="eastAsia" w:eastAsia="仿宋_GB2312"/>
          <w:sz w:val="32"/>
          <w:lang w:val="en-US" w:eastAsia="zh-CN"/>
        </w:rPr>
      </w:pPr>
      <w:r>
        <w:rPr>
          <w:rFonts w:hint="eastAsia" w:eastAsia="仿宋_GB2312"/>
          <w:sz w:val="32"/>
          <w:lang w:val="en-US" w:eastAsia="zh-CN"/>
        </w:rPr>
        <w:t>你公司报送的《本溪申源生态环保工程有限公司年经营1000吨废矿物油新建项目环境影响报告表》（以下简称“报告表”）已收悉。根据环评专家评审意见及技术评估报告结论，经我局2023年建设项目审查委员会第一次会议讨论同意，现批复如下：</w:t>
      </w:r>
    </w:p>
    <w:p>
      <w:pPr>
        <w:keepNext w:val="0"/>
        <w:keepLines w:val="0"/>
        <w:pageBreakBefore w:val="0"/>
        <w:kinsoku/>
        <w:wordWrap/>
        <w:overflowPunct/>
        <w:topLinePunct w:val="0"/>
        <w:bidi w:val="0"/>
        <w:spacing w:line="600" w:lineRule="exact"/>
        <w:ind w:left="0" w:leftChars="0" w:firstLine="640" w:firstLineChars="200"/>
        <w:textAlignment w:val="auto"/>
        <w:rPr>
          <w:rFonts w:ascii="黑体" w:hAnsi="黑体" w:eastAsia="黑体" w:cs="仿宋"/>
          <w:bCs w:val="0"/>
          <w:snapToGrid/>
          <w:spacing w:val="0"/>
          <w:kern w:val="2"/>
          <w:sz w:val="32"/>
          <w:szCs w:val="32"/>
        </w:rPr>
      </w:pPr>
      <w:r>
        <w:rPr>
          <w:rFonts w:hint="eastAsia" w:ascii="黑体" w:hAnsi="黑体" w:eastAsia="黑体" w:cs="仿宋"/>
          <w:bCs w:val="0"/>
          <w:snapToGrid/>
          <w:spacing w:val="0"/>
          <w:kern w:val="2"/>
          <w:sz w:val="32"/>
          <w:szCs w:val="32"/>
        </w:rPr>
        <w:t>一、</w:t>
      </w:r>
      <w:r>
        <w:rPr>
          <w:rFonts w:ascii="黑体" w:hAnsi="黑体" w:eastAsia="黑体" w:cs="仿宋"/>
          <w:bCs w:val="0"/>
          <w:snapToGrid/>
          <w:spacing w:val="0"/>
          <w:kern w:val="2"/>
          <w:sz w:val="32"/>
          <w:szCs w:val="32"/>
        </w:rPr>
        <w:t>项目概况</w:t>
      </w:r>
    </w:p>
    <w:p>
      <w:pPr>
        <w:keepNext w:val="0"/>
        <w:keepLines w:val="0"/>
        <w:pageBreakBefore w:val="0"/>
        <w:kinsoku/>
        <w:wordWrap/>
        <w:overflowPunct/>
        <w:topLinePunct w:val="0"/>
        <w:bidi w:val="0"/>
        <w:spacing w:line="600" w:lineRule="exact"/>
        <w:ind w:firstLine="680" w:firstLineChars="200"/>
        <w:textAlignment w:val="auto"/>
        <w:rPr>
          <w:rFonts w:ascii="仿宋" w:hAnsi="仿宋" w:eastAsia="仿宋"/>
          <w:sz w:val="32"/>
          <w:szCs w:val="32"/>
        </w:rPr>
      </w:pPr>
      <w:r>
        <w:rPr>
          <w:rFonts w:hint="eastAsia" w:eastAsia="仿宋_GB2312"/>
          <w:sz w:val="32"/>
          <w:lang w:val="en-US" w:eastAsia="zh-CN"/>
        </w:rPr>
        <w:t>本溪申源生态环保工程有限公司年经营1000吨废矿物油新建项目位于</w:t>
      </w:r>
      <w:r>
        <w:rPr>
          <w:rFonts w:hint="eastAsia" w:ascii="仿宋" w:hAnsi="仿宋" w:eastAsia="仿宋"/>
          <w:sz w:val="32"/>
          <w:szCs w:val="32"/>
        </w:rPr>
        <w:t>本溪市溪湖区郑家建材龙山街</w:t>
      </w:r>
      <w:r>
        <w:rPr>
          <w:rFonts w:hint="eastAsia" w:ascii="仿宋" w:hAnsi="仿宋" w:eastAsia="仿宋"/>
          <w:sz w:val="32"/>
          <w:szCs w:val="32"/>
          <w:lang w:eastAsia="zh-CN"/>
        </w:rPr>
        <w:t>。</w:t>
      </w:r>
      <w:r>
        <w:rPr>
          <w:rFonts w:hint="eastAsia" w:ascii="仿宋" w:hAnsi="仿宋" w:eastAsia="仿宋"/>
          <w:sz w:val="32"/>
          <w:szCs w:val="32"/>
        </w:rPr>
        <w:t>项目</w:t>
      </w:r>
      <w:r>
        <w:rPr>
          <w:rFonts w:ascii="仿宋" w:hAnsi="仿宋" w:eastAsia="仿宋"/>
          <w:sz w:val="32"/>
          <w:szCs w:val="32"/>
        </w:rPr>
        <w:t>总占地</w:t>
      </w:r>
      <w:r>
        <w:rPr>
          <w:rFonts w:hint="eastAsia" w:ascii="仿宋" w:hAnsi="仿宋" w:eastAsia="仿宋"/>
          <w:sz w:val="32"/>
          <w:szCs w:val="32"/>
        </w:rPr>
        <w:t>3000</w:t>
      </w:r>
      <w:r>
        <w:rPr>
          <w:rFonts w:ascii="仿宋" w:hAnsi="仿宋" w:eastAsia="仿宋"/>
          <w:sz w:val="32"/>
          <w:szCs w:val="32"/>
        </w:rPr>
        <w:t>m</w:t>
      </w:r>
      <w:r>
        <w:rPr>
          <w:rFonts w:hint="eastAsia" w:ascii="仿宋" w:hAnsi="仿宋" w:eastAsia="仿宋"/>
          <w:sz w:val="32"/>
          <w:szCs w:val="32"/>
          <w:vertAlign w:val="superscript"/>
        </w:rPr>
        <w:t>2</w:t>
      </w:r>
      <w:r>
        <w:rPr>
          <w:rFonts w:hint="eastAsia" w:ascii="仿宋" w:hAnsi="仿宋" w:eastAsia="仿宋"/>
          <w:sz w:val="32"/>
          <w:szCs w:val="32"/>
        </w:rPr>
        <w:t>，厂房建筑面积300</w:t>
      </w:r>
      <w:r>
        <w:rPr>
          <w:rFonts w:ascii="仿宋" w:hAnsi="仿宋" w:eastAsia="仿宋"/>
          <w:sz w:val="32"/>
          <w:szCs w:val="32"/>
        </w:rPr>
        <w:t>m</w:t>
      </w:r>
      <w:r>
        <w:rPr>
          <w:rFonts w:hint="eastAsia" w:ascii="仿宋" w:hAnsi="仿宋" w:eastAsia="仿宋"/>
          <w:sz w:val="32"/>
          <w:szCs w:val="32"/>
          <w:vertAlign w:val="superscript"/>
        </w:rPr>
        <w:t>2</w:t>
      </w:r>
      <w:r>
        <w:rPr>
          <w:rFonts w:hint="eastAsia" w:ascii="仿宋" w:hAnsi="仿宋" w:eastAsia="仿宋"/>
          <w:sz w:val="32"/>
          <w:szCs w:val="32"/>
          <w:lang w:eastAsia="zh-CN"/>
        </w:rPr>
        <w:t>。</w:t>
      </w:r>
      <w:r>
        <w:rPr>
          <w:rFonts w:hint="eastAsia" w:ascii="仿宋" w:hAnsi="仿宋" w:eastAsia="仿宋"/>
          <w:bCs/>
          <w:sz w:val="32"/>
          <w:szCs w:val="32"/>
        </w:rPr>
        <w:t>项目总投资1500万元，其中环保投资12万元，占总投资0.8%。</w:t>
      </w:r>
      <w:r>
        <w:rPr>
          <w:rFonts w:hint="eastAsia" w:ascii="仿宋" w:hAnsi="仿宋" w:eastAsia="仿宋"/>
          <w:bCs/>
          <w:sz w:val="32"/>
          <w:szCs w:val="32"/>
          <w:lang w:val="en-US" w:eastAsia="zh-CN"/>
        </w:rPr>
        <w:t>该项目</w:t>
      </w:r>
      <w:r>
        <w:rPr>
          <w:rFonts w:hint="eastAsia" w:ascii="仿宋" w:hAnsi="仿宋" w:eastAsia="仿宋"/>
          <w:sz w:val="32"/>
          <w:szCs w:val="32"/>
        </w:rPr>
        <w:t>主要从事废矿物油的收集仓储，项目设有废矿物油储罐区、装卸区、事故池</w:t>
      </w:r>
      <w:r>
        <w:rPr>
          <w:rFonts w:hint="eastAsia" w:ascii="仿宋" w:hAnsi="仿宋" w:eastAsia="仿宋"/>
          <w:sz w:val="32"/>
          <w:szCs w:val="32"/>
          <w:lang w:eastAsia="zh-CN"/>
        </w:rPr>
        <w:t>、</w:t>
      </w:r>
      <w:r>
        <w:rPr>
          <w:rFonts w:hint="eastAsia" w:ascii="仿宋" w:hAnsi="仿宋" w:eastAsia="仿宋"/>
          <w:sz w:val="32"/>
          <w:szCs w:val="32"/>
          <w:lang w:val="en-US" w:eastAsia="zh-CN"/>
        </w:rPr>
        <w:t>废气治理设施</w:t>
      </w:r>
      <w:r>
        <w:rPr>
          <w:rFonts w:hint="eastAsia" w:ascii="仿宋" w:hAnsi="仿宋" w:eastAsia="仿宋"/>
          <w:sz w:val="32"/>
          <w:szCs w:val="32"/>
        </w:rPr>
        <w:t>等。项目建成后预计年收集仓储废矿物油</w:t>
      </w:r>
      <w:r>
        <w:rPr>
          <w:rFonts w:ascii="仿宋" w:hAnsi="仿宋" w:eastAsia="仿宋"/>
          <w:sz w:val="32"/>
          <w:szCs w:val="32"/>
        </w:rPr>
        <w:t>1000</w:t>
      </w:r>
      <w:r>
        <w:rPr>
          <w:rFonts w:hint="eastAsia" w:ascii="仿宋" w:hAnsi="仿宋" w:eastAsia="仿宋"/>
          <w:sz w:val="32"/>
          <w:szCs w:val="32"/>
        </w:rPr>
        <w:t>吨。</w:t>
      </w:r>
    </w:p>
    <w:p>
      <w:pPr>
        <w:keepNext w:val="0"/>
        <w:keepLines w:val="0"/>
        <w:pageBreakBefore w:val="0"/>
        <w:kinsoku/>
        <w:wordWrap/>
        <w:overflowPunct/>
        <w:topLinePunct w:val="0"/>
        <w:bidi w:val="0"/>
        <w:adjustRightInd w:val="0"/>
        <w:snapToGrid w:val="0"/>
        <w:spacing w:line="600" w:lineRule="exact"/>
        <w:ind w:left="0" w:leftChars="0" w:firstLine="680" w:firstLineChars="200"/>
        <w:textAlignment w:val="auto"/>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《产业结构调整指导目录（2019年本）》</w:t>
      </w:r>
      <w:r>
        <w:rPr>
          <w:rFonts w:hint="eastAsia" w:ascii="仿宋" w:hAnsi="仿宋" w:eastAsia="仿宋" w:cs="仿宋"/>
          <w:sz w:val="32"/>
          <w:szCs w:val="32"/>
        </w:rPr>
        <w:t>，本项目为“</w:t>
      </w:r>
      <w:r>
        <w:rPr>
          <w:rFonts w:hint="eastAsia" w:ascii="仿宋" w:hAnsi="仿宋" w:eastAsia="仿宋" w:cs="仿宋"/>
          <w:sz w:val="32"/>
          <w:szCs w:val="32"/>
          <w:lang w:val="en-US" w:eastAsia="zh-CN"/>
        </w:rPr>
        <w:t>允许</w:t>
      </w:r>
      <w:r>
        <w:rPr>
          <w:rFonts w:hint="eastAsia" w:ascii="仿宋" w:hAnsi="仿宋" w:eastAsia="仿宋" w:cs="仿宋"/>
          <w:sz w:val="32"/>
          <w:szCs w:val="32"/>
        </w:rPr>
        <w:t>类”项目，符合国家产业政策</w:t>
      </w:r>
      <w:r>
        <w:rPr>
          <w:rFonts w:hint="eastAsia" w:ascii="仿宋" w:hAnsi="仿宋" w:eastAsia="仿宋"/>
          <w:sz w:val="32"/>
          <w:szCs w:val="32"/>
        </w:rPr>
        <w:t>。</w:t>
      </w:r>
      <w:r>
        <w:rPr>
          <w:rFonts w:hint="eastAsia" w:ascii="仿宋" w:hAnsi="仿宋" w:eastAsia="仿宋" w:cs="仿宋"/>
          <w:sz w:val="32"/>
          <w:szCs w:val="32"/>
        </w:rPr>
        <w:t>在严格落实报告表和本批复提出的各项生态环境保护措施和环境风险防控措施后，从生态环境角度，同意环境影响报告表中所列建设项目</w:t>
      </w:r>
      <w:r>
        <w:rPr>
          <w:rFonts w:hint="eastAsia" w:ascii="仿宋" w:hAnsi="仿宋" w:eastAsia="仿宋" w:cs="仿宋"/>
          <w:sz w:val="32"/>
          <w:szCs w:val="32"/>
          <w:lang w:val="zh-TW"/>
        </w:rPr>
        <w:t>地点、生产规模和环境保护措施进行建设。</w:t>
      </w:r>
    </w:p>
    <w:p>
      <w:pPr>
        <w:keepNext w:val="0"/>
        <w:keepLines w:val="0"/>
        <w:pageBreakBefore w:val="0"/>
        <w:kinsoku/>
        <w:wordWrap/>
        <w:overflowPunct/>
        <w:topLinePunct w:val="0"/>
        <w:bidi w:val="0"/>
        <w:spacing w:line="600" w:lineRule="exact"/>
        <w:ind w:left="0" w:leftChars="0" w:firstLine="640" w:firstLineChars="200"/>
        <w:textAlignment w:val="auto"/>
        <w:rPr>
          <w:rFonts w:ascii="黑体" w:hAnsi="黑体" w:eastAsia="黑体" w:cs="仿宋"/>
          <w:bCs w:val="0"/>
          <w:snapToGrid/>
          <w:spacing w:val="0"/>
          <w:kern w:val="2"/>
          <w:sz w:val="32"/>
          <w:szCs w:val="32"/>
        </w:rPr>
      </w:pPr>
      <w:r>
        <w:rPr>
          <w:rFonts w:hint="eastAsia" w:ascii="黑体" w:hAnsi="黑体" w:eastAsia="黑体" w:cs="仿宋"/>
          <w:bCs w:val="0"/>
          <w:snapToGrid/>
          <w:spacing w:val="0"/>
          <w:kern w:val="2"/>
          <w:sz w:val="32"/>
          <w:szCs w:val="32"/>
        </w:rPr>
        <w:t>二、</w:t>
      </w:r>
      <w:r>
        <w:rPr>
          <w:rFonts w:ascii="黑体" w:hAnsi="黑体" w:eastAsia="黑体" w:cs="仿宋"/>
          <w:bCs w:val="0"/>
          <w:snapToGrid/>
          <w:spacing w:val="0"/>
          <w:kern w:val="2"/>
          <w:sz w:val="32"/>
          <w:szCs w:val="32"/>
        </w:rPr>
        <w:t>项目建设应严格落实《报告表》提出的各项环境保护措施和风险防控措施，重点做好以下工作：</w:t>
      </w:r>
    </w:p>
    <w:p>
      <w:pPr>
        <w:keepNext w:val="0"/>
        <w:keepLines w:val="0"/>
        <w:pageBreakBefore w:val="0"/>
        <w:kinsoku/>
        <w:wordWrap/>
        <w:overflowPunct/>
        <w:topLinePunct w:val="0"/>
        <w:bidi w:val="0"/>
        <w:adjustRightInd w:val="0"/>
        <w:snapToGrid w:val="0"/>
        <w:spacing w:line="600" w:lineRule="exact"/>
        <w:ind w:firstLine="680" w:firstLineChars="200"/>
        <w:jc w:val="left"/>
        <w:textAlignment w:val="auto"/>
        <w:rPr>
          <w:rFonts w:hint="eastAsia" w:ascii="仿宋" w:hAnsi="仿宋" w:eastAsia="仿宋" w:cs="仿宋"/>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严格落实施工期污染防治措施。</w:t>
      </w:r>
      <w:r>
        <w:rPr>
          <w:rFonts w:hint="eastAsia" w:ascii="仿宋" w:hAnsi="仿宋" w:eastAsia="仿宋"/>
          <w:bCs/>
          <w:sz w:val="32"/>
          <w:szCs w:val="32"/>
        </w:rPr>
        <w:t>施工扬尘采取施工场地设置围挡、湿法作业、密闭运输、洒水压尘、物料遮盖、车辆使用清洁燃料等措施后，</w:t>
      </w:r>
      <w:r>
        <w:rPr>
          <w:rFonts w:ascii="仿宋" w:hAnsi="仿宋" w:eastAsia="仿宋"/>
          <w:bCs/>
          <w:sz w:val="32"/>
          <w:szCs w:val="32"/>
        </w:rPr>
        <w:t>施工场地扬尘</w:t>
      </w:r>
      <w:r>
        <w:rPr>
          <w:rFonts w:hint="eastAsia" w:ascii="仿宋" w:hAnsi="仿宋" w:eastAsia="仿宋"/>
          <w:bCs/>
          <w:sz w:val="32"/>
          <w:szCs w:val="32"/>
          <w:lang w:eastAsia="zh-CN"/>
        </w:rPr>
        <w:t>应</w:t>
      </w:r>
      <w:r>
        <w:rPr>
          <w:rFonts w:ascii="仿宋" w:hAnsi="仿宋" w:eastAsia="仿宋"/>
          <w:bCs/>
          <w:sz w:val="32"/>
          <w:szCs w:val="32"/>
        </w:rPr>
        <w:t>满足《施工及堆料场地扬尘排放标准》（DB21/2642-2016）表1限值</w:t>
      </w:r>
      <w:r>
        <w:rPr>
          <w:rFonts w:hint="eastAsia" w:ascii="仿宋" w:hAnsi="仿宋" w:eastAsia="仿宋"/>
          <w:bCs/>
          <w:sz w:val="32"/>
          <w:szCs w:val="32"/>
        </w:rPr>
        <w:t>要求</w:t>
      </w:r>
      <w:r>
        <w:rPr>
          <w:rFonts w:hint="eastAsia" w:ascii="仿宋" w:hAnsi="仿宋" w:eastAsia="仿宋" w:cs="仿宋"/>
          <w:sz w:val="32"/>
          <w:szCs w:val="32"/>
          <w:lang w:eastAsia="zh-CN"/>
        </w:rPr>
        <w:t>；</w:t>
      </w:r>
      <w:r>
        <w:rPr>
          <w:rFonts w:hint="eastAsia" w:ascii="仿宋" w:hAnsi="仿宋" w:eastAsia="仿宋"/>
          <w:bCs/>
          <w:sz w:val="32"/>
          <w:szCs w:val="32"/>
        </w:rPr>
        <w:t>冲洗废水</w:t>
      </w:r>
      <w:r>
        <w:rPr>
          <w:rFonts w:hint="eastAsia" w:ascii="仿宋" w:hAnsi="仿宋" w:eastAsia="仿宋"/>
          <w:bCs/>
          <w:sz w:val="32"/>
          <w:szCs w:val="32"/>
          <w:lang w:val="en-US" w:eastAsia="zh-CN"/>
        </w:rPr>
        <w:t>经</w:t>
      </w:r>
      <w:r>
        <w:rPr>
          <w:rFonts w:ascii="仿宋" w:hAnsi="仿宋" w:eastAsia="仿宋"/>
          <w:bCs/>
          <w:sz w:val="32"/>
          <w:szCs w:val="32"/>
        </w:rPr>
        <w:t>临时防渗沉淀池沉淀后重复使用，用作洒水降尘</w:t>
      </w:r>
      <w:r>
        <w:rPr>
          <w:rFonts w:hint="eastAsia" w:ascii="仿宋" w:hAnsi="仿宋" w:eastAsia="仿宋"/>
          <w:bCs/>
          <w:sz w:val="32"/>
          <w:szCs w:val="32"/>
        </w:rPr>
        <w:t>；生活污水依托厂区内现有旱厕</w:t>
      </w:r>
      <w:r>
        <w:rPr>
          <w:rFonts w:hint="eastAsia" w:ascii="仿宋" w:hAnsi="仿宋" w:eastAsia="仿宋" w:cs="仿宋"/>
          <w:sz w:val="32"/>
          <w:szCs w:val="32"/>
          <w:highlight w:val="none"/>
          <w:lang w:val="en-US" w:eastAsia="zh-CN" w:bidi="ar"/>
        </w:rPr>
        <w:t>；</w:t>
      </w:r>
      <w:r>
        <w:rPr>
          <w:rFonts w:ascii="仿宋" w:hAnsi="仿宋" w:eastAsia="仿宋"/>
          <w:sz w:val="32"/>
          <w:szCs w:val="32"/>
        </w:rPr>
        <w:t>建筑垃圾分类</w:t>
      </w:r>
      <w:r>
        <w:rPr>
          <w:rFonts w:hint="eastAsia" w:ascii="仿宋" w:hAnsi="仿宋" w:eastAsia="仿宋"/>
          <w:sz w:val="32"/>
          <w:szCs w:val="32"/>
          <w:lang w:val="en-US" w:eastAsia="zh-CN"/>
        </w:rPr>
        <w:t>处置</w:t>
      </w:r>
      <w:r>
        <w:rPr>
          <w:rFonts w:ascii="仿宋" w:hAnsi="仿宋" w:eastAsia="仿宋"/>
          <w:sz w:val="32"/>
          <w:szCs w:val="32"/>
        </w:rPr>
        <w:t>，回收可以二次利用废弃物，不能利用的建筑垃圾及时清运至建筑垃圾堆放场地处置</w:t>
      </w:r>
      <w:r>
        <w:rPr>
          <w:rFonts w:hint="eastAsia" w:ascii="仿宋" w:hAnsi="仿宋" w:eastAsia="仿宋"/>
          <w:sz w:val="32"/>
          <w:szCs w:val="32"/>
        </w:rPr>
        <w:t>；</w:t>
      </w:r>
      <w:r>
        <w:rPr>
          <w:rFonts w:ascii="仿宋" w:hAnsi="仿宋" w:eastAsia="仿宋"/>
          <w:sz w:val="32"/>
          <w:szCs w:val="32"/>
        </w:rPr>
        <w:t>回填土尽量采用本工程施工过程所产生的土方和适合的建筑垃圾，减少垃圾清运量</w:t>
      </w:r>
      <w:r>
        <w:rPr>
          <w:rFonts w:hint="eastAsia" w:ascii="仿宋" w:hAnsi="仿宋" w:eastAsia="仿宋"/>
          <w:sz w:val="32"/>
          <w:szCs w:val="32"/>
        </w:rPr>
        <w:t>；</w:t>
      </w:r>
      <w:r>
        <w:rPr>
          <w:rFonts w:ascii="仿宋" w:hAnsi="仿宋" w:eastAsia="仿宋"/>
          <w:sz w:val="32"/>
          <w:szCs w:val="32"/>
        </w:rPr>
        <w:t>生活垃圾袋装，统一收集交由环卫部门处理</w:t>
      </w:r>
      <w:r>
        <w:rPr>
          <w:rFonts w:hint="eastAsia" w:ascii="仿宋" w:hAnsi="仿宋" w:eastAsia="仿宋" w:cs="仿宋"/>
          <w:bCs/>
          <w:snapToGrid w:val="0"/>
          <w:spacing w:val="10"/>
          <w:kern w:val="0"/>
          <w:sz w:val="32"/>
          <w:szCs w:val="32"/>
          <w:lang w:eastAsia="zh-CN"/>
        </w:rPr>
        <w:t>；</w:t>
      </w:r>
      <w:r>
        <w:rPr>
          <w:rFonts w:hint="eastAsia" w:ascii="仿宋" w:hAnsi="仿宋" w:eastAsia="仿宋" w:cs="Times New Roman"/>
          <w:sz w:val="32"/>
          <w:szCs w:val="32"/>
          <w:lang w:val="en-US" w:eastAsia="zh-CN"/>
        </w:rPr>
        <w:t>通过</w:t>
      </w:r>
      <w:r>
        <w:rPr>
          <w:rFonts w:hint="eastAsia" w:ascii="仿宋" w:hAnsi="仿宋" w:eastAsia="仿宋" w:cs="Times New Roman"/>
          <w:sz w:val="32"/>
          <w:szCs w:val="32"/>
        </w:rPr>
        <w:t>选用低噪声机械及设备、合理安排运输路线、严禁夜间施工、施工车辆低速行驶、严禁鸣笛等措施后，</w:t>
      </w:r>
      <w:r>
        <w:rPr>
          <w:rFonts w:hint="eastAsia" w:ascii="仿宋" w:hAnsi="仿宋" w:eastAsia="仿宋" w:cs="Times New Roman"/>
          <w:sz w:val="32"/>
          <w:szCs w:val="32"/>
          <w:lang w:val="en-US" w:eastAsia="zh-CN"/>
        </w:rPr>
        <w:t>施工</w:t>
      </w:r>
      <w:r>
        <w:rPr>
          <w:rFonts w:ascii="仿宋" w:hAnsi="仿宋" w:eastAsia="仿宋" w:cs="Times New Roman"/>
          <w:sz w:val="32"/>
          <w:szCs w:val="32"/>
        </w:rPr>
        <w:t>噪声</w:t>
      </w:r>
      <w:r>
        <w:rPr>
          <w:rFonts w:hint="eastAsia" w:ascii="仿宋" w:hAnsi="仿宋" w:eastAsia="仿宋" w:cs="Times New Roman"/>
          <w:sz w:val="32"/>
          <w:szCs w:val="32"/>
          <w:lang w:val="en-US" w:eastAsia="zh-CN"/>
        </w:rPr>
        <w:t>应</w:t>
      </w:r>
      <w:r>
        <w:rPr>
          <w:rFonts w:hint="eastAsia" w:ascii="仿宋" w:hAnsi="仿宋" w:eastAsia="仿宋" w:cs="Times New Roman"/>
          <w:sz w:val="32"/>
          <w:szCs w:val="32"/>
        </w:rPr>
        <w:t>满足</w:t>
      </w:r>
      <w:r>
        <w:rPr>
          <w:rFonts w:ascii="仿宋" w:hAnsi="仿宋" w:eastAsia="仿宋" w:cs="Times New Roman"/>
          <w:sz w:val="32"/>
          <w:szCs w:val="32"/>
        </w:rPr>
        <w:t>《建筑施工场界环境噪声排放标准》（GB12523-2011）标准限值</w:t>
      </w:r>
      <w:r>
        <w:rPr>
          <w:rFonts w:hint="eastAsia" w:ascii="仿宋" w:hAnsi="仿宋" w:eastAsia="仿宋" w:cs="Times New Roman"/>
          <w:sz w:val="32"/>
          <w:szCs w:val="32"/>
        </w:rPr>
        <w:t>要求。</w:t>
      </w:r>
    </w:p>
    <w:p>
      <w:pPr>
        <w:pStyle w:val="6"/>
        <w:keepNext w:val="0"/>
        <w:keepLines w:val="0"/>
        <w:pageBreakBefore w:val="0"/>
        <w:tabs>
          <w:tab w:val="left" w:pos="5812"/>
        </w:tabs>
        <w:kinsoku/>
        <w:wordWrap/>
        <w:overflowPunct/>
        <w:topLinePunct w:val="0"/>
        <w:bidi w:val="0"/>
        <w:spacing w:line="600" w:lineRule="exact"/>
        <w:ind w:firstLine="640"/>
        <w:textAlignment w:val="auto"/>
        <w:rPr>
          <w:rFonts w:hint="eastAsia" w:ascii="仿宋_GB2312" w:hAnsi="仿宋_GB2312" w:eastAsia="仿宋_GB2312" w:cs="仿宋_GB2312"/>
          <w:bCs/>
          <w:snapToGrid w:val="0"/>
          <w:spacing w:val="10"/>
          <w:sz w:val="32"/>
          <w:szCs w:val="24"/>
          <w:lang w:val="en-US" w:eastAsia="zh-CN" w:bidi="ar-SA"/>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）严格落实大气污染防治措施。</w:t>
      </w:r>
      <w:r>
        <w:rPr>
          <w:rFonts w:hint="eastAsia" w:ascii="仿宋_GB2312" w:hAnsi="仿宋_GB2312" w:eastAsia="仿宋_GB2312" w:cs="仿宋_GB2312"/>
          <w:bCs/>
          <w:snapToGrid w:val="0"/>
          <w:spacing w:val="10"/>
          <w:sz w:val="32"/>
          <w:szCs w:val="24"/>
          <w:lang w:val="en-US" w:eastAsia="zh-CN" w:bidi="ar-SA"/>
        </w:rPr>
        <w:t>2</w:t>
      </w:r>
      <w:r>
        <w:rPr>
          <w:rFonts w:hint="eastAsia" w:ascii="仿宋" w:hAnsi="仿宋" w:eastAsia="仿宋" w:cs="仿宋"/>
          <w:sz w:val="32"/>
          <w:szCs w:val="32"/>
          <w:highlight w:val="none"/>
          <w:lang w:bidi="ar"/>
        </w:rPr>
        <w:t>×</w:t>
      </w:r>
      <w:r>
        <w:rPr>
          <w:rFonts w:hint="eastAsia" w:ascii="仿宋_GB2312" w:hAnsi="仿宋_GB2312" w:eastAsia="仿宋_GB2312" w:cs="仿宋_GB2312"/>
          <w:bCs/>
          <w:snapToGrid w:val="0"/>
          <w:spacing w:val="10"/>
          <w:sz w:val="32"/>
          <w:szCs w:val="24"/>
          <w:lang w:val="en-US" w:eastAsia="zh-CN" w:bidi="ar-SA"/>
        </w:rPr>
        <w:t>60m</w:t>
      </w:r>
      <w:r>
        <w:rPr>
          <w:rFonts w:hint="eastAsia" w:ascii="仿宋_GB2312" w:hAnsi="仿宋_GB2312" w:eastAsia="仿宋_GB2312" w:cs="仿宋_GB2312"/>
          <w:bCs/>
          <w:snapToGrid w:val="0"/>
          <w:spacing w:val="10"/>
          <w:sz w:val="32"/>
          <w:szCs w:val="24"/>
          <w:vertAlign w:val="superscript"/>
          <w:lang w:val="en-US" w:eastAsia="zh-CN" w:bidi="ar-SA"/>
        </w:rPr>
        <w:t>3</w:t>
      </w:r>
      <w:r>
        <w:rPr>
          <w:rFonts w:hint="eastAsia" w:ascii="仿宋_GB2312" w:hAnsi="仿宋_GB2312" w:eastAsia="仿宋_GB2312" w:cs="仿宋_GB2312"/>
          <w:bCs/>
          <w:snapToGrid w:val="0"/>
          <w:spacing w:val="10"/>
          <w:sz w:val="32"/>
          <w:szCs w:val="24"/>
          <w:lang w:val="en-US" w:eastAsia="zh-CN" w:bidi="ar-SA"/>
        </w:rPr>
        <w:t>储罐大小呼吸产生的有机废气经管道收集，进入活性炭吸附装置集中处理后，通过1根15m排气筒(DA001)排放，非甲烷总烃排放浓度应满足《大气污染物综合排放标准》（GB16297-1996）表2中二级限值要求；厂区内NMHC无组织排放浓度应满足《挥发性有机物无组织污染控制标准》（GB37822-2019）附录A.1中标准限值要求；厂界NMHC无组织排放浓度应满足《大气污染物综合排放标准》（GB16297-1996）表2新建企业无组织排放监控浓度限值要求。</w:t>
      </w:r>
    </w:p>
    <w:p>
      <w:pPr>
        <w:pStyle w:val="12"/>
        <w:keepNext w:val="0"/>
        <w:keepLines w:val="0"/>
        <w:pageBreakBefore w:val="0"/>
        <w:kinsoku/>
        <w:wordWrap/>
        <w:overflowPunct/>
        <w:topLinePunct w:val="0"/>
        <w:bidi w:val="0"/>
        <w:spacing w:line="600" w:lineRule="exact"/>
        <w:ind w:firstLine="680" w:firstLineChars="200"/>
        <w:textAlignment w:val="auto"/>
        <w:rPr>
          <w:rFonts w:hint="eastAsia" w:ascii="仿宋_GB2312" w:hAnsi="仿宋_GB2312" w:eastAsia="仿宋_GB2312" w:cs="仿宋_GB2312"/>
          <w:highlight w:val="yellow"/>
        </w:rPr>
      </w:pPr>
      <w:r>
        <w:rPr>
          <w:rFonts w:hint="eastAsia" w:ascii="楷体" w:hAnsi="楷体" w:eastAsia="楷体" w:cs="楷体"/>
          <w:b w:val="0"/>
          <w:bCs/>
          <w:iCs w:val="0"/>
          <w:snapToGrid w:val="0"/>
          <w:spacing w:val="10"/>
          <w:sz w:val="32"/>
          <w:szCs w:val="32"/>
          <w:lang w:val="en-US" w:eastAsia="zh-CN" w:bidi="ar-SA"/>
        </w:rPr>
        <w:t>（三）严格落实水污染防治措施。</w:t>
      </w:r>
      <w:r>
        <w:rPr>
          <w:rFonts w:hint="eastAsia" w:ascii="仿宋_GB2312" w:hAnsi="仿宋_GB2312" w:eastAsia="仿宋_GB2312" w:cs="仿宋_GB2312"/>
          <w:sz w:val="32"/>
        </w:rPr>
        <w:t>本项目无生产废水产生；</w:t>
      </w:r>
      <w:r>
        <w:rPr>
          <w:rFonts w:hint="eastAsia" w:ascii="仿宋_GB2312" w:hAnsi="仿宋_GB2312" w:eastAsia="仿宋_GB2312" w:cs="仿宋_GB2312"/>
          <w:sz w:val="32"/>
          <w:lang w:val="en-US" w:eastAsia="zh-CN"/>
        </w:rPr>
        <w:t>采用工作人员巡检制度，项目不设办公生活设施，无生活污水排放</w:t>
      </w:r>
      <w:r>
        <w:rPr>
          <w:rFonts w:hint="eastAsia" w:ascii="仿宋_GB2312" w:hAnsi="仿宋_GB2312" w:eastAsia="仿宋_GB2312" w:cs="仿宋_GB2312"/>
          <w:sz w:val="32"/>
        </w:rPr>
        <w:t>；</w:t>
      </w:r>
      <w:r>
        <w:rPr>
          <w:rFonts w:hint="eastAsia" w:ascii="仿宋" w:hAnsi="仿宋" w:eastAsia="仿宋" w:cs="仿宋"/>
          <w:sz w:val="32"/>
          <w:szCs w:val="32"/>
          <w:highlight w:val="none"/>
          <w:lang w:val="en-US" w:eastAsia="zh-CN"/>
        </w:rPr>
        <w:t>采用雨污分流方式，</w:t>
      </w:r>
      <w:r>
        <w:rPr>
          <w:rFonts w:hint="eastAsia" w:ascii="仿宋_GB2312" w:hAnsi="仿宋_GB2312" w:eastAsia="仿宋_GB2312" w:cs="仿宋_GB2312"/>
          <w:sz w:val="32"/>
          <w:highlight w:val="none"/>
        </w:rPr>
        <w:t>项目厂房周围设置雨水导流渠，初期雨水导流至事故池内，并由罐车运至污水处理厂处理。</w:t>
      </w:r>
      <w:bookmarkStart w:id="0" w:name="_GoBack"/>
      <w:bookmarkEnd w:id="0"/>
    </w:p>
    <w:p>
      <w:pPr>
        <w:keepNext w:val="0"/>
        <w:keepLines w:val="0"/>
        <w:pageBreakBefore w:val="0"/>
        <w:kinsoku/>
        <w:wordWrap/>
        <w:overflowPunct/>
        <w:topLinePunct w:val="0"/>
        <w:bidi w:val="0"/>
        <w:adjustRightInd w:val="0"/>
        <w:snapToGrid w:val="0"/>
        <w:spacing w:line="600" w:lineRule="exact"/>
        <w:ind w:firstLine="680" w:firstLineChars="200"/>
        <w:textAlignment w:val="auto"/>
        <w:rPr>
          <w:rFonts w:hint="eastAsia" w:ascii="仿宋" w:hAnsi="仿宋" w:eastAsia="仿宋"/>
          <w:bCs/>
          <w:sz w:val="32"/>
          <w:szCs w:val="32"/>
        </w:rPr>
      </w:pPr>
      <w:r>
        <w:rPr>
          <w:rFonts w:hint="eastAsia" w:ascii="楷体" w:hAnsi="楷体" w:eastAsia="楷体" w:cs="楷体"/>
          <w:b w:val="0"/>
          <w:bCs/>
          <w:iCs w:val="0"/>
          <w:snapToGrid w:val="0"/>
          <w:spacing w:val="10"/>
          <w:sz w:val="32"/>
          <w:szCs w:val="32"/>
          <w:lang w:val="zh-TW" w:eastAsia="zh-CN" w:bidi="ar-SA"/>
        </w:rPr>
        <w:t>（</w:t>
      </w:r>
      <w:r>
        <w:rPr>
          <w:rFonts w:hint="eastAsia" w:ascii="楷体" w:hAnsi="楷体" w:eastAsia="楷体" w:cs="楷体"/>
          <w:b w:val="0"/>
          <w:bCs/>
          <w:iCs w:val="0"/>
          <w:snapToGrid w:val="0"/>
          <w:spacing w:val="10"/>
          <w:sz w:val="32"/>
          <w:szCs w:val="32"/>
          <w:lang w:val="en-US" w:eastAsia="zh-CN" w:bidi="ar-SA"/>
        </w:rPr>
        <w:t>四</w:t>
      </w:r>
      <w:r>
        <w:rPr>
          <w:rFonts w:hint="eastAsia" w:ascii="楷体" w:hAnsi="楷体" w:eastAsia="楷体" w:cs="楷体"/>
          <w:b w:val="0"/>
          <w:bCs/>
          <w:iCs w:val="0"/>
          <w:snapToGrid w:val="0"/>
          <w:spacing w:val="10"/>
          <w:sz w:val="32"/>
          <w:szCs w:val="32"/>
          <w:lang w:val="zh-TW" w:eastAsia="zh-CN" w:bidi="ar-SA"/>
        </w:rPr>
        <w:t>）严格落实噪声污染防治措施</w:t>
      </w:r>
      <w:r>
        <w:rPr>
          <w:rFonts w:hint="eastAsia" w:ascii="楷体" w:hAnsi="楷体" w:eastAsia="楷体" w:cs="楷体"/>
          <w:b w:val="0"/>
          <w:bCs/>
          <w:iCs w:val="0"/>
          <w:snapToGrid w:val="0"/>
          <w:spacing w:val="10"/>
          <w:sz w:val="32"/>
          <w:szCs w:val="32"/>
          <w:lang w:val="en-US" w:eastAsia="zh-CN" w:bidi="ar-SA"/>
        </w:rPr>
        <w:t>。</w:t>
      </w:r>
      <w:r>
        <w:rPr>
          <w:rFonts w:ascii="仿宋" w:hAnsi="仿宋" w:eastAsia="仿宋"/>
          <w:bCs/>
          <w:sz w:val="32"/>
          <w:szCs w:val="32"/>
        </w:rPr>
        <w:t>项目选用低噪声</w:t>
      </w:r>
      <w:r>
        <w:rPr>
          <w:rFonts w:hint="eastAsia" w:ascii="仿宋" w:hAnsi="仿宋" w:eastAsia="仿宋"/>
          <w:bCs/>
          <w:sz w:val="32"/>
          <w:szCs w:val="32"/>
          <w:lang w:val="en-US" w:eastAsia="zh-CN"/>
        </w:rPr>
        <w:t>设备</w:t>
      </w:r>
      <w:r>
        <w:rPr>
          <w:rFonts w:hint="eastAsia" w:ascii="仿宋" w:hAnsi="仿宋" w:eastAsia="仿宋"/>
          <w:bCs/>
          <w:sz w:val="32"/>
          <w:szCs w:val="32"/>
          <w:lang w:eastAsia="zh-CN"/>
        </w:rPr>
        <w:t>，</w:t>
      </w:r>
      <w:r>
        <w:rPr>
          <w:rFonts w:hint="eastAsia" w:ascii="仿宋" w:hAnsi="仿宋" w:eastAsia="仿宋"/>
          <w:bCs/>
          <w:sz w:val="32"/>
          <w:szCs w:val="32"/>
          <w:lang w:val="en-US" w:eastAsia="zh-CN"/>
        </w:rPr>
        <w:t>通过</w:t>
      </w:r>
      <w:r>
        <w:rPr>
          <w:rFonts w:hint="eastAsia" w:ascii="仿宋" w:hAnsi="仿宋" w:eastAsia="仿宋"/>
          <w:bCs/>
          <w:sz w:val="32"/>
          <w:szCs w:val="32"/>
        </w:rPr>
        <w:t>定期维护和保养、</w:t>
      </w:r>
      <w:r>
        <w:rPr>
          <w:rFonts w:ascii="仿宋" w:hAnsi="仿宋" w:eastAsia="仿宋"/>
          <w:bCs/>
          <w:sz w:val="32"/>
          <w:szCs w:val="32"/>
        </w:rPr>
        <w:t>设置标线以及禁止鸣笛标识</w:t>
      </w:r>
      <w:r>
        <w:rPr>
          <w:rFonts w:hint="eastAsia" w:ascii="仿宋" w:hAnsi="仿宋" w:eastAsia="仿宋"/>
          <w:bCs/>
          <w:sz w:val="32"/>
          <w:szCs w:val="32"/>
        </w:rPr>
        <w:t>等措施后，厂界噪声</w:t>
      </w:r>
      <w:r>
        <w:rPr>
          <w:rFonts w:hint="eastAsia" w:ascii="仿宋" w:hAnsi="仿宋" w:eastAsia="仿宋"/>
          <w:bCs/>
          <w:sz w:val="32"/>
          <w:szCs w:val="32"/>
          <w:lang w:eastAsia="zh-CN"/>
        </w:rPr>
        <w:t>应</w:t>
      </w:r>
      <w:r>
        <w:rPr>
          <w:rFonts w:hint="eastAsia" w:ascii="仿宋" w:hAnsi="仿宋" w:eastAsia="仿宋"/>
          <w:bCs/>
          <w:sz w:val="32"/>
          <w:szCs w:val="32"/>
        </w:rPr>
        <w:t>满足《工业企业厂界环境噪声排放标准》（GB12348-2008）中2类标准要求。</w:t>
      </w:r>
    </w:p>
    <w:p>
      <w:pPr>
        <w:keepNext w:val="0"/>
        <w:keepLines w:val="0"/>
        <w:pageBreakBefore w:val="0"/>
        <w:kinsoku/>
        <w:wordWrap/>
        <w:overflowPunct/>
        <w:topLinePunct w:val="0"/>
        <w:bidi w:val="0"/>
        <w:spacing w:line="600" w:lineRule="exact"/>
        <w:ind w:firstLine="680" w:firstLineChars="200"/>
        <w:textAlignment w:val="auto"/>
        <w:rPr>
          <w:rFonts w:hint="eastAsia" w:ascii="仿宋" w:hAnsi="仿宋" w:eastAsia="仿宋"/>
          <w:bCs/>
          <w:sz w:val="32"/>
          <w:szCs w:val="32"/>
        </w:rPr>
      </w:pPr>
      <w:r>
        <w:rPr>
          <w:rFonts w:hint="eastAsia" w:ascii="楷体" w:hAnsi="楷体" w:eastAsia="楷体" w:cs="楷体"/>
          <w:b w:val="0"/>
          <w:bCs/>
          <w:iCs w:val="0"/>
          <w:snapToGrid w:val="0"/>
          <w:spacing w:val="10"/>
          <w:sz w:val="32"/>
          <w:szCs w:val="32"/>
          <w:lang w:val="zh-TW" w:eastAsia="zh-CN" w:bidi="ar-SA"/>
        </w:rPr>
        <w:t>（</w:t>
      </w:r>
      <w:r>
        <w:rPr>
          <w:rFonts w:hint="eastAsia" w:ascii="楷体" w:hAnsi="楷体" w:eastAsia="楷体" w:cs="楷体"/>
          <w:b w:val="0"/>
          <w:bCs/>
          <w:iCs w:val="0"/>
          <w:snapToGrid w:val="0"/>
          <w:spacing w:val="10"/>
          <w:sz w:val="32"/>
          <w:szCs w:val="32"/>
          <w:lang w:val="en-US" w:eastAsia="zh-CN" w:bidi="ar-SA"/>
        </w:rPr>
        <w:t>五</w:t>
      </w:r>
      <w:r>
        <w:rPr>
          <w:rFonts w:hint="eastAsia" w:ascii="楷体" w:hAnsi="楷体" w:eastAsia="楷体" w:cs="楷体"/>
          <w:b w:val="0"/>
          <w:bCs/>
          <w:iCs w:val="0"/>
          <w:snapToGrid w:val="0"/>
          <w:spacing w:val="10"/>
          <w:sz w:val="32"/>
          <w:szCs w:val="32"/>
          <w:lang w:val="zh-TW" w:eastAsia="zh-CN" w:bidi="ar-SA"/>
        </w:rPr>
        <w:t>）严格落实固体废物污染防控措施。</w:t>
      </w:r>
      <w:r>
        <w:rPr>
          <w:rFonts w:hint="eastAsia" w:ascii="仿宋" w:hAnsi="仿宋" w:eastAsia="仿宋"/>
          <w:bCs/>
          <w:sz w:val="32"/>
          <w:szCs w:val="32"/>
        </w:rPr>
        <w:t>含油废抹布及劳保用品、清罐油泥、废活性炭</w:t>
      </w:r>
      <w:r>
        <w:rPr>
          <w:rFonts w:hint="eastAsia" w:ascii="仿宋" w:hAnsi="仿宋" w:eastAsia="仿宋"/>
          <w:bCs/>
          <w:sz w:val="32"/>
          <w:szCs w:val="32"/>
          <w:lang w:val="en-US" w:eastAsia="zh-CN"/>
        </w:rPr>
        <w:t>暂存于</w:t>
      </w:r>
      <w:r>
        <w:rPr>
          <w:rFonts w:hint="eastAsia" w:ascii="仿宋" w:hAnsi="仿宋" w:eastAsia="仿宋"/>
          <w:bCs/>
          <w:sz w:val="32"/>
          <w:szCs w:val="32"/>
          <w:highlight w:val="none"/>
        </w:rPr>
        <w:t>1座5m</w:t>
      </w:r>
      <w:r>
        <w:rPr>
          <w:rFonts w:hint="eastAsia" w:ascii="仿宋" w:hAnsi="仿宋" w:eastAsia="仿宋"/>
          <w:bCs/>
          <w:sz w:val="32"/>
          <w:szCs w:val="32"/>
          <w:highlight w:val="none"/>
          <w:vertAlign w:val="superscript"/>
        </w:rPr>
        <w:t>2</w:t>
      </w:r>
      <w:r>
        <w:rPr>
          <w:rFonts w:hint="eastAsia" w:ascii="仿宋" w:hAnsi="仿宋" w:eastAsia="仿宋"/>
          <w:bCs/>
          <w:sz w:val="32"/>
          <w:szCs w:val="32"/>
        </w:rPr>
        <w:t>危废暂存间，定期由有资质单位进行集中处置。危险废物贮存执行《危险废物贮存污染控制标准》（GB18597-2001）（2013年修订）</w:t>
      </w:r>
      <w:r>
        <w:rPr>
          <w:rFonts w:hint="eastAsia" w:ascii="仿宋" w:hAnsi="仿宋" w:eastAsia="仿宋"/>
          <w:bCs/>
          <w:sz w:val="32"/>
          <w:szCs w:val="32"/>
          <w:lang w:val="en-US" w:eastAsia="zh-CN"/>
        </w:rPr>
        <w:t>相关</w:t>
      </w:r>
      <w:r>
        <w:rPr>
          <w:rFonts w:hint="eastAsia" w:ascii="仿宋" w:hAnsi="仿宋" w:eastAsia="仿宋"/>
          <w:bCs/>
          <w:sz w:val="32"/>
          <w:szCs w:val="32"/>
        </w:rPr>
        <w:t>要求；生活垃圾交由环卫部门定期清运。</w:t>
      </w:r>
    </w:p>
    <w:p>
      <w:pPr>
        <w:keepNext w:val="0"/>
        <w:keepLines w:val="0"/>
        <w:pageBreakBefore w:val="0"/>
        <w:kinsoku/>
        <w:wordWrap/>
        <w:overflowPunct/>
        <w:topLinePunct w:val="0"/>
        <w:autoSpaceDE/>
        <w:autoSpaceDN/>
        <w:bidi w:val="0"/>
        <w:spacing w:line="600" w:lineRule="exact"/>
        <w:ind w:firstLine="680" w:firstLineChars="200"/>
        <w:textAlignment w:val="auto"/>
        <w:rPr>
          <w:rFonts w:hint="eastAsia" w:eastAsia="仿宋_GB2312"/>
          <w:sz w:val="32"/>
          <w:szCs w:val="32"/>
        </w:rPr>
      </w:pPr>
      <w:r>
        <w:rPr>
          <w:rFonts w:hint="eastAsia" w:ascii="楷体" w:hAnsi="楷体" w:eastAsia="楷体" w:cs="楷体"/>
          <w:b w:val="0"/>
          <w:bCs/>
          <w:iCs w:val="0"/>
          <w:snapToGrid w:val="0"/>
          <w:spacing w:val="10"/>
          <w:sz w:val="32"/>
          <w:szCs w:val="32"/>
          <w:lang w:val="zh-TW" w:eastAsia="zh-CN" w:bidi="ar-SA"/>
        </w:rPr>
        <w:t>（</w:t>
      </w:r>
      <w:r>
        <w:rPr>
          <w:rFonts w:hint="eastAsia" w:ascii="楷体" w:hAnsi="楷体" w:eastAsia="楷体" w:cs="楷体"/>
          <w:b w:val="0"/>
          <w:bCs/>
          <w:iCs w:val="0"/>
          <w:snapToGrid w:val="0"/>
          <w:spacing w:val="10"/>
          <w:sz w:val="32"/>
          <w:szCs w:val="32"/>
          <w:lang w:val="en-US" w:eastAsia="zh-CN" w:bidi="ar-SA"/>
        </w:rPr>
        <w:t>六）</w:t>
      </w:r>
      <w:r>
        <w:rPr>
          <w:rFonts w:hint="eastAsia" w:ascii="楷体" w:hAnsi="楷体" w:eastAsia="楷体" w:cs="楷体"/>
          <w:b w:val="0"/>
          <w:bCs/>
          <w:iCs w:val="0"/>
          <w:snapToGrid w:val="0"/>
          <w:spacing w:val="10"/>
          <w:sz w:val="32"/>
          <w:szCs w:val="32"/>
          <w:lang w:val="zh-TW" w:eastAsia="zh-CN" w:bidi="ar-SA"/>
        </w:rPr>
        <w:t>加强土壤及地下水环境管理。</w:t>
      </w:r>
      <w:r>
        <w:rPr>
          <w:rFonts w:hint="eastAsia" w:eastAsia="仿宋_GB2312"/>
          <w:sz w:val="32"/>
          <w:szCs w:val="32"/>
        </w:rPr>
        <w:t>项目采取分区防渗措施，</w:t>
      </w:r>
      <w:r>
        <w:rPr>
          <w:rFonts w:hint="eastAsia" w:ascii="仿宋" w:hAnsi="仿宋" w:eastAsia="仿宋"/>
          <w:bCs/>
          <w:sz w:val="32"/>
          <w:szCs w:val="32"/>
        </w:rPr>
        <w:t>油罐区、危险废物暂存间</w:t>
      </w:r>
      <w:r>
        <w:rPr>
          <w:rFonts w:hint="eastAsia" w:ascii="仿宋" w:hAnsi="仿宋" w:eastAsia="仿宋"/>
          <w:bCs/>
          <w:sz w:val="32"/>
          <w:szCs w:val="32"/>
          <w:lang w:eastAsia="zh-CN"/>
        </w:rPr>
        <w:t>、</w:t>
      </w:r>
      <w:r>
        <w:rPr>
          <w:rFonts w:hint="eastAsia" w:ascii="仿宋" w:hAnsi="仿宋" w:eastAsia="仿宋"/>
          <w:bCs/>
          <w:sz w:val="32"/>
          <w:szCs w:val="32"/>
          <w:highlight w:val="none"/>
        </w:rPr>
        <w:t>事故池</w:t>
      </w:r>
      <w:r>
        <w:rPr>
          <w:rFonts w:hint="eastAsia" w:ascii="仿宋" w:hAnsi="仿宋" w:eastAsia="仿宋"/>
          <w:bCs/>
          <w:sz w:val="32"/>
          <w:szCs w:val="32"/>
          <w:highlight w:val="none"/>
          <w:lang w:val="en-US" w:eastAsia="zh-CN"/>
        </w:rPr>
        <w:t>和</w:t>
      </w:r>
      <w:r>
        <w:rPr>
          <w:rFonts w:hint="eastAsia" w:ascii="仿宋" w:hAnsi="仿宋" w:eastAsia="仿宋"/>
          <w:bCs/>
          <w:sz w:val="32"/>
          <w:szCs w:val="32"/>
          <w:highlight w:val="none"/>
        </w:rPr>
        <w:t>装载区</w:t>
      </w:r>
      <w:r>
        <w:rPr>
          <w:rFonts w:hint="eastAsia" w:eastAsia="仿宋_GB2312"/>
          <w:sz w:val="32"/>
          <w:szCs w:val="32"/>
          <w:highlight w:val="none"/>
          <w:lang w:val="en-US" w:eastAsia="zh-CN"/>
        </w:rPr>
        <w:t>作为</w:t>
      </w:r>
      <w:r>
        <w:rPr>
          <w:rFonts w:hint="eastAsia" w:eastAsia="仿宋_GB2312"/>
          <w:sz w:val="32"/>
          <w:szCs w:val="32"/>
        </w:rPr>
        <w:t>重点防渗区</w:t>
      </w:r>
      <w:r>
        <w:rPr>
          <w:rFonts w:hint="eastAsia" w:ascii="仿宋" w:hAnsi="仿宋" w:eastAsia="仿宋" w:cs="仿宋"/>
          <w:sz w:val="32"/>
          <w:szCs w:val="32"/>
          <w:highlight w:val="none"/>
          <w:lang w:bidi="ar"/>
        </w:rPr>
        <w:t>（Mb≥6.0m，K≤1.0×10</w:t>
      </w:r>
      <w:r>
        <w:rPr>
          <w:rFonts w:hint="eastAsia" w:ascii="仿宋" w:hAnsi="仿宋" w:eastAsia="仿宋" w:cs="仿宋"/>
          <w:sz w:val="32"/>
          <w:szCs w:val="32"/>
          <w:highlight w:val="none"/>
          <w:vertAlign w:val="superscript"/>
          <w:lang w:bidi="ar"/>
        </w:rPr>
        <w:t>-7</w:t>
      </w:r>
      <w:r>
        <w:rPr>
          <w:rFonts w:hint="eastAsia" w:ascii="仿宋" w:hAnsi="仿宋" w:eastAsia="仿宋" w:cs="仿宋"/>
          <w:sz w:val="32"/>
          <w:szCs w:val="32"/>
          <w:highlight w:val="none"/>
          <w:lang w:bidi="ar"/>
        </w:rPr>
        <w:t>cm/s）</w:t>
      </w:r>
      <w:r>
        <w:rPr>
          <w:rFonts w:hint="eastAsia" w:eastAsia="仿宋_GB2312"/>
          <w:sz w:val="32"/>
          <w:szCs w:val="32"/>
          <w:lang w:eastAsia="zh-CN"/>
        </w:rPr>
        <w:t>；</w:t>
      </w:r>
      <w:r>
        <w:rPr>
          <w:rFonts w:hint="eastAsia" w:ascii="仿宋" w:hAnsi="仿宋" w:eastAsia="仿宋"/>
          <w:bCs/>
          <w:sz w:val="32"/>
          <w:szCs w:val="32"/>
        </w:rPr>
        <w:t>通道</w:t>
      </w:r>
      <w:r>
        <w:rPr>
          <w:rFonts w:hint="eastAsia" w:eastAsia="仿宋_GB2312"/>
          <w:sz w:val="32"/>
          <w:szCs w:val="32"/>
          <w:lang w:val="en-US" w:eastAsia="zh-CN"/>
        </w:rPr>
        <w:t>作为</w:t>
      </w:r>
      <w:r>
        <w:rPr>
          <w:rFonts w:hint="eastAsia" w:eastAsia="仿宋_GB2312"/>
          <w:sz w:val="32"/>
          <w:szCs w:val="32"/>
        </w:rPr>
        <w:t>一般防渗区</w:t>
      </w:r>
      <w:r>
        <w:rPr>
          <w:rFonts w:hint="eastAsia" w:ascii="仿宋" w:hAnsi="仿宋" w:eastAsia="仿宋" w:cs="仿宋"/>
          <w:sz w:val="32"/>
          <w:szCs w:val="32"/>
          <w:highlight w:val="none"/>
          <w:lang w:bidi="ar"/>
        </w:rPr>
        <w:t>（Mb≥</w:t>
      </w:r>
      <w:r>
        <w:rPr>
          <w:rFonts w:hint="eastAsia" w:ascii="仿宋" w:hAnsi="仿宋" w:eastAsia="仿宋" w:cs="仿宋"/>
          <w:sz w:val="32"/>
          <w:szCs w:val="32"/>
          <w:highlight w:val="none"/>
          <w:lang w:val="en-US" w:eastAsia="zh-CN" w:bidi="ar"/>
        </w:rPr>
        <w:t>1.5</w:t>
      </w:r>
      <w:r>
        <w:rPr>
          <w:rFonts w:hint="eastAsia" w:ascii="仿宋" w:hAnsi="仿宋" w:eastAsia="仿宋" w:cs="仿宋"/>
          <w:sz w:val="32"/>
          <w:szCs w:val="32"/>
          <w:highlight w:val="none"/>
          <w:lang w:bidi="ar"/>
        </w:rPr>
        <w:t>m，K≤1.0×10</w:t>
      </w:r>
      <w:r>
        <w:rPr>
          <w:rFonts w:hint="eastAsia" w:ascii="仿宋" w:hAnsi="仿宋" w:eastAsia="仿宋" w:cs="仿宋"/>
          <w:sz w:val="32"/>
          <w:szCs w:val="32"/>
          <w:highlight w:val="none"/>
          <w:vertAlign w:val="superscript"/>
          <w:lang w:bidi="ar"/>
        </w:rPr>
        <w:t>-7</w:t>
      </w:r>
      <w:r>
        <w:rPr>
          <w:rFonts w:hint="eastAsia" w:ascii="仿宋" w:hAnsi="仿宋" w:eastAsia="仿宋" w:cs="仿宋"/>
          <w:sz w:val="32"/>
          <w:szCs w:val="32"/>
          <w:highlight w:val="none"/>
          <w:lang w:bidi="ar"/>
        </w:rPr>
        <w:t>cm/s）</w:t>
      </w:r>
      <w:r>
        <w:rPr>
          <w:rFonts w:hint="eastAsia" w:eastAsia="仿宋_GB2312"/>
          <w:sz w:val="32"/>
          <w:szCs w:val="32"/>
        </w:rPr>
        <w:t>。</w:t>
      </w:r>
    </w:p>
    <w:p>
      <w:pPr>
        <w:pStyle w:val="38"/>
        <w:keepNext w:val="0"/>
        <w:keepLines w:val="0"/>
        <w:pageBreakBefore w:val="0"/>
        <w:widowControl w:val="0"/>
        <w:kinsoku/>
        <w:wordWrap/>
        <w:overflowPunct/>
        <w:topLinePunct w:val="0"/>
        <w:autoSpaceDE/>
        <w:autoSpaceDN/>
        <w:bidi w:val="0"/>
        <w:adjustRightInd/>
        <w:spacing w:before="157" w:beforeLines="50" w:line="600" w:lineRule="exact"/>
        <w:ind w:left="0" w:leftChars="0" w:right="0" w:rightChars="0" w:firstLine="480"/>
        <w:textAlignment w:val="auto"/>
        <w:rPr>
          <w:rFonts w:hint="eastAsia" w:ascii="仿宋" w:hAnsi="仿宋" w:eastAsia="仿宋"/>
          <w:bCs/>
          <w:sz w:val="32"/>
          <w:szCs w:val="32"/>
        </w:rPr>
      </w:pPr>
      <w:r>
        <w:rPr>
          <w:rFonts w:hint="eastAsia" w:ascii="楷体" w:hAnsi="楷体" w:eastAsia="楷体" w:cs="楷体"/>
          <w:b w:val="0"/>
          <w:bCs/>
          <w:iCs w:val="0"/>
          <w:snapToGrid w:val="0"/>
          <w:spacing w:val="10"/>
          <w:sz w:val="32"/>
          <w:szCs w:val="32"/>
          <w:lang w:val="en-US" w:eastAsia="zh-CN" w:bidi="ar-SA"/>
        </w:rPr>
        <w:t>（七）严格落实环境风险防控措施。</w:t>
      </w:r>
      <w:r>
        <w:rPr>
          <w:rFonts w:hint="eastAsia" w:ascii="仿宋" w:hAnsi="仿宋" w:eastAsia="仿宋"/>
          <w:bCs/>
          <w:sz w:val="32"/>
          <w:szCs w:val="32"/>
        </w:rPr>
        <w:t>项目罐区周围设置防火堤（围堰）、车间内设置消防砂箱及手持式干粉灭火器、手持式二氧化碳灭火器；危废暂存间按要求配套建设泄漏液体收集装置和应急防护措施，事故水排入</w:t>
      </w:r>
      <w:r>
        <w:rPr>
          <w:rFonts w:hint="eastAsia" w:ascii="仿宋" w:hAnsi="仿宋" w:eastAsia="仿宋"/>
          <w:bCs/>
          <w:sz w:val="32"/>
          <w:szCs w:val="32"/>
          <w:lang w:val="en-US" w:eastAsia="zh-CN"/>
        </w:rPr>
        <w:t>不小于</w:t>
      </w:r>
      <w:r>
        <w:rPr>
          <w:rFonts w:hint="eastAsia" w:ascii="仿宋" w:hAnsi="仿宋" w:eastAsia="仿宋"/>
          <w:bCs/>
          <w:sz w:val="32"/>
          <w:szCs w:val="32"/>
        </w:rPr>
        <w:t>58m</w:t>
      </w:r>
      <w:r>
        <w:rPr>
          <w:rFonts w:hint="eastAsia" w:ascii="仿宋" w:hAnsi="仿宋" w:eastAsia="仿宋"/>
          <w:bCs/>
          <w:sz w:val="32"/>
          <w:szCs w:val="32"/>
          <w:vertAlign w:val="superscript"/>
        </w:rPr>
        <w:t>3</w:t>
      </w:r>
      <w:r>
        <w:rPr>
          <w:rFonts w:hint="eastAsia" w:ascii="仿宋" w:hAnsi="仿宋" w:eastAsia="仿宋"/>
          <w:bCs/>
          <w:sz w:val="32"/>
          <w:szCs w:val="32"/>
        </w:rPr>
        <w:t>事故池，</w:t>
      </w:r>
      <w:r>
        <w:rPr>
          <w:rFonts w:hint="eastAsia" w:ascii="仿宋" w:hAnsi="仿宋" w:eastAsia="仿宋" w:cs="仿宋"/>
          <w:kern w:val="2"/>
          <w:sz w:val="32"/>
          <w:szCs w:val="32"/>
          <w:highlight w:val="none"/>
          <w:lang w:val="en-US" w:eastAsia="zh-CN" w:bidi="ar"/>
        </w:rPr>
        <w:t>制定相应的应急预案并定期开展应急演练。</w:t>
      </w:r>
    </w:p>
    <w:p>
      <w:pPr>
        <w:keepNext w:val="0"/>
        <w:keepLines w:val="0"/>
        <w:pageBreakBefore w:val="0"/>
        <w:kinsoku/>
        <w:wordWrap/>
        <w:overflowPunct/>
        <w:topLinePunct w:val="0"/>
        <w:autoSpaceDE w:val="0"/>
        <w:autoSpaceDN w:val="0"/>
        <w:bidi w:val="0"/>
        <w:adjustRightInd w:val="0"/>
        <w:spacing w:before="120" w:beforeLines="50" w:line="600" w:lineRule="exact"/>
        <w:ind w:left="0" w:leftChars="0" w:firstLine="640" w:firstLineChars="200"/>
        <w:jc w:val="both"/>
        <w:textAlignment w:val="auto"/>
        <w:rPr>
          <w:rFonts w:hint="default" w:ascii="仿宋" w:hAnsi="仿宋" w:eastAsia="仿宋" w:cs="仿宋"/>
          <w:sz w:val="32"/>
          <w:szCs w:val="32"/>
          <w:highlight w:val="none"/>
          <w:lang w:val="en-US" w:eastAsia="zh-CN"/>
        </w:rPr>
      </w:pPr>
      <w:r>
        <w:rPr>
          <w:rFonts w:hint="eastAsia" w:ascii="黑体" w:hAnsi="黑体" w:eastAsia="黑体" w:cs="仿宋"/>
          <w:bCs w:val="0"/>
          <w:snapToGrid/>
          <w:spacing w:val="0"/>
          <w:kern w:val="2"/>
          <w:sz w:val="32"/>
          <w:szCs w:val="32"/>
          <w:lang w:val="en-US" w:eastAsia="zh-CN"/>
        </w:rPr>
        <w:t>三</w:t>
      </w:r>
      <w:r>
        <w:rPr>
          <w:rFonts w:hint="eastAsia" w:ascii="黑体" w:hAnsi="黑体" w:eastAsia="黑体" w:cs="仿宋"/>
          <w:bCs w:val="0"/>
          <w:snapToGrid/>
          <w:spacing w:val="0"/>
          <w:kern w:val="2"/>
          <w:sz w:val="32"/>
          <w:szCs w:val="32"/>
        </w:rPr>
        <w:t>、</w:t>
      </w:r>
      <w:r>
        <w:rPr>
          <w:rFonts w:hint="eastAsia" w:ascii="仿宋" w:hAnsi="仿宋" w:eastAsia="仿宋" w:cs="仿宋"/>
          <w:bCs w:val="0"/>
          <w:kern w:val="2"/>
          <w:sz w:val="32"/>
          <w:szCs w:val="32"/>
          <w:highlight w:val="none"/>
        </w:rPr>
        <w:t>严格执行排污许可证制度</w:t>
      </w:r>
      <w:r>
        <w:rPr>
          <w:rFonts w:hint="eastAsia" w:ascii="仿宋" w:hAnsi="仿宋" w:eastAsia="仿宋" w:cs="仿宋"/>
          <w:bCs w:val="0"/>
          <w:kern w:val="2"/>
          <w:sz w:val="32"/>
          <w:szCs w:val="32"/>
          <w:highlight w:val="none"/>
          <w:lang w:val="en-US" w:eastAsia="zh-CN"/>
        </w:rPr>
        <w:t>和总量控制制度</w:t>
      </w:r>
      <w:r>
        <w:rPr>
          <w:rFonts w:hint="eastAsia" w:ascii="仿宋" w:hAnsi="仿宋" w:eastAsia="仿宋"/>
          <w:sz w:val="32"/>
          <w:szCs w:val="32"/>
          <w:highlight w:val="none"/>
          <w:lang w:val="zh-CN"/>
        </w:rPr>
        <w:t>。</w:t>
      </w:r>
      <w:r>
        <w:rPr>
          <w:rFonts w:hint="eastAsia" w:ascii="仿宋" w:hAnsi="仿宋" w:eastAsia="仿宋" w:cs="仿宋"/>
          <w:bCs w:val="0"/>
          <w:kern w:val="2"/>
          <w:sz w:val="32"/>
          <w:szCs w:val="32"/>
          <w:highlight w:val="none"/>
        </w:rPr>
        <w:t>企业正式投产前应按《排污许可管理条例》申请排污许可证。运行期间应严格落实排污许可证相关要求</w:t>
      </w:r>
      <w:r>
        <w:rPr>
          <w:rFonts w:hint="eastAsia" w:ascii="仿宋" w:hAnsi="仿宋" w:eastAsia="仿宋" w:cs="仿宋"/>
          <w:bCs w:val="0"/>
          <w:kern w:val="2"/>
          <w:sz w:val="32"/>
          <w:szCs w:val="32"/>
          <w:highlight w:val="none"/>
          <w:lang w:eastAsia="zh-CN"/>
        </w:rPr>
        <w:t>，</w:t>
      </w:r>
      <w:r>
        <w:rPr>
          <w:rFonts w:hint="eastAsia" w:ascii="仿宋" w:hAnsi="仿宋" w:eastAsia="仿宋" w:cs="仿宋"/>
          <w:bCs w:val="0"/>
          <w:kern w:val="2"/>
          <w:sz w:val="32"/>
          <w:szCs w:val="32"/>
          <w:highlight w:val="none"/>
          <w:lang w:val="en-US" w:eastAsia="zh-CN"/>
        </w:rPr>
        <w:t>严格执行总量确认书认定的总量控制指标。</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ascii="仿宋" w:hAnsi="仿宋" w:eastAsia="仿宋"/>
          <w:sz w:val="32"/>
          <w:szCs w:val="32"/>
          <w:highlight w:val="none"/>
        </w:rPr>
      </w:pPr>
      <w:r>
        <w:rPr>
          <w:rFonts w:hint="eastAsia" w:ascii="黑体" w:hAnsi="黑体" w:eastAsia="黑体" w:cs="仿宋"/>
          <w:bCs w:val="0"/>
          <w:snapToGrid/>
          <w:spacing w:val="0"/>
          <w:kern w:val="2"/>
          <w:sz w:val="32"/>
          <w:szCs w:val="32"/>
          <w:lang w:val="en-US" w:eastAsia="zh-CN"/>
        </w:rPr>
        <w:t>四、</w:t>
      </w:r>
      <w:r>
        <w:rPr>
          <w:rFonts w:hint="eastAsia" w:ascii="仿宋" w:hAnsi="仿宋" w:eastAsia="仿宋"/>
          <w:sz w:val="32"/>
          <w:szCs w:val="32"/>
        </w:rPr>
        <w:t>你公司应落实生态环境保护主体责任，建立企业内部生态环境管理机构和体系，明确人员、职责和制度，加强生态环境管理，推进各项生态环境保护措施落实。项目建设必须严格执行配套的环境保护设施与主体工程，同时设计、同时施工、同时投产使用的环境保护“三同时”制度，落实各项环境保护措施以及环境保护设施投资</w:t>
      </w:r>
      <w:r>
        <w:rPr>
          <w:rFonts w:hint="eastAsia" w:ascii="仿宋" w:hAnsi="仿宋" w:eastAsia="仿宋"/>
          <w:sz w:val="32"/>
          <w:szCs w:val="32"/>
          <w:lang w:eastAsia="zh-CN"/>
        </w:rPr>
        <w:t>，</w:t>
      </w:r>
      <w:r>
        <w:rPr>
          <w:rFonts w:hint="eastAsia" w:ascii="仿宋" w:hAnsi="仿宋" w:eastAsia="仿宋" w:cs="仿宋"/>
          <w:bCs w:val="0"/>
          <w:snapToGrid/>
          <w:spacing w:val="0"/>
          <w:kern w:val="2"/>
          <w:sz w:val="32"/>
          <w:szCs w:val="32"/>
          <w:lang w:val="en-US" w:eastAsia="zh-CN" w:bidi="ar-SA"/>
        </w:rPr>
        <w:t>项目竣工后，须按规定程序实施竣工环境保护验收，并向社会进行公示。</w:t>
      </w:r>
    </w:p>
    <w:p>
      <w:pPr>
        <w:pStyle w:val="34"/>
        <w:keepNext w:val="0"/>
        <w:keepLines w:val="0"/>
        <w:pageBreakBefore w:val="0"/>
        <w:kinsoku/>
        <w:wordWrap/>
        <w:overflowPunct/>
        <w:topLinePunct w:val="0"/>
        <w:bidi w:val="0"/>
        <w:spacing w:line="600" w:lineRule="exact"/>
        <w:ind w:left="0" w:leftChars="0" w:firstLine="640"/>
        <w:jc w:val="both"/>
        <w:textAlignment w:val="auto"/>
        <w:rPr>
          <w:rFonts w:ascii="仿宋" w:hAnsi="仿宋" w:eastAsia="仿宋"/>
          <w:spacing w:val="0"/>
          <w:kern w:val="2"/>
          <w:sz w:val="32"/>
          <w:szCs w:val="32"/>
          <w:lang w:val="en-US"/>
        </w:rPr>
      </w:pPr>
      <w:r>
        <w:rPr>
          <w:rFonts w:hint="eastAsia" w:ascii="黑体" w:hAnsi="黑体" w:eastAsia="黑体" w:cs="仿宋"/>
          <w:bCs w:val="0"/>
          <w:snapToGrid/>
          <w:spacing w:val="0"/>
          <w:kern w:val="2"/>
          <w:sz w:val="32"/>
          <w:szCs w:val="32"/>
          <w:lang w:val="en-US" w:eastAsia="zh-CN" w:bidi="ar-SA"/>
        </w:rPr>
        <w:t>五、</w:t>
      </w:r>
      <w:r>
        <w:rPr>
          <w:rFonts w:hint="eastAsia" w:ascii="仿宋" w:hAnsi="仿宋" w:eastAsia="仿宋"/>
          <w:spacing w:val="0"/>
          <w:kern w:val="2"/>
          <w:sz w:val="32"/>
          <w:szCs w:val="32"/>
          <w:lang w:val="en-US"/>
        </w:rPr>
        <w:t>环境影响报告表批准后，该项目的性质、规模、地点、生产工艺或者污染防治措施发生重大变动，且可能导致环境影响显著变化（特别是不利环境影响加重），应当重新报批该项目环境影响文件。</w:t>
      </w:r>
    </w:p>
    <w:p>
      <w:pPr>
        <w:pStyle w:val="34"/>
        <w:keepNext w:val="0"/>
        <w:keepLines w:val="0"/>
        <w:pageBreakBefore w:val="0"/>
        <w:kinsoku/>
        <w:wordWrap/>
        <w:overflowPunct/>
        <w:topLinePunct w:val="0"/>
        <w:bidi w:val="0"/>
        <w:spacing w:line="600" w:lineRule="exact"/>
        <w:ind w:left="0" w:leftChars="0" w:firstLine="640"/>
        <w:jc w:val="both"/>
        <w:textAlignment w:val="auto"/>
        <w:rPr>
          <w:rFonts w:hint="eastAsia" w:ascii="仿宋" w:hAnsi="仿宋" w:eastAsia="仿宋"/>
          <w:spacing w:val="0"/>
          <w:kern w:val="2"/>
          <w:sz w:val="32"/>
          <w:szCs w:val="32"/>
          <w:lang w:val="en-US"/>
        </w:rPr>
      </w:pPr>
      <w:r>
        <w:rPr>
          <w:rFonts w:hint="eastAsia" w:ascii="黑体" w:hAnsi="黑体" w:eastAsia="黑体" w:cs="仿宋"/>
          <w:bCs w:val="0"/>
          <w:snapToGrid/>
          <w:spacing w:val="0"/>
          <w:kern w:val="2"/>
          <w:sz w:val="32"/>
          <w:szCs w:val="32"/>
          <w:lang w:val="en-US" w:eastAsia="zh-CN" w:bidi="ar-SA"/>
        </w:rPr>
        <w:t>六、</w:t>
      </w:r>
      <w:r>
        <w:rPr>
          <w:rFonts w:hint="eastAsia" w:ascii="仿宋" w:hAnsi="仿宋" w:eastAsia="仿宋"/>
          <w:spacing w:val="0"/>
          <w:kern w:val="2"/>
          <w:sz w:val="32"/>
          <w:szCs w:val="32"/>
          <w:lang w:val="en-US"/>
        </w:rPr>
        <w:t>项目日常环境监督检查工作由本溪市生态环境保护综合行政执法队负责。</w:t>
      </w:r>
    </w:p>
    <w:p>
      <w:pPr>
        <w:keepNext w:val="0"/>
        <w:keepLines w:val="0"/>
        <w:pageBreakBefore w:val="0"/>
        <w:kinsoku/>
        <w:wordWrap/>
        <w:overflowPunct/>
        <w:topLinePunct w:val="0"/>
        <w:bidi w:val="0"/>
        <w:spacing w:line="600" w:lineRule="exact"/>
        <w:textAlignment w:val="auto"/>
        <w:rPr>
          <w:rFonts w:hint="eastAsia"/>
          <w:lang w:val="en-US"/>
        </w:rPr>
      </w:pPr>
    </w:p>
    <w:p>
      <w:pPr>
        <w:pStyle w:val="2"/>
        <w:rPr>
          <w:rFonts w:hint="eastAsia"/>
          <w:lang w:val="en-US"/>
        </w:rPr>
      </w:pPr>
    </w:p>
    <w:p>
      <w:pPr>
        <w:pStyle w:val="2"/>
        <w:rPr>
          <w:rFonts w:hint="eastAsia"/>
          <w:lang w:val="en-US"/>
        </w:rPr>
      </w:pPr>
    </w:p>
    <w:p>
      <w:pPr>
        <w:keepNext w:val="0"/>
        <w:keepLines w:val="0"/>
        <w:pageBreakBefore w:val="0"/>
        <w:kinsoku/>
        <w:wordWrap/>
        <w:overflowPunct/>
        <w:topLinePunct w:val="0"/>
        <w:bidi w:val="0"/>
        <w:spacing w:line="600" w:lineRule="exact"/>
        <w:ind w:left="0" w:leftChars="0" w:firstLine="2397" w:firstLineChars="705"/>
        <w:jc w:val="center"/>
        <w:textAlignment w:val="auto"/>
        <w:rPr>
          <w:rFonts w:eastAsia="仿宋"/>
          <w:sz w:val="32"/>
          <w:szCs w:val="32"/>
        </w:rPr>
      </w:pPr>
      <w:r>
        <w:rPr>
          <w:rFonts w:hint="eastAsia" w:eastAsia="仿宋"/>
          <w:sz w:val="32"/>
          <w:szCs w:val="32"/>
        </w:rPr>
        <w:t>本溪市生态环境局</w:t>
      </w:r>
    </w:p>
    <w:p>
      <w:pPr>
        <w:keepNext w:val="0"/>
        <w:keepLines w:val="0"/>
        <w:pageBreakBefore w:val="0"/>
        <w:kinsoku/>
        <w:wordWrap/>
        <w:overflowPunct/>
        <w:topLinePunct w:val="0"/>
        <w:bidi w:val="0"/>
        <w:spacing w:line="600" w:lineRule="exact"/>
        <w:ind w:left="0" w:leftChars="0" w:firstLine="2397" w:firstLineChars="705"/>
        <w:jc w:val="center"/>
        <w:textAlignment w:val="auto"/>
        <w:rPr>
          <w:rFonts w:eastAsia="仿宋"/>
          <w:sz w:val="32"/>
          <w:szCs w:val="32"/>
        </w:rPr>
      </w:pPr>
      <w:r>
        <w:rPr>
          <w:rFonts w:eastAsia="仿宋"/>
          <w:sz w:val="32"/>
          <w:szCs w:val="32"/>
        </w:rPr>
        <w:t>202</w:t>
      </w:r>
      <w:r>
        <w:rPr>
          <w:rFonts w:hint="eastAsia" w:eastAsia="仿宋"/>
          <w:sz w:val="32"/>
          <w:szCs w:val="32"/>
        </w:rPr>
        <w:t>2</w:t>
      </w:r>
      <w:r>
        <w:rPr>
          <w:rFonts w:eastAsia="仿宋"/>
          <w:sz w:val="32"/>
          <w:szCs w:val="32"/>
        </w:rPr>
        <w:t>年</w:t>
      </w:r>
      <w:r>
        <w:rPr>
          <w:rFonts w:hint="eastAsia" w:eastAsia="仿宋"/>
          <w:sz w:val="32"/>
          <w:szCs w:val="32"/>
          <w:lang w:val="en-US" w:eastAsia="zh-CN"/>
        </w:rPr>
        <w:t>1</w:t>
      </w:r>
      <w:r>
        <w:rPr>
          <w:rFonts w:eastAsia="仿宋"/>
          <w:sz w:val="32"/>
          <w:szCs w:val="32"/>
        </w:rPr>
        <w:t>月</w:t>
      </w:r>
      <w:r>
        <w:rPr>
          <w:rFonts w:hint="eastAsia" w:eastAsia="仿宋"/>
          <w:sz w:val="32"/>
          <w:szCs w:val="32"/>
          <w:lang w:val="en-US" w:eastAsia="zh-CN"/>
        </w:rPr>
        <w:t>xx</w:t>
      </w:r>
      <w:r>
        <w:rPr>
          <w:rFonts w:eastAsia="仿宋"/>
          <w:sz w:val="32"/>
          <w:szCs w:val="32"/>
        </w:rPr>
        <w:t>日</w:t>
      </w:r>
    </w:p>
    <w:p>
      <w:pPr>
        <w:keepNext w:val="0"/>
        <w:keepLines w:val="0"/>
        <w:pageBreakBefore w:val="0"/>
        <w:kinsoku/>
        <w:wordWrap/>
        <w:overflowPunct/>
        <w:topLinePunct w:val="0"/>
        <w:bidi w:val="0"/>
        <w:snapToGrid w:val="0"/>
        <w:spacing w:line="600" w:lineRule="exact"/>
        <w:ind w:left="0" w:leftChars="0" w:firstLine="68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val="0"/>
        <w:spacing w:line="600" w:lineRule="exact"/>
        <w:ind w:left="0" w:leftChars="0" w:firstLine="68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snapToGrid w:val="0"/>
        <w:spacing w:line="600" w:lineRule="exact"/>
        <w:ind w:left="0" w:leftChars="0" w:firstLine="680" w:firstLineChars="200"/>
        <w:textAlignment w:val="auto"/>
        <w:rPr>
          <w:rFonts w:hint="eastAsia" w:ascii="仿宋" w:hAnsi="仿宋" w:eastAsia="仿宋" w:cs="仿宋"/>
          <w:sz w:val="32"/>
          <w:szCs w:val="32"/>
        </w:rPr>
      </w:pPr>
      <w:r>
        <w:rPr>
          <w:rFonts w:hint="eastAsia" w:ascii="仿宋" w:hAnsi="仿宋" w:eastAsia="仿宋" w:cs="仿宋"/>
          <w:sz w:val="32"/>
          <w:szCs w:val="32"/>
        </w:rPr>
        <w:t>（此件公开发布）</w:t>
      </w:r>
    </w:p>
    <w:p>
      <w:pPr>
        <w:pStyle w:val="2"/>
        <w:keepNext w:val="0"/>
        <w:keepLines w:val="0"/>
        <w:pageBreakBefore w:val="0"/>
        <w:kinsoku/>
        <w:wordWrap/>
        <w:overflowPunct/>
        <w:topLinePunct w:val="0"/>
        <w:bidi w:val="0"/>
        <w:spacing w:line="600" w:lineRule="exact"/>
        <w:ind w:left="0"/>
        <w:textAlignment w:val="auto"/>
      </w:pPr>
    </w:p>
    <w:p>
      <w:pPr>
        <w:pStyle w:val="2"/>
        <w:keepNext w:val="0"/>
        <w:keepLines w:val="0"/>
        <w:pageBreakBefore w:val="0"/>
        <w:kinsoku/>
        <w:wordWrap/>
        <w:overflowPunct/>
        <w:topLinePunct w:val="0"/>
        <w:bidi w:val="0"/>
        <w:spacing w:line="600" w:lineRule="exact"/>
        <w:ind w:left="0"/>
        <w:textAlignment w:val="auto"/>
      </w:pPr>
    </w:p>
    <w:p>
      <w:pPr>
        <w:pStyle w:val="2"/>
        <w:keepNext w:val="0"/>
        <w:keepLines w:val="0"/>
        <w:pageBreakBefore w:val="0"/>
        <w:kinsoku/>
        <w:wordWrap/>
        <w:overflowPunct/>
        <w:topLinePunct w:val="0"/>
        <w:bidi w:val="0"/>
        <w:spacing w:line="600" w:lineRule="exact"/>
        <w:ind w:left="0"/>
        <w:textAlignment w:val="auto"/>
      </w:pPr>
    </w:p>
    <w:p>
      <w:pPr>
        <w:keepNext w:val="0"/>
        <w:keepLines w:val="0"/>
        <w:pageBreakBefore w:val="0"/>
        <w:kinsoku/>
        <w:wordWrap/>
        <w:overflowPunct/>
        <w:topLinePunct w:val="0"/>
        <w:bidi w:val="0"/>
        <w:snapToGrid w:val="0"/>
        <w:spacing w:line="600" w:lineRule="exact"/>
        <w:ind w:left="1105" w:leftChars="0" w:hanging="1105" w:hangingChars="325"/>
        <w:textAlignment w:val="auto"/>
      </w:pPr>
      <w:r>
        <w:rPr>
          <w:rFonts w:hint="eastAsia" w:ascii="仿宋" w:hAnsi="仿宋" w:eastAsia="仿宋" w:cs="仿宋"/>
          <w:sz w:val="32"/>
          <w:szCs w:val="32"/>
        </w:rPr>
        <w:t>抄送：本溪市生态环境保护综合执法队、</w:t>
      </w:r>
      <w:r>
        <w:rPr>
          <w:rFonts w:hint="eastAsia" w:ascii="仿宋" w:hAnsi="仿宋" w:eastAsia="仿宋" w:cs="仿宋"/>
          <w:sz w:val="32"/>
          <w:szCs w:val="32"/>
          <w:lang w:val="en-US" w:eastAsia="zh-CN"/>
        </w:rPr>
        <w:t>本溪市生态环境服务中心、</w:t>
      </w:r>
      <w:r>
        <w:rPr>
          <w:rFonts w:hint="eastAsia" w:ascii="仿宋" w:hAnsi="仿宋" w:eastAsia="仿宋"/>
          <w:bCs/>
          <w:snapToGrid w:val="0"/>
          <w:spacing w:val="10"/>
          <w:sz w:val="32"/>
          <w:szCs w:val="32"/>
        </w:rPr>
        <w:t>本溪山盛环境科技有限公司</w:t>
      </w:r>
    </w:p>
    <w:sectPr>
      <w:footerReference r:id="rId4" w:type="first"/>
      <w:footerReference r:id="rId3" w:type="default"/>
      <w:pgSz w:w="11907" w:h="16840"/>
      <w:pgMar w:top="1440" w:right="1797" w:bottom="1600" w:left="1797" w:header="851" w:footer="1134"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73577"/>
    <w:multiLevelType w:val="singleLevel"/>
    <w:tmpl w:val="23673577"/>
    <w:lvl w:ilvl="0" w:tentative="0">
      <w:start w:val="1"/>
      <w:numFmt w:val="decimal"/>
      <w:pStyle w:val="24"/>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YzZhOTQ3NTdiYmUxNDdjMjkxZGQ2OTUwYjg4NjIifQ=="/>
  </w:docVars>
  <w:rsids>
    <w:rsidRoot w:val="1796435B"/>
    <w:rsid w:val="0005596D"/>
    <w:rsid w:val="000F014B"/>
    <w:rsid w:val="00100A44"/>
    <w:rsid w:val="00121F33"/>
    <w:rsid w:val="00122184"/>
    <w:rsid w:val="0013671F"/>
    <w:rsid w:val="00141B63"/>
    <w:rsid w:val="00143087"/>
    <w:rsid w:val="00152DB0"/>
    <w:rsid w:val="00235743"/>
    <w:rsid w:val="0025557F"/>
    <w:rsid w:val="002721FC"/>
    <w:rsid w:val="002D24CC"/>
    <w:rsid w:val="00302E94"/>
    <w:rsid w:val="0039054A"/>
    <w:rsid w:val="00434940"/>
    <w:rsid w:val="00490130"/>
    <w:rsid w:val="004A07F0"/>
    <w:rsid w:val="00536F00"/>
    <w:rsid w:val="005C2A7D"/>
    <w:rsid w:val="005C4520"/>
    <w:rsid w:val="00693428"/>
    <w:rsid w:val="006B153E"/>
    <w:rsid w:val="006E6370"/>
    <w:rsid w:val="008629CF"/>
    <w:rsid w:val="008C7379"/>
    <w:rsid w:val="008D5548"/>
    <w:rsid w:val="00932262"/>
    <w:rsid w:val="00972023"/>
    <w:rsid w:val="009F517A"/>
    <w:rsid w:val="00A00642"/>
    <w:rsid w:val="00B513B6"/>
    <w:rsid w:val="00B5544D"/>
    <w:rsid w:val="00B82B10"/>
    <w:rsid w:val="00BF399E"/>
    <w:rsid w:val="00C212FE"/>
    <w:rsid w:val="00C27F5D"/>
    <w:rsid w:val="00C65306"/>
    <w:rsid w:val="00CE1454"/>
    <w:rsid w:val="00D04025"/>
    <w:rsid w:val="00D10361"/>
    <w:rsid w:val="00D21309"/>
    <w:rsid w:val="00E14769"/>
    <w:rsid w:val="00E72B00"/>
    <w:rsid w:val="00E919E4"/>
    <w:rsid w:val="00EA7BA7"/>
    <w:rsid w:val="00EB577A"/>
    <w:rsid w:val="00ED515A"/>
    <w:rsid w:val="00F77E0F"/>
    <w:rsid w:val="011F2AD1"/>
    <w:rsid w:val="01A43D0E"/>
    <w:rsid w:val="01E6357A"/>
    <w:rsid w:val="02112401"/>
    <w:rsid w:val="043C314F"/>
    <w:rsid w:val="04493F9D"/>
    <w:rsid w:val="059C2AE4"/>
    <w:rsid w:val="05D35D57"/>
    <w:rsid w:val="06213875"/>
    <w:rsid w:val="06A253C2"/>
    <w:rsid w:val="06FF24E5"/>
    <w:rsid w:val="0712113E"/>
    <w:rsid w:val="076063E3"/>
    <w:rsid w:val="0A051C47"/>
    <w:rsid w:val="0AA02A98"/>
    <w:rsid w:val="0B2D4701"/>
    <w:rsid w:val="0B362BA8"/>
    <w:rsid w:val="0B3D750A"/>
    <w:rsid w:val="0B8B050F"/>
    <w:rsid w:val="0BF73EE3"/>
    <w:rsid w:val="0C27068D"/>
    <w:rsid w:val="0C4F369E"/>
    <w:rsid w:val="0D3D0438"/>
    <w:rsid w:val="0DB32B45"/>
    <w:rsid w:val="0DBA0D48"/>
    <w:rsid w:val="0DE54E65"/>
    <w:rsid w:val="0E3A4191"/>
    <w:rsid w:val="0EA47C31"/>
    <w:rsid w:val="0EB31E80"/>
    <w:rsid w:val="0F36663F"/>
    <w:rsid w:val="100E5690"/>
    <w:rsid w:val="10820EE8"/>
    <w:rsid w:val="10FF2DAE"/>
    <w:rsid w:val="110E018F"/>
    <w:rsid w:val="11AA3C64"/>
    <w:rsid w:val="11D230A2"/>
    <w:rsid w:val="130C1D8B"/>
    <w:rsid w:val="13C20DC8"/>
    <w:rsid w:val="14411E19"/>
    <w:rsid w:val="14E6358D"/>
    <w:rsid w:val="15187863"/>
    <w:rsid w:val="15CE592F"/>
    <w:rsid w:val="16C4566D"/>
    <w:rsid w:val="1796435B"/>
    <w:rsid w:val="17AD0DA8"/>
    <w:rsid w:val="18027CCB"/>
    <w:rsid w:val="195B354A"/>
    <w:rsid w:val="1969015F"/>
    <w:rsid w:val="1A1E63CF"/>
    <w:rsid w:val="1B010714"/>
    <w:rsid w:val="1B610843"/>
    <w:rsid w:val="1CC46D5E"/>
    <w:rsid w:val="1D267DE3"/>
    <w:rsid w:val="1D5D0AB2"/>
    <w:rsid w:val="1E49784A"/>
    <w:rsid w:val="1E655C76"/>
    <w:rsid w:val="1F333E85"/>
    <w:rsid w:val="20277593"/>
    <w:rsid w:val="208817F7"/>
    <w:rsid w:val="208C493E"/>
    <w:rsid w:val="218634EE"/>
    <w:rsid w:val="21C66054"/>
    <w:rsid w:val="21F10161"/>
    <w:rsid w:val="22ED6098"/>
    <w:rsid w:val="233521D5"/>
    <w:rsid w:val="241B24EC"/>
    <w:rsid w:val="259B0AB8"/>
    <w:rsid w:val="268D456B"/>
    <w:rsid w:val="26DA3B12"/>
    <w:rsid w:val="27315544"/>
    <w:rsid w:val="28B46187"/>
    <w:rsid w:val="28D73287"/>
    <w:rsid w:val="28E55E8C"/>
    <w:rsid w:val="29257339"/>
    <w:rsid w:val="2B33034A"/>
    <w:rsid w:val="2DE61A6C"/>
    <w:rsid w:val="2E80471D"/>
    <w:rsid w:val="2F4E40CF"/>
    <w:rsid w:val="30EF5F72"/>
    <w:rsid w:val="30F72AF3"/>
    <w:rsid w:val="315E0057"/>
    <w:rsid w:val="32922F50"/>
    <w:rsid w:val="32EE0F67"/>
    <w:rsid w:val="331C222E"/>
    <w:rsid w:val="33FD3A7A"/>
    <w:rsid w:val="34037BE7"/>
    <w:rsid w:val="34B55956"/>
    <w:rsid w:val="34D75C2D"/>
    <w:rsid w:val="34DB6452"/>
    <w:rsid w:val="369E2C85"/>
    <w:rsid w:val="36E7716E"/>
    <w:rsid w:val="38141050"/>
    <w:rsid w:val="396957EB"/>
    <w:rsid w:val="397B0459"/>
    <w:rsid w:val="39E7009F"/>
    <w:rsid w:val="3B2075C0"/>
    <w:rsid w:val="3C025A83"/>
    <w:rsid w:val="3C162A79"/>
    <w:rsid w:val="3C213BF5"/>
    <w:rsid w:val="3CA713E4"/>
    <w:rsid w:val="3CD613E9"/>
    <w:rsid w:val="3DD6559A"/>
    <w:rsid w:val="3E2E36AF"/>
    <w:rsid w:val="3F9159FA"/>
    <w:rsid w:val="40153FD6"/>
    <w:rsid w:val="414D090F"/>
    <w:rsid w:val="416074D3"/>
    <w:rsid w:val="42EA4E42"/>
    <w:rsid w:val="456D21BF"/>
    <w:rsid w:val="459760B3"/>
    <w:rsid w:val="45D37EC6"/>
    <w:rsid w:val="46CE3131"/>
    <w:rsid w:val="46DD15C6"/>
    <w:rsid w:val="471F398D"/>
    <w:rsid w:val="474F4E44"/>
    <w:rsid w:val="482E528F"/>
    <w:rsid w:val="485711CD"/>
    <w:rsid w:val="49C550C7"/>
    <w:rsid w:val="4AA84DBD"/>
    <w:rsid w:val="4C31567B"/>
    <w:rsid w:val="4C8233D1"/>
    <w:rsid w:val="4C916512"/>
    <w:rsid w:val="4CE674D4"/>
    <w:rsid w:val="4CED0B60"/>
    <w:rsid w:val="4CF95FDB"/>
    <w:rsid w:val="4D907392"/>
    <w:rsid w:val="4E7A212F"/>
    <w:rsid w:val="4E847A59"/>
    <w:rsid w:val="4E9B1EB9"/>
    <w:rsid w:val="4EF867EB"/>
    <w:rsid w:val="5048474F"/>
    <w:rsid w:val="516205C2"/>
    <w:rsid w:val="517E6B14"/>
    <w:rsid w:val="52302EF2"/>
    <w:rsid w:val="54031DFA"/>
    <w:rsid w:val="54722B28"/>
    <w:rsid w:val="549C4E55"/>
    <w:rsid w:val="54A668B4"/>
    <w:rsid w:val="54A8633F"/>
    <w:rsid w:val="55632085"/>
    <w:rsid w:val="558B76CD"/>
    <w:rsid w:val="56597161"/>
    <w:rsid w:val="56912749"/>
    <w:rsid w:val="573E7E5F"/>
    <w:rsid w:val="574F7976"/>
    <w:rsid w:val="57A5314F"/>
    <w:rsid w:val="57E645FA"/>
    <w:rsid w:val="583144D3"/>
    <w:rsid w:val="58615BB3"/>
    <w:rsid w:val="5A160B46"/>
    <w:rsid w:val="5A7A4BCC"/>
    <w:rsid w:val="5A822A56"/>
    <w:rsid w:val="5AA65CD3"/>
    <w:rsid w:val="5B1E5BCC"/>
    <w:rsid w:val="5B4E18DD"/>
    <w:rsid w:val="5BAD274A"/>
    <w:rsid w:val="5C21646D"/>
    <w:rsid w:val="5C492F62"/>
    <w:rsid w:val="5CA02A22"/>
    <w:rsid w:val="5D5061F6"/>
    <w:rsid w:val="5D9953D6"/>
    <w:rsid w:val="5DE4494F"/>
    <w:rsid w:val="5F0D013B"/>
    <w:rsid w:val="6116474A"/>
    <w:rsid w:val="611D59EA"/>
    <w:rsid w:val="61616C24"/>
    <w:rsid w:val="61B551C2"/>
    <w:rsid w:val="61E5788F"/>
    <w:rsid w:val="62107C43"/>
    <w:rsid w:val="6241266D"/>
    <w:rsid w:val="62C007E7"/>
    <w:rsid w:val="64D14795"/>
    <w:rsid w:val="65DC4263"/>
    <w:rsid w:val="67A01CFD"/>
    <w:rsid w:val="67B7694A"/>
    <w:rsid w:val="691B69B6"/>
    <w:rsid w:val="69397A1B"/>
    <w:rsid w:val="6968585F"/>
    <w:rsid w:val="69A835A5"/>
    <w:rsid w:val="6B0A3E88"/>
    <w:rsid w:val="6C146412"/>
    <w:rsid w:val="6C1A6167"/>
    <w:rsid w:val="6D7B2E1B"/>
    <w:rsid w:val="6EEA0E9F"/>
    <w:rsid w:val="6EED6D2B"/>
    <w:rsid w:val="710234E6"/>
    <w:rsid w:val="71112545"/>
    <w:rsid w:val="71804EA4"/>
    <w:rsid w:val="718B55F7"/>
    <w:rsid w:val="734D6776"/>
    <w:rsid w:val="74126A28"/>
    <w:rsid w:val="74155FFE"/>
    <w:rsid w:val="7460720F"/>
    <w:rsid w:val="74D02E07"/>
    <w:rsid w:val="768C2AEF"/>
    <w:rsid w:val="76C41A5E"/>
    <w:rsid w:val="76EF03D6"/>
    <w:rsid w:val="77587BF9"/>
    <w:rsid w:val="77DE2925"/>
    <w:rsid w:val="78B23FFC"/>
    <w:rsid w:val="78D67AA0"/>
    <w:rsid w:val="79FA3244"/>
    <w:rsid w:val="7A4D63F4"/>
    <w:rsid w:val="7A592736"/>
    <w:rsid w:val="7A6608C9"/>
    <w:rsid w:val="7A706417"/>
    <w:rsid w:val="7A805F15"/>
    <w:rsid w:val="7AA55685"/>
    <w:rsid w:val="7AD95625"/>
    <w:rsid w:val="7C4A67DB"/>
    <w:rsid w:val="7D1363DA"/>
    <w:rsid w:val="7E863FE4"/>
    <w:rsid w:val="7EBA2597"/>
    <w:rsid w:val="7FBB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snapToGrid w:val="0"/>
      <w:spacing w:val="10"/>
      <w:sz w:val="28"/>
      <w:szCs w:val="24"/>
      <w:lang w:val="en-US" w:eastAsia="zh-CN" w:bidi="ar-SA"/>
    </w:rPr>
  </w:style>
  <w:style w:type="paragraph" w:styleId="7">
    <w:name w:val="heading 3"/>
    <w:basedOn w:val="1"/>
    <w:next w:val="1"/>
    <w:qFormat/>
    <w:uiPriority w:val="0"/>
    <w:pPr>
      <w:keepNext/>
      <w:keepLines/>
      <w:spacing w:before="260" w:after="260" w:line="416" w:lineRule="auto"/>
      <w:outlineLvl w:val="2"/>
    </w:pPr>
    <w:rPr>
      <w:b/>
      <w:sz w:val="32"/>
      <w:szCs w:val="32"/>
    </w:rPr>
  </w:style>
  <w:style w:type="paragraph" w:styleId="8">
    <w:name w:val="heading 4"/>
    <w:basedOn w:val="1"/>
    <w:next w:val="1"/>
    <w:qFormat/>
    <w:uiPriority w:val="0"/>
    <w:pPr>
      <w:keepNext/>
      <w:keepLines/>
      <w:tabs>
        <w:tab w:val="left" w:pos="0"/>
      </w:tabs>
      <w:outlineLvl w:val="3"/>
    </w:pPr>
    <w:rPr>
      <w:b/>
      <w:color w:val="000000"/>
      <w:kern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line="240" w:lineRule="auto"/>
      <w:ind w:firstLine="561"/>
    </w:pPr>
    <w:rPr>
      <w:b/>
      <w:iCs/>
      <w:sz w:val="28"/>
      <w:szCs w:val="28"/>
    </w:rPr>
  </w:style>
  <w:style w:type="paragraph" w:styleId="3">
    <w:name w:val="Body Text Indent"/>
    <w:basedOn w:val="1"/>
    <w:next w:val="4"/>
    <w:qFormat/>
    <w:uiPriority w:val="0"/>
    <w:pPr>
      <w:adjustRightInd w:val="0"/>
      <w:snapToGrid w:val="0"/>
      <w:spacing w:line="300" w:lineRule="auto"/>
      <w:ind w:firstLine="680" w:firstLineChars="200"/>
    </w:pPr>
    <w:rPr>
      <w:rFonts w:ascii="仿宋_GB2312" w:hAnsi="宋体" w:eastAsia="仿宋_GB2312"/>
      <w:sz w:val="32"/>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spacing w:line="380" w:lineRule="exact"/>
      <w:ind w:firstLine="566" w:firstLineChars="202"/>
    </w:pPr>
    <w:rPr>
      <w:rFonts w:ascii="Times New Roman" w:hAnsi="Times New Roman" w:eastAsia="华文行楷" w:cs="Times New Roman"/>
      <w:sz w:val="28"/>
    </w:rPr>
  </w:style>
  <w:style w:type="paragraph" w:styleId="6">
    <w:name w:val="Normal Indent"/>
    <w:basedOn w:val="1"/>
    <w:next w:val="1"/>
    <w:qFormat/>
    <w:uiPriority w:val="0"/>
    <w:pPr>
      <w:ind w:firstLine="420" w:firstLineChars="200"/>
    </w:pPr>
    <w:rPr>
      <w:rFonts w:ascii="Arial" w:hAnsi="Arial" w:cs="Arial"/>
      <w:sz w:val="21"/>
    </w:rPr>
  </w:style>
  <w:style w:type="paragraph" w:styleId="9">
    <w:name w:val="annotation text"/>
    <w:basedOn w:val="1"/>
    <w:qFormat/>
    <w:uiPriority w:val="0"/>
    <w:pPr>
      <w:widowControl/>
      <w:jc w:val="left"/>
    </w:pPr>
    <w:rPr>
      <w:bCs w:val="0"/>
      <w:snapToGrid/>
      <w:spacing w:val="0"/>
      <w:kern w:val="2"/>
      <w:sz w:val="21"/>
    </w:rPr>
  </w:style>
  <w:style w:type="paragraph" w:styleId="10">
    <w:name w:val="Body Text"/>
    <w:basedOn w:val="1"/>
    <w:next w:val="11"/>
    <w:qFormat/>
    <w:uiPriority w:val="0"/>
    <w:pPr>
      <w:widowControl/>
      <w:snapToGrid w:val="0"/>
      <w:spacing w:before="60" w:after="160" w:line="259" w:lineRule="auto"/>
      <w:ind w:right="113"/>
    </w:pPr>
    <w:rPr>
      <w:sz w:val="18"/>
      <w:szCs w:val="20"/>
    </w:rPr>
  </w:style>
  <w:style w:type="paragraph" w:customStyle="1" w:styleId="1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12">
    <w:name w:val="Body Text Indent 2"/>
    <w:basedOn w:val="1"/>
    <w:next w:val="1"/>
    <w:qFormat/>
    <w:uiPriority w:val="0"/>
    <w:pPr>
      <w:spacing w:line="500" w:lineRule="exact"/>
      <w:ind w:left="72" w:hanging="72" w:hangingChars="30"/>
      <w:jc w:val="left"/>
    </w:pPr>
    <w:rPr>
      <w:rFonts w:ascii="宋体" w:hAnsi="宋体"/>
      <w:sz w:val="24"/>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Normal (Web)"/>
    <w:basedOn w:val="1"/>
    <w:qFormat/>
    <w:uiPriority w:val="0"/>
    <w:rPr>
      <w:sz w:val="24"/>
    </w:rPr>
  </w:style>
  <w:style w:type="paragraph" w:styleId="15">
    <w:name w:val="Body Text First Indent"/>
    <w:basedOn w:val="10"/>
    <w:qFormat/>
    <w:uiPriority w:val="0"/>
    <w:pPr>
      <w:overflowPunct w:val="0"/>
      <w:autoSpaceDE w:val="0"/>
      <w:autoSpaceDN w:val="0"/>
      <w:adjustRightInd w:val="0"/>
      <w:spacing w:line="360" w:lineRule="auto"/>
      <w:ind w:firstLine="539" w:firstLineChars="200"/>
      <w:textAlignment w:val="baseline"/>
    </w:pPr>
    <w:rPr>
      <w:sz w:val="28"/>
    </w:rPr>
  </w:style>
  <w:style w:type="character" w:styleId="18">
    <w:name w:val="Strong"/>
    <w:basedOn w:val="17"/>
    <w:qFormat/>
    <w:uiPriority w:val="0"/>
    <w:rPr>
      <w:b/>
    </w:rPr>
  </w:style>
  <w:style w:type="character" w:styleId="19">
    <w:name w:val="FollowedHyperlink"/>
    <w:basedOn w:val="17"/>
    <w:qFormat/>
    <w:uiPriority w:val="0"/>
    <w:rPr>
      <w:color w:val="800080"/>
      <w:u w:val="none"/>
    </w:rPr>
  </w:style>
  <w:style w:type="character" w:styleId="20">
    <w:name w:val="Emphasis"/>
    <w:basedOn w:val="17"/>
    <w:qFormat/>
    <w:uiPriority w:val="0"/>
    <w:rPr>
      <w:i/>
    </w:rPr>
  </w:style>
  <w:style w:type="character" w:styleId="21">
    <w:name w:val="Hyperlink"/>
    <w:basedOn w:val="17"/>
    <w:qFormat/>
    <w:uiPriority w:val="0"/>
    <w:rPr>
      <w:color w:val="0000FF"/>
      <w:u w:val="none"/>
    </w:rPr>
  </w:style>
  <w:style w:type="paragraph" w:customStyle="1" w:styleId="22">
    <w:name w:val="0正文"/>
    <w:basedOn w:val="3"/>
    <w:next w:val="4"/>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23">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4">
    <w:name w:val="报告正文"/>
    <w:basedOn w:val="1"/>
    <w:next w:val="1"/>
    <w:qFormat/>
    <w:uiPriority w:val="0"/>
    <w:pPr>
      <w:numPr>
        <w:ilvl w:val="0"/>
        <w:numId w:val="1"/>
      </w:numPr>
      <w:spacing w:line="360" w:lineRule="auto"/>
      <w:ind w:firstLine="720" w:firstLineChars="200"/>
    </w:pPr>
  </w:style>
  <w:style w:type="paragraph" w:customStyle="1" w:styleId="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fr4"/>
    <w:basedOn w:val="17"/>
    <w:qFormat/>
    <w:uiPriority w:val="0"/>
  </w:style>
  <w:style w:type="character" w:customStyle="1" w:styleId="27">
    <w:name w:val="last-child"/>
    <w:basedOn w:val="17"/>
    <w:qFormat/>
    <w:uiPriority w:val="0"/>
  </w:style>
  <w:style w:type="character" w:customStyle="1" w:styleId="28">
    <w:name w:val="before"/>
    <w:basedOn w:val="17"/>
    <w:qFormat/>
    <w:uiPriority w:val="0"/>
    <w:rPr>
      <w:rFonts w:hint="default" w:ascii="iconfont" w:hAnsi="iconfont" w:eastAsia="iconfont" w:cs="iconfont"/>
      <w:color w:val="CCCCCC"/>
    </w:rPr>
  </w:style>
  <w:style w:type="character" w:customStyle="1" w:styleId="29">
    <w:name w:val="before1"/>
    <w:basedOn w:val="17"/>
    <w:qFormat/>
    <w:uiPriority w:val="0"/>
    <w:rPr>
      <w:shd w:val="clear" w:color="auto" w:fill="39548B"/>
    </w:rPr>
  </w:style>
  <w:style w:type="character" w:customStyle="1" w:styleId="30">
    <w:name w:val="on"/>
    <w:basedOn w:val="17"/>
    <w:qFormat/>
    <w:uiPriority w:val="0"/>
  </w:style>
  <w:style w:type="paragraph" w:customStyle="1" w:styleId="31">
    <w:name w:val="p0"/>
    <w:basedOn w:val="1"/>
    <w:qFormat/>
    <w:uiPriority w:val="0"/>
    <w:pPr>
      <w:widowControl/>
    </w:pPr>
    <w:rPr>
      <w:szCs w:val="21"/>
    </w:rPr>
  </w:style>
  <w:style w:type="paragraph" w:customStyle="1" w:styleId="32">
    <w:name w:val="样式1"/>
    <w:basedOn w:val="33"/>
    <w:qFormat/>
    <w:uiPriority w:val="0"/>
    <w:pPr>
      <w:widowControl/>
      <w:spacing w:before="80" w:after="80" w:line="540" w:lineRule="exact"/>
      <w:ind w:left="-2"/>
    </w:pPr>
    <w:rPr>
      <w:rFonts w:ascii="Arial" w:hAnsi="Arial"/>
      <w:bCs/>
      <w:kern w:val="0"/>
      <w:szCs w:val="48"/>
    </w:rPr>
  </w:style>
  <w:style w:type="paragraph" w:customStyle="1" w:styleId="33">
    <w:name w:val="a-文本缩2"/>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34">
    <w:name w:val="【正文】"/>
    <w:basedOn w:val="1"/>
    <w:next w:val="1"/>
    <w:qFormat/>
    <w:uiPriority w:val="0"/>
    <w:pPr>
      <w:spacing w:line="360" w:lineRule="auto"/>
      <w:ind w:firstLine="200" w:firstLineChars="200"/>
    </w:pPr>
    <w:rPr>
      <w:spacing w:val="17"/>
      <w:sz w:val="24"/>
      <w:szCs w:val="20"/>
      <w:lang w:val="zh-CN"/>
    </w:rPr>
  </w:style>
  <w:style w:type="character" w:customStyle="1" w:styleId="35">
    <w:name w:val="fontstyle01"/>
    <w:basedOn w:val="17"/>
    <w:qFormat/>
    <w:uiPriority w:val="0"/>
    <w:rPr>
      <w:rFonts w:hint="eastAsia" w:ascii="宋体" w:hAnsi="宋体" w:eastAsia="宋体"/>
      <w:color w:val="000000"/>
      <w:sz w:val="24"/>
      <w:szCs w:val="24"/>
    </w:rPr>
  </w:style>
  <w:style w:type="paragraph" w:customStyle="1" w:styleId="36">
    <w:name w:val="3博创正文"/>
    <w:basedOn w:val="1"/>
    <w:unhideWhenUsed/>
    <w:qFormat/>
    <w:uiPriority w:val="0"/>
    <w:pPr>
      <w:adjustRightInd w:val="0"/>
      <w:snapToGrid w:val="0"/>
      <w:ind w:firstLine="720" w:firstLineChars="200"/>
      <w:jc w:val="both"/>
    </w:pPr>
    <w:rPr>
      <w:rFonts w:ascii="Times New Roman" w:hAnsi="Times New Roman"/>
    </w:rPr>
  </w:style>
  <w:style w:type="paragraph" w:customStyle="1" w:styleId="37">
    <w:name w:val="1博创正文"/>
    <w:basedOn w:val="1"/>
    <w:qFormat/>
    <w:uiPriority w:val="0"/>
    <w:pPr>
      <w:ind w:firstLine="720" w:firstLineChars="200"/>
    </w:pPr>
    <w:rPr>
      <w:rFonts w:ascii="Times New Roman" w:hAnsi="Times New Roman"/>
    </w:rPr>
  </w:style>
  <w:style w:type="paragraph" w:customStyle="1" w:styleId="38">
    <w:name w:val="c正文"/>
    <w:basedOn w:val="1"/>
    <w:qFormat/>
    <w:uiPriority w:val="0"/>
    <w:pPr>
      <w:spacing w:line="360" w:lineRule="auto"/>
      <w:ind w:firstLine="200" w:firstLineChars="200"/>
      <w:jc w:val="both"/>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1973</Words>
  <Characters>2146</Characters>
  <Lines>18</Lines>
  <Paragraphs>5</Paragraphs>
  <TotalTime>3</TotalTime>
  <ScaleCrop>false</ScaleCrop>
  <LinksUpToDate>false</LinksUpToDate>
  <CharactersWithSpaces>2147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2022-08-13T07:15:00Z</dcterms:created>
  <dc:creator>海霞</dc:creator>
  <cp:lastModifiedBy>离陌</cp:lastModifiedBy>
  <cp:lastPrinted>2022-11-22T02:54:00Z</cp:lastPrinted>
  <dcterms:modified xsi:type="dcterms:W3CDTF">2023-01-10T10:07:08Z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E1031534554C4384A14DECF9CAC6102D</vt:lpwstr>
  </property>
</Properties>
</file>