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6951A">
      <w:pPr>
        <w:pStyle w:val="2"/>
        <w:jc w:val="left"/>
        <w:rPr>
          <w:rFonts w:ascii="方正公文小标宋" w:eastAsia="方正公文小标宋"/>
          <w:b w:val="0"/>
          <w:sz w:val="84"/>
          <w:szCs w:val="84"/>
          <w:lang w:eastAsia="zh-CN"/>
        </w:rPr>
      </w:pPr>
    </w:p>
    <w:p w14:paraId="71BC46F0">
      <w:pPr>
        <w:pStyle w:val="2"/>
        <w:jc w:val="left"/>
        <w:rPr>
          <w:rFonts w:ascii="方正公文小标宋" w:eastAsia="方正公文小标宋"/>
          <w:b w:val="0"/>
          <w:sz w:val="84"/>
          <w:szCs w:val="84"/>
          <w:lang w:eastAsia="zh-CN"/>
        </w:rPr>
      </w:pPr>
    </w:p>
    <w:p w14:paraId="0FD640D5">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石桥子街道履行职责事项清单</w:t>
      </w:r>
    </w:p>
    <w:p w14:paraId="1C9564DB">
      <w:pPr>
        <w:rPr>
          <w:rFonts w:ascii="方正公文小标宋" w:eastAsia="方正公文小标宋"/>
          <w:sz w:val="84"/>
          <w:szCs w:val="84"/>
          <w:lang w:eastAsia="zh-CN"/>
        </w:rPr>
      </w:pPr>
    </w:p>
    <w:p w14:paraId="6EEA03F3">
      <w:pPr>
        <w:rPr>
          <w:rFonts w:ascii="方正公文小标宋" w:eastAsia="方正公文小标宋"/>
          <w:sz w:val="84"/>
          <w:szCs w:val="84"/>
          <w:lang w:eastAsia="zh-CN"/>
        </w:rPr>
      </w:pPr>
    </w:p>
    <w:p w14:paraId="14641991">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67079"/>
        <w15:color w:val="DBDBDB"/>
        <w:docPartObj>
          <w:docPartGallery w:val="Table of Contents"/>
          <w:docPartUnique/>
        </w:docPartObj>
      </w:sdtPr>
      <w:sdtEndPr>
        <w:rPr>
          <w:rFonts w:ascii="宋体" w:hAnsi="宋体" w:eastAsia="宋体" w:cs="Arial"/>
          <w:snapToGrid w:val="0"/>
          <w:color w:val="000000"/>
          <w:kern w:val="0"/>
          <w:sz w:val="20"/>
          <w:szCs w:val="20"/>
          <w:lang w:val="en-US" w:eastAsia="en-US" w:bidi="ar-SA"/>
        </w:rPr>
      </w:sdtEndPr>
      <w:sdtContent>
        <w:p w14:paraId="436ADFEE">
          <w:pPr>
            <w:spacing w:before="0" w:beforeLines="0" w:after="0" w:afterLines="0" w:line="240" w:lineRule="auto"/>
            <w:ind w:left="0" w:leftChars="0" w:right="0" w:rightChars="0" w:firstLine="0" w:firstLineChars="0"/>
            <w:jc w:val="center"/>
          </w:pPr>
          <w:bookmarkStart w:id="0" w:name="_Toc11189_WPSOffice_Type1"/>
          <w:r>
            <w:rPr>
              <w:rFonts w:hint="eastAsia" w:ascii="方正公文小标宋" w:hAnsi="方正公文小标宋" w:eastAsia="方正公文小标宋" w:cs="方正公文小标宋"/>
              <w:sz w:val="44"/>
              <w:szCs w:val="44"/>
            </w:rPr>
            <w:t>目</w:t>
          </w:r>
          <w:r>
            <w:rPr>
              <w:rFonts w:hint="eastAsia" w:ascii="方正公文小标宋" w:hAnsi="方正公文小标宋" w:eastAsia="方正公文小标宋" w:cs="方正公文小标宋"/>
              <w:sz w:val="44"/>
              <w:szCs w:val="44"/>
              <w:lang w:val="en-US" w:eastAsia="zh-CN"/>
            </w:rPr>
            <w:t xml:space="preserve">  </w:t>
          </w:r>
          <w:r>
            <w:rPr>
              <w:rFonts w:hint="eastAsia" w:ascii="方正公文小标宋" w:hAnsi="方正公文小标宋" w:eastAsia="方正公文小标宋" w:cs="方正公文小标宋"/>
              <w:sz w:val="44"/>
              <w:szCs w:val="44"/>
            </w:rPr>
            <w:t>录</w:t>
          </w:r>
        </w:p>
        <w:p w14:paraId="76EB5C13">
          <w:pPr>
            <w:pStyle w:val="21"/>
            <w:tabs>
              <w:tab w:val="right" w:leader="dot" w:pos="14001"/>
            </w:tabs>
            <w:rPr>
              <w:sz w:val="32"/>
              <w:szCs w:val="32"/>
            </w:rPr>
          </w:pPr>
          <w:r>
            <w:rPr>
              <w:sz w:val="32"/>
              <w:szCs w:val="32"/>
            </w:rPr>
            <w:fldChar w:fldCharType="begin"/>
          </w:r>
          <w:r>
            <w:rPr>
              <w:sz w:val="32"/>
              <w:szCs w:val="32"/>
            </w:rPr>
            <w:instrText xml:space="preserve"> HYPERLINK \l _Toc11712_WPSOffice_Level1 </w:instrText>
          </w:r>
          <w:r>
            <w:rPr>
              <w:sz w:val="32"/>
              <w:szCs w:val="32"/>
            </w:rPr>
            <w:fldChar w:fldCharType="separate"/>
          </w:r>
          <w:sdt>
            <w:sdtPr>
              <w:rPr>
                <w:rFonts w:ascii="Arial" w:hAnsi="Arial" w:eastAsia="Arial" w:cs="Arial"/>
                <w:b/>
                <w:snapToGrid w:val="0"/>
                <w:color w:val="000000"/>
                <w:kern w:val="0"/>
                <w:sz w:val="32"/>
                <w:szCs w:val="32"/>
                <w:lang w:val="en-US" w:eastAsia="en-US" w:bidi="ar-SA"/>
              </w:rPr>
              <w:id w:val="147466309"/>
              <w:placeholder>
                <w:docPart w:val="{614848da-72bf-468b-9824-12d13fe970de}"/>
              </w:placeholder>
              <w15:color w:val="509DF3"/>
            </w:sdtPr>
            <w:sdtEndPr>
              <w:rPr>
                <w:rFonts w:ascii="Arial" w:hAnsi="Arial" w:eastAsia="Arial" w:cs="Arial"/>
                <w:b/>
                <w:snapToGrid w:val="0"/>
                <w:color w:val="000000"/>
                <w:kern w:val="0"/>
                <w:sz w:val="32"/>
                <w:szCs w:val="32"/>
                <w:lang w:val="en-US" w:eastAsia="en-US" w:bidi="ar-SA"/>
              </w:rPr>
            </w:sdtEndPr>
            <w:sdtContent>
              <w:r>
                <w:rPr>
                  <w:rFonts w:ascii="Times New Roman" w:hAnsi="Times New Roman" w:eastAsia="方正公文小标宋" w:cs="Times New Roman"/>
                  <w:sz w:val="32"/>
                  <w:szCs w:val="32"/>
                </w:rPr>
                <w:t>基本</w:t>
              </w:r>
              <w:r>
                <w:rPr>
                  <w:rFonts w:hint="eastAsia" w:ascii="Times New Roman" w:hAnsi="Times New Roman" w:eastAsia="方正公文小标宋" w:cs="Times New Roman"/>
                  <w:sz w:val="32"/>
                  <w:szCs w:val="32"/>
                </w:rPr>
                <w:t>履职</w:t>
              </w:r>
              <w:r>
                <w:rPr>
                  <w:rFonts w:ascii="Times New Roman" w:hAnsi="Times New Roman" w:eastAsia="方正公文小标宋" w:cs="Times New Roman"/>
                  <w:sz w:val="32"/>
                  <w:szCs w:val="32"/>
                </w:rPr>
                <w:t>事项清单</w:t>
              </w:r>
            </w:sdtContent>
          </w:sdt>
          <w:r>
            <w:rPr>
              <w:sz w:val="32"/>
              <w:szCs w:val="32"/>
            </w:rPr>
            <w:tab/>
          </w:r>
          <w:bookmarkStart w:id="1" w:name="_Toc11712_WPSOffice_Level1Page"/>
          <w:r>
            <w:rPr>
              <w:sz w:val="32"/>
              <w:szCs w:val="32"/>
            </w:rPr>
            <w:t>1</w:t>
          </w:r>
          <w:bookmarkEnd w:id="1"/>
          <w:r>
            <w:rPr>
              <w:sz w:val="32"/>
              <w:szCs w:val="32"/>
            </w:rPr>
            <w:fldChar w:fldCharType="end"/>
          </w:r>
        </w:p>
        <w:p w14:paraId="138C4994">
          <w:pPr>
            <w:pStyle w:val="21"/>
            <w:tabs>
              <w:tab w:val="right" w:leader="dot" w:pos="14001"/>
            </w:tabs>
            <w:rPr>
              <w:sz w:val="32"/>
              <w:szCs w:val="32"/>
            </w:rPr>
          </w:pPr>
          <w:r>
            <w:rPr>
              <w:sz w:val="32"/>
              <w:szCs w:val="32"/>
            </w:rPr>
            <w:fldChar w:fldCharType="begin"/>
          </w:r>
          <w:r>
            <w:rPr>
              <w:sz w:val="32"/>
              <w:szCs w:val="32"/>
            </w:rPr>
            <w:instrText xml:space="preserve"> HYPERLINK \l _Toc11189_WPSOffice_Level1 </w:instrText>
          </w:r>
          <w:r>
            <w:rPr>
              <w:sz w:val="32"/>
              <w:szCs w:val="32"/>
            </w:rPr>
            <w:fldChar w:fldCharType="separate"/>
          </w:r>
          <w:sdt>
            <w:sdtPr>
              <w:rPr>
                <w:rFonts w:ascii="Arial" w:hAnsi="Arial" w:eastAsia="Arial" w:cs="Arial"/>
                <w:b/>
                <w:snapToGrid w:val="0"/>
                <w:color w:val="000000"/>
                <w:kern w:val="0"/>
                <w:sz w:val="32"/>
                <w:szCs w:val="32"/>
                <w:lang w:val="en-US" w:eastAsia="en-US" w:bidi="ar-SA"/>
              </w:rPr>
              <w:id w:val="147458299"/>
              <w:placeholder>
                <w:docPart w:val="{e9570eae-4857-4938-b99d-e1945f6211de}"/>
              </w:placeholder>
              <w15:color w:val="509DF3"/>
            </w:sdtPr>
            <w:sdtEndPr>
              <w:rPr>
                <w:rFonts w:ascii="Arial" w:hAnsi="Arial" w:eastAsia="Arial" w:cs="Arial"/>
                <w:b/>
                <w:snapToGrid w:val="0"/>
                <w:color w:val="000000"/>
                <w:kern w:val="0"/>
                <w:sz w:val="32"/>
                <w:szCs w:val="32"/>
                <w:lang w:val="en-US" w:eastAsia="en-US" w:bidi="ar-SA"/>
              </w:rPr>
            </w:sdtEndPr>
            <w:sdtContent>
              <w:r>
                <w:rPr>
                  <w:rFonts w:ascii="Times New Roman" w:hAnsi="Times New Roman" w:eastAsia="方正公文小标宋" w:cs="Times New Roman"/>
                  <w:sz w:val="32"/>
                  <w:szCs w:val="32"/>
                </w:rPr>
                <w:t>配合</w:t>
              </w:r>
              <w:r>
                <w:rPr>
                  <w:rFonts w:hint="eastAsia" w:ascii="Times New Roman" w:hAnsi="Times New Roman" w:eastAsia="方正公文小标宋" w:cs="Times New Roman"/>
                  <w:sz w:val="32"/>
                  <w:szCs w:val="32"/>
                </w:rPr>
                <w:t>履职事项</w:t>
              </w:r>
              <w:r>
                <w:rPr>
                  <w:rFonts w:ascii="Times New Roman" w:hAnsi="Times New Roman" w:eastAsia="方正公文小标宋" w:cs="Times New Roman"/>
                  <w:sz w:val="32"/>
                  <w:szCs w:val="32"/>
                </w:rPr>
                <w:t>清单</w:t>
              </w:r>
            </w:sdtContent>
          </w:sdt>
          <w:r>
            <w:rPr>
              <w:sz w:val="32"/>
              <w:szCs w:val="32"/>
            </w:rPr>
            <w:tab/>
          </w:r>
          <w:bookmarkStart w:id="2" w:name="_Toc11189_WPSOffice_Level1Page"/>
          <w:r>
            <w:rPr>
              <w:sz w:val="32"/>
              <w:szCs w:val="32"/>
            </w:rPr>
            <w:t>14</w:t>
          </w:r>
          <w:bookmarkEnd w:id="2"/>
          <w:r>
            <w:rPr>
              <w:sz w:val="32"/>
              <w:szCs w:val="32"/>
            </w:rPr>
            <w:fldChar w:fldCharType="end"/>
          </w:r>
        </w:p>
        <w:p w14:paraId="04DC140A">
          <w:pPr>
            <w:pStyle w:val="21"/>
            <w:tabs>
              <w:tab w:val="right" w:leader="dot" w:pos="14001"/>
            </w:tabs>
          </w:pPr>
          <w:r>
            <w:rPr>
              <w:sz w:val="32"/>
              <w:szCs w:val="32"/>
            </w:rPr>
            <w:fldChar w:fldCharType="begin"/>
          </w:r>
          <w:r>
            <w:rPr>
              <w:sz w:val="32"/>
              <w:szCs w:val="32"/>
            </w:rPr>
            <w:instrText xml:space="preserve"> HYPERLINK \l _Toc30146_WPSOffice_Level1 </w:instrText>
          </w:r>
          <w:r>
            <w:rPr>
              <w:sz w:val="32"/>
              <w:szCs w:val="32"/>
            </w:rPr>
            <w:fldChar w:fldCharType="separate"/>
          </w:r>
          <w:sdt>
            <w:sdtPr>
              <w:rPr>
                <w:rFonts w:ascii="Arial" w:hAnsi="Arial" w:eastAsia="Arial" w:cs="Arial"/>
                <w:b/>
                <w:snapToGrid w:val="0"/>
                <w:color w:val="000000"/>
                <w:kern w:val="0"/>
                <w:sz w:val="32"/>
                <w:szCs w:val="32"/>
                <w:lang w:val="en-US" w:eastAsia="en-US" w:bidi="ar-SA"/>
              </w:rPr>
              <w:id w:val="147468619"/>
              <w:placeholder>
                <w:docPart w:val="{b760a5e6-9a6d-4ba5-ac00-e2480fb3b2a3}"/>
              </w:placeholder>
              <w15:color w:val="509DF3"/>
            </w:sdtPr>
            <w:sdtEndPr>
              <w:rPr>
                <w:rFonts w:ascii="Arial" w:hAnsi="Arial" w:eastAsia="Arial" w:cs="Arial"/>
                <w:b/>
                <w:snapToGrid w:val="0"/>
                <w:color w:val="000000"/>
                <w:kern w:val="0"/>
                <w:sz w:val="32"/>
                <w:szCs w:val="32"/>
                <w:lang w:val="en-US" w:eastAsia="en-US" w:bidi="ar-SA"/>
              </w:rPr>
            </w:sdtEndPr>
            <w:sdtContent>
              <w:r>
                <w:rPr>
                  <w:rFonts w:hint="eastAsia" w:ascii="Times New Roman" w:hAnsi="Times New Roman" w:eastAsia="方正公文小标宋" w:cs="Times New Roman"/>
                  <w:sz w:val="32"/>
                  <w:szCs w:val="32"/>
                </w:rPr>
                <w:t>上级部门收回事项清单</w:t>
              </w:r>
            </w:sdtContent>
          </w:sdt>
          <w:r>
            <w:rPr>
              <w:sz w:val="32"/>
              <w:szCs w:val="32"/>
            </w:rPr>
            <w:tab/>
          </w:r>
          <w:bookmarkStart w:id="3" w:name="_Toc30146_WPSOffice_Level1Page"/>
          <w:r>
            <w:rPr>
              <w:sz w:val="32"/>
              <w:szCs w:val="32"/>
            </w:rPr>
            <w:t>53</w:t>
          </w:r>
          <w:bookmarkEnd w:id="3"/>
          <w:r>
            <w:rPr>
              <w:sz w:val="32"/>
              <w:szCs w:val="32"/>
            </w:rPr>
            <w:fldChar w:fldCharType="end"/>
          </w:r>
          <w:bookmarkEnd w:id="0"/>
        </w:p>
      </w:sdtContent>
    </w:sdt>
    <w:p w14:paraId="4A58CAE9">
      <w:pPr>
        <w:pStyle w:val="2"/>
        <w:jc w:val="both"/>
        <w:rPr>
          <w:rFonts w:ascii="Times New Roman" w:hAnsi="Times New Roman" w:eastAsia="方正小标宋_GBK" w:cs="Times New Roman"/>
          <w:color w:val="auto"/>
          <w:spacing w:val="7"/>
          <w:sz w:val="44"/>
          <w:szCs w:val="44"/>
          <w:lang w:eastAsia="zh-CN"/>
        </w:rPr>
      </w:pPr>
    </w:p>
    <w:p w14:paraId="3A009F50">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02128128">
      <w:pPr>
        <w:pStyle w:val="3"/>
        <w:spacing w:before="0" w:after="0" w:line="240" w:lineRule="auto"/>
        <w:jc w:val="center"/>
        <w:rPr>
          <w:rFonts w:ascii="Times New Roman" w:hAnsi="Times New Roman" w:eastAsia="方正公文小标宋" w:cs="Times New Roman"/>
          <w:b w:val="0"/>
          <w:color w:val="auto"/>
          <w:spacing w:val="7"/>
          <w:lang w:eastAsia="zh-CN"/>
        </w:rPr>
      </w:pPr>
      <w:bookmarkStart w:id="4" w:name="_Toc11712_WPSOffice_Level1"/>
      <w:bookmarkStart w:id="5" w:name="_Toc172077949"/>
      <w:bookmarkStart w:id="6" w:name="_Toc172077551"/>
      <w:bookmarkStart w:id="7"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4"/>
      <w:bookmarkEnd w:id="5"/>
      <w:bookmarkEnd w:id="6"/>
      <w:bookmarkEnd w:id="7"/>
    </w:p>
    <w:tbl>
      <w:tblPr>
        <w:tblStyle w:val="8"/>
        <w:tblW w:w="14045" w:type="dxa"/>
        <w:tblInd w:w="96" w:type="dxa"/>
        <w:tblLayout w:type="fixed"/>
        <w:tblCellMar>
          <w:top w:w="0" w:type="dxa"/>
          <w:left w:w="108" w:type="dxa"/>
          <w:bottom w:w="0" w:type="dxa"/>
          <w:right w:w="108" w:type="dxa"/>
        </w:tblCellMar>
      </w:tblPr>
      <w:tblGrid>
        <w:gridCol w:w="712"/>
        <w:gridCol w:w="13333"/>
      </w:tblGrid>
      <w:tr w14:paraId="3C9B3DC3">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12A5">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DAB9">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54FF3B3D">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5C8A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一、党的建设（25项）</w:t>
            </w:r>
          </w:p>
        </w:tc>
      </w:tr>
      <w:tr w14:paraId="174244A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32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3E0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4B391E4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D1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1D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69A6B10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79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43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3F40B88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9D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DE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74EE2A7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85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D81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2035BD5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AFA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AA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140781A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AD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95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351BBFB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15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FF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4714628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AD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AE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负责街道机关干部的教育、培训、选拔、考核、管理和监督工作，抓好年轻干部储备、管理和培养</w:t>
            </w:r>
          </w:p>
        </w:tc>
      </w:tr>
      <w:tr w14:paraId="7E753B5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45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3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负责村（社区）干部的教育、培训、选拔、考核、管理和监督工作，抓好村（社区）干部学历提升工作，加强社区工作者队伍的建设与管理，做好村（社区）后备人才队伍的管理</w:t>
            </w:r>
          </w:p>
        </w:tc>
      </w:tr>
      <w:tr w14:paraId="2D9B032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CC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10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负责派驻街道干部管理工作，抓好驻村（社区）干部履职的管理和服务保障</w:t>
            </w:r>
          </w:p>
        </w:tc>
      </w:tr>
      <w:tr w14:paraId="19689C6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9EF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76D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7E9A077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07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2A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0D97841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B1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25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社区）两级监督体系建设，发现、处理群众身边的腐败问题和不正之风，按照权限分类处置举报和问题线索、研究决定党员和监察对象处分，受理党员的控告和申诉，落实“阳光三务”公示公开工作</w:t>
            </w:r>
          </w:p>
        </w:tc>
      </w:tr>
      <w:tr w14:paraId="720E58A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9C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42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5F5FC71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4B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47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1D57D0C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7A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AF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0490A86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43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293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2BFD6D6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9B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4D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639B28B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3FD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C1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44563AC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F6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A9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53F15F9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00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62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508F982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5A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3CA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3381075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C4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47C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提升本地党建引领基层治理“1233+N”工作机制，即坚持以党建引领为核心，以网格员和志愿者两支队伍为支撑，聚焦“一老一小一特殊”三类群体，有效衔接三治融合，开展形式多样的为民服务靶向施策，提升基层治理精细化水平</w:t>
            </w:r>
          </w:p>
        </w:tc>
      </w:tr>
      <w:tr w14:paraId="57FF06C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2A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53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推动社区与高校共建“大学生社会实践与志愿服务基地”，促进校地志愿服务资源融合打造志愿服务新模式</w:t>
            </w:r>
          </w:p>
        </w:tc>
      </w:tr>
      <w:tr w14:paraId="1E461FA1">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EDFA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0FFCA65E">
        <w:tblPrEx>
          <w:tblCellMar>
            <w:top w:w="0" w:type="dxa"/>
            <w:left w:w="108" w:type="dxa"/>
            <w:bottom w:w="0" w:type="dxa"/>
            <w:right w:w="108" w:type="dxa"/>
          </w:tblCellMar>
        </w:tblPrEx>
        <w:trPr>
          <w:cantSplit/>
          <w:trHeight w:val="988"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61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12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制定实施经济社会发展规划和产业发展规划，优化产业布局，推进产业转型升级，促进一产、二产、三产融合发展，鼓励多种生产经营模式发展特色产业</w:t>
            </w:r>
          </w:p>
        </w:tc>
      </w:tr>
      <w:tr w14:paraId="1BF4C26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FC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9D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制定年度产业项目计划，做好项目包装，跟进在谈、签约、开工、在建、投产项目情况</w:t>
            </w:r>
          </w:p>
        </w:tc>
      </w:tr>
      <w:tr w14:paraId="57EB2B2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5C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A2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69FA1A3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D2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94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3A1ABC7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F7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26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3DF0933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79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33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3AB47A0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BB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74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5399BA6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16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FF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1DE0EA6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3A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F0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6B5D161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C4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22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3034CCB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D1A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15D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4B47836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9D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9F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7F2BA48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D68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C9D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5B647F5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16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D9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78D4340F">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2C4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2987DFF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51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16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3AC6B43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24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1C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7ECBE9D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273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11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5C93EF8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0E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A9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4AC6968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5E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90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60EFFE2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E3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27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28925FB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1D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00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6B587C8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12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D9C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7DACFD3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90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13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29DC193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A1F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E6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7B3273F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5D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52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641CAF9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23C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56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6A7E594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CD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2A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5CFD79D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A2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3D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026FF7E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13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C8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35FB584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E1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74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2F01C45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51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A2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49B6EEB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E2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6C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4AA06C5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97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4D9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356C10A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70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E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194C493D">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4033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154333F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C7C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4E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4565274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F9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F3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4855803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D2E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BC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47CAACD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22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3C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6280D2E6">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89CF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6FCE0C6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CD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7E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33D9F64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C6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FA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2080A91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18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8A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4D61A8E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87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55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开展农业技术推广、服务指导工作，加强基层农业技术推广队伍建设，促进农业机械化</w:t>
            </w:r>
          </w:p>
        </w:tc>
      </w:tr>
      <w:tr w14:paraId="0A5408F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62C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262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5DF49F1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82B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46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51C6A69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27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61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负责农村饮水工程项目申报及农村饮水安全管理、维修养护，排查村级供水情况，推动解决农村饮水问题</w:t>
            </w:r>
          </w:p>
        </w:tc>
      </w:tr>
      <w:tr w14:paraId="4B471EB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243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92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负责农村土地承包经营及承包经营合同管理，调解土地承包矛盾纠纷，受理农村宅基地申请并初审</w:t>
            </w:r>
          </w:p>
        </w:tc>
      </w:tr>
      <w:tr w14:paraId="69A30E8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5C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48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61E5499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91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3EB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6D639F5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50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92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做好街道本级路灯、农村垃圾池等基础设施建设和管理工作，负责协调组织申请对村级道路及桥梁、河堤护岸、农田灌溉等基础设施的维护</w:t>
            </w:r>
          </w:p>
        </w:tc>
      </w:tr>
      <w:tr w14:paraId="0156655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3C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D5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74650BD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45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19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负责农村户厕问题排查和农村户厕改造奖补申请的初核工作，申请农村“厕所革命”相关项目</w:t>
            </w:r>
          </w:p>
        </w:tc>
      </w:tr>
      <w:tr w14:paraId="2B98D51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398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23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负责农村公共厕所、农村生活垃圾收运处置设施的建设、管护，负责对农村生活垃圾进行收集、贮存和转运，开展村镇建设统计和村庄建设统计调查工作</w:t>
            </w:r>
          </w:p>
        </w:tc>
      </w:tr>
      <w:tr w14:paraId="63A64A1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1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CC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宣传、落实惠农补贴政策，做好惠农补贴的信息采集、审核等工作</w:t>
            </w:r>
          </w:p>
        </w:tc>
      </w:tr>
      <w:tr w14:paraId="72E28EC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F7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70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35FD99F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DA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98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798F220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E67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45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04D757F6">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7298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3000C23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C5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25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4C163C6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806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BB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负责对生态环保的信访举报、重点问题反馈、视频曝光通报进行核实，做好涉及街道、村（社区）层面生态环境保护问题的整改工作</w:t>
            </w:r>
          </w:p>
        </w:tc>
      </w:tr>
      <w:tr w14:paraId="539D07D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21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90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704B714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B2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F38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落实林长制，组织开展宣传教育、日常巡查，做好森林资源流转备案工作，负责枫树保护管理，发现破坏森林资源的行为及时制止并上报，督促、指导村（社区）级林长正常履职</w:t>
            </w:r>
          </w:p>
        </w:tc>
      </w:tr>
      <w:tr w14:paraId="582B0BC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EA3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6B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67D6640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AD6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36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开展植树造林政策宣传，组织植树造林活动，负责林业经济产业调查及统计报表工作、护林员日常管理；开展森林病虫害预防、调查、巡查工作</w:t>
            </w:r>
          </w:p>
        </w:tc>
      </w:tr>
      <w:tr w14:paraId="2C41AAE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74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A1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负责林业科学技术推广，开展林业技术培训、技术咨询和技术服务</w:t>
            </w:r>
          </w:p>
        </w:tc>
      </w:tr>
      <w:tr w14:paraId="35111C6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98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41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开展卫片图斑核查工作，排查非法占用宅基地、河滩地、林地、耕地、荒地情况，受理群众的举报和投诉，对非法占用行为及时劝告、制止并上报，负责对农户私搭乱建进行整改</w:t>
            </w:r>
          </w:p>
        </w:tc>
      </w:tr>
      <w:tr w14:paraId="6C57344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8D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00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6220EF5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DB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B55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2FA6747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20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DD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0F4D5C51">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ABF37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七、城乡建设（10项）</w:t>
            </w:r>
          </w:p>
        </w:tc>
      </w:tr>
      <w:tr w14:paraId="539F913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2C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52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769044A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5D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4C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52AE7CB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29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FF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落实路长制，加强乡村道路交通安全管理，及时组织协调修复和抢通受损乡村道路，开展乡村道路日常巡查和养护，发现问题及时上报</w:t>
            </w:r>
          </w:p>
        </w:tc>
      </w:tr>
      <w:tr w14:paraId="65C5246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8DE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001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负责上报道路大中修和维修改造、道路安全防护规划、一事一议道路建设、道路规划管理等工作的数据，做好各类道路基础情况普查</w:t>
            </w:r>
          </w:p>
        </w:tc>
      </w:tr>
      <w:tr w14:paraId="3A1FA53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BA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92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09EDD1A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CC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B6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762F9E7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8D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2F2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79F0B2A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35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CC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3D37A14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CC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D7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1FD20B8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96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AB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04EBD861">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1E70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八、文化和旅游（5项）</w:t>
            </w:r>
          </w:p>
        </w:tc>
      </w:tr>
      <w:tr w14:paraId="37F9DAF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F2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D3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7617090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F7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B8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0842F37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BC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38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1FD2BD7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30D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D4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推进旅游产业发展，发掘、培育各类旅游产业项目，加大招商引资力度，鼓励社会资本参与本地旅游资源保护和开发</w:t>
            </w:r>
          </w:p>
        </w:tc>
      </w:tr>
      <w:tr w14:paraId="60DC952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7F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52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2825E36A">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C170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1457AFF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8D5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E9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7589BA4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B2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DC1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371494C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75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25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22FEADFB">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F7C3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17829D7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63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F9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62DF6EF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A1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46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7767D8E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65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9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14:paraId="7A6694E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B4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32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落实村组织运转经费的“村财镇管”制度，负责村干部待遇保障，做好村干部绩效考核</w:t>
            </w:r>
          </w:p>
        </w:tc>
      </w:tr>
      <w:tr w14:paraId="1B08417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39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55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364F22B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0A7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9B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2905C5E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430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F2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678010C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F84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BB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2C5D0EF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32E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A1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393A5D9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90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29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723BCDE8">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8" w:name="_Toc172077950"/>
      <w:bookmarkStart w:id="9" w:name="_Toc172077552"/>
      <w:bookmarkStart w:id="10" w:name="_Toc11189_WPSOffice_Level1"/>
      <w:bookmarkStart w:id="11" w:name="_Toc172077417"/>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8"/>
      <w:bookmarkEnd w:id="9"/>
      <w:bookmarkEnd w:id="10"/>
      <w:bookmarkEnd w:id="11"/>
    </w:p>
    <w:tbl>
      <w:tblPr>
        <w:tblStyle w:val="8"/>
        <w:tblW w:w="14045" w:type="dxa"/>
        <w:tblInd w:w="0" w:type="dxa"/>
        <w:tblLayout w:type="fixed"/>
        <w:tblCellMar>
          <w:top w:w="0" w:type="dxa"/>
          <w:left w:w="108" w:type="dxa"/>
          <w:bottom w:w="0" w:type="dxa"/>
          <w:right w:w="108" w:type="dxa"/>
        </w:tblCellMar>
      </w:tblPr>
      <w:tblGrid>
        <w:gridCol w:w="727"/>
        <w:gridCol w:w="1814"/>
        <w:gridCol w:w="1814"/>
        <w:gridCol w:w="4842"/>
        <w:gridCol w:w="4848"/>
      </w:tblGrid>
      <w:tr w14:paraId="57CE6D4D">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4FF6">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614F">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31BF">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98F8">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4E66">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1E483DA4">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A0842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535B497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96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C2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7D7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D3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09A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2D00688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060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2D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3A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F3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6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1DFFA49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E68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20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52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A55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60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17399C7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A1C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027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5C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88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FA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587F0D6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57B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76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87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55D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2B0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5E99628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28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A3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9E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633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E6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72F26347">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9E2DB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5ABF1DB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38B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BE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AA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16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1.以与沈阳市苏家屯区联系对接为重点，组织推进融入沈阳现代化都市圈建设工作；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2.以与泰州市姜堰区联系对接为重点，组织推进泰本对口合作工作；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3.以与新疆维吾尔自治区托里县庙尔沟镇联系对接为重点，组织推进对口援疆工作。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8B0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1.加强同沈阳市苏家屯区对口街道办事处联系对接，推进项目建设、招商引资、交流合作、互学互鉴等工作落地；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2.加强同泰州市姜堰区对口街道办事处联系对接，推进项目建设、招商引资、交流合作、互学互鉴等工作落地；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3.加强同新疆维吾尔自治区托里县庙尔沟镇对口村（社区）联系对接，推进项目建设、招商引资、交流合作、互学互鉴等工作落地。</w:t>
            </w:r>
          </w:p>
        </w:tc>
      </w:tr>
      <w:tr w14:paraId="0FCDC3F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127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28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11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38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2D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400A516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396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F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40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D6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98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23E0326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A0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15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D4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E1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C6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4A28BC0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2A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7C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12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E9B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8A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48CED8B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B09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F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EA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11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36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06C5BD4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749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045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65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E6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C8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21256A5C">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C2C97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三、民生服务（33项）</w:t>
            </w:r>
          </w:p>
        </w:tc>
      </w:tr>
      <w:tr w14:paraId="056A2B8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F6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02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DC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4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4.负责就业困难人员认定（零就业家庭申请认定）；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6.对青年就业见习人员资格进行审核，发放补贴；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2A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6.负责青年就业见习人员资格初审并上报；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7.对村（社区）初审合格的离校未就业高校毕业生灵活就业社保补贴申请材料进行复核并上报；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1FA29B7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AF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E8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DF7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EE5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3E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411CF32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C1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BA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DD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4A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14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12890D8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C4E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66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263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69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AD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6CBAC23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C0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C6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48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FD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ABE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09D0B63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6D0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7E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12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1D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75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01E6392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55D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DF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49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7E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EB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39A58FB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F2D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4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65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bookmarkStart w:id="16" w:name="_GoBack"/>
            <w:bookmarkEnd w:id="16"/>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708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05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2212798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2B6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87E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5E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743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8D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74462C7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05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10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F6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94E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6E4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55A12C6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27B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07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0F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231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AA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4FEB72A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B8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19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52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6E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8E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7FED9BE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45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E5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DC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C1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CC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36FD31D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54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B0CA">
            <w:pPr>
              <w:widowControl/>
              <w:kinsoku/>
              <w:spacing w:before="0" w:beforeLines="0" w:after="0" w:afterLines="0"/>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bidi="ar"/>
              </w:rPr>
              <w:t>开展病媒生物监测</w:t>
            </w:r>
            <w:r>
              <w:rPr>
                <w:rFonts w:hint="eastAsia" w:ascii="Times New Roman" w:hAnsi="方正公文仿宋" w:eastAsia="方正公文仿宋"/>
                <w:kern w:val="0"/>
                <w:szCs w:val="21"/>
                <w:lang w:val="en-US" w:eastAsia="zh-CN" w:bidi="ar"/>
              </w:rPr>
              <w:t>预防控制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41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82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1C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622BB2D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5B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8F8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31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C8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76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491426D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470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A2A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79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EE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98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14:paraId="797FDD2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FE8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C9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BE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C3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742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1A00DF8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0C7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9AA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75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4EF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B7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307E4AB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91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F4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49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1C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7F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5FA76F9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684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A4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B1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C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6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负责本街道“全国儿童福利信息系统”中各类服务对象和工作人员信息录入、业务办理、数据统计和动态更新工作。</w:t>
            </w:r>
          </w:p>
        </w:tc>
      </w:tr>
      <w:tr w14:paraId="5E831E0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78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64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32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54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BF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030969C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FA5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83B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B2D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12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12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4C6B68E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AD0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34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900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63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0D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帮助村（居）民办理基本医疗保险参保登记、信息变更的系统录入及咨询查询工作。</w:t>
            </w:r>
          </w:p>
        </w:tc>
      </w:tr>
      <w:tr w14:paraId="67C2800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17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867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08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15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10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77EE9A0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7D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B4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7FA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6C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2.市社保中心溪湖区分中心负责办理参保业务，对达龄人员发放待遇。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C5D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6A1234B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51A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56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986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E1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FC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135A7D0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E5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4B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F2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BC1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2.市社保中心溪湖区分中心负责发放补助资金。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E46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1.做好残疾人享受补助资格审核工作</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1B14ABF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BC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D4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BF9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90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E0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28FB7DA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B6C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C4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7C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82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2D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协助开展特困人员生活自理能力评估，发生变化的要及时报告。</w:t>
            </w:r>
          </w:p>
        </w:tc>
      </w:tr>
      <w:tr w14:paraId="3B3EAEC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929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C5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38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2F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41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588628B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1A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0E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E3D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8DD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D3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79A07D4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F5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89C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97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市医保局溪湖区分局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4A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3.市医保局溪湖区分局负责开展医保基金发放领取行为监督检查，对骗取、冒领人员协调相关部门开展追缴工作。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CA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180AE4D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9C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30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18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58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2.推动农民工工资相关政策的落实，协调解决重点难点问题；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3DC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2.做好对拖欠农民工工资矛盾排查工作；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4E6A9D23">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92200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四、平安法治（6项）</w:t>
            </w:r>
          </w:p>
        </w:tc>
      </w:tr>
      <w:tr w14:paraId="227FFC5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BF1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59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F50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667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E3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54FE5D51">
        <w:tblPrEx>
          <w:tblCellMar>
            <w:top w:w="0" w:type="dxa"/>
            <w:left w:w="108" w:type="dxa"/>
            <w:bottom w:w="0" w:type="dxa"/>
            <w:right w:w="108" w:type="dxa"/>
          </w:tblCellMar>
        </w:tblPrEx>
        <w:trPr>
          <w:cantSplit/>
          <w:trHeight w:val="1542"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6FA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36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65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C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66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14:paraId="791F2BB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7D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1A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8C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A0A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溪湖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F5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3.负责中高考期间考点周边保障护航工作，组织社区对所管辖考点周边存在的各种隐患进行排查上报。</w:t>
            </w:r>
          </w:p>
        </w:tc>
      </w:tr>
      <w:tr w14:paraId="27E9DDC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EA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B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6A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17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0E4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3441FF18">
        <w:tblPrEx>
          <w:tblCellMar>
            <w:top w:w="0" w:type="dxa"/>
            <w:left w:w="108" w:type="dxa"/>
            <w:bottom w:w="0" w:type="dxa"/>
            <w:right w:w="108" w:type="dxa"/>
          </w:tblCellMar>
        </w:tblPrEx>
        <w:trPr>
          <w:cantSplit/>
          <w:trHeight w:val="158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37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2E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处理辖区内不文明养犬行为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4E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515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1.负责养犬登记，处置狂犬；</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2.查处犬只伤人、犬吠扰民等违法行为；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3.负责对走失犬只、流浪犬只、送交收容犬只、违法在重点区域养殖的大型犬、烈性犬或者养犬人拒绝注射疫病疫苗的犬只的收容。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0E2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1.开展依法养犬、文明养犬、狂犬病防治知识的宣传教育，引导群众自觉遵守养犬条例、落实养犬管理责任；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2.及时报送流浪犬，不文明养犬等行为线索。</w:t>
            </w:r>
          </w:p>
        </w:tc>
      </w:tr>
      <w:tr w14:paraId="5D7555A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BB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7F5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B7F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市公安局交通管理支队溪湖大队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DE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1.通过做好日常巡查、群众举报等排查辖区“僵尸车”，掌握数量、停放位置、车辆信息等情况；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2.对能确认车主的“僵尸车”，以电话、短信或贴单形式告知车主，要求限时驶离；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3.对拒不配合或无法联系车主的“僵尸车”，依法拖移至指定停车场存放并登记。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EB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1.组织社区人员排查小区“僵尸车”，收集相关信息反馈至市公安局交通管理支队溪湖大队；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3.做好执法工作过程中的群众协调工作；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70907B28">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47175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五、乡村振兴（17项）</w:t>
            </w:r>
          </w:p>
        </w:tc>
      </w:tr>
      <w:tr w14:paraId="76FA91A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DE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39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做好“五好两宜”和美乡村建设工作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53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区财政局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91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1.区财政局、区农业农村局联合复核“五好两宜”和美乡村项目名单；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2.区财政局、区农业农村局联合报请区政府批复当年建设项目计划请示；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3.区财政局、区农业农村局联合报请区政府批复建设项目实施方案请示，经区政府审定后报市级财政部门审核，并报省财政厅备案；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4.区财政局拨付“五好两宜”和美乡村资金。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01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1.指导村（社区）编制“五好两宜”和美乡村实施方案，对实施方案内容进行把关；</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2.督促村（社区）履行项目方案民主议事程序；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3.完成设计、监理等工作招投标；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4.申请、拨付“五好两宜”和美乡村资金；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5.负责“五好两宜”和美乡村建设项目质量验收。</w:t>
            </w:r>
          </w:p>
        </w:tc>
      </w:tr>
      <w:tr w14:paraId="7C0AD5F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C65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B1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C0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00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A83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2B09FBC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00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81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FD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102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D8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1.协助做好高标准农田项目（含项目内农田灌溉井）申报选址、勘察设计、质量监督、竣工验收等工作，项目移交后指导管护主体进行管护并监督管护情况；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0CAFD9B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488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31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85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41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2.研究提出专项资金使用方案，开展绩效管理具体工作，建立健全市区项目管理制度。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B6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2.指导村按照流程将专项资金投资到乡村振兴项目，增加村集体经济收入。</w:t>
            </w:r>
          </w:p>
        </w:tc>
      </w:tr>
      <w:tr w14:paraId="7993FFE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8E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EF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负责种植业管理和技术推广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1F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3D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1.开展种植技术、新品种推广、病虫害防治等培训；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2.做好病虫害防范工作，组织恢复生产重建等工作；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3.发布极端天气预警，做好灾情汇总上报及灾后作物疫病防控指导工作；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4.指导外来物种普查、防治工作；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5.做好农药化肥减量、农药包装废弃物和废旧农膜回收处置指导工作，督查废旧农膜回收数量和工作质量；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6.对农资店进行检查，负责农资店违规出售禁用农药、违规售卖种子的监管工作。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2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1.组织相关从业人员参加培训，协助开展种植业技术指导；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2.统计病虫害信息，及时上报；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3.传达极端天气的预警信息，做好灾情统计、上报；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4.排查外来物种，并按要求做好清理工作；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5.配合对化肥减量增效试验用地选址，推广高强度地膜等新品种，督促村开展各回收点日常管理工作；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6.做好农资管理法律法规宣传教育、巡查督促。</w:t>
            </w:r>
          </w:p>
        </w:tc>
      </w:tr>
      <w:tr w14:paraId="33B88D3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F8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74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86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A8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03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4ADE807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18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6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AD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8C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CEB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469241C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294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56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BA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ABA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2.配合市级农业农村部门现场检查；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96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3CBEF35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D3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88E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4E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AD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4.负责拖拉机、联合收割机驾驶员换证工作。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D4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2.协助开展农机牌照核发、开展农机安全生产检查工作，上报农机事故；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3.配合做好农机安全检查，选定年检场地，组织农户做好农机年检工作。</w:t>
            </w:r>
          </w:p>
        </w:tc>
      </w:tr>
      <w:tr w14:paraId="33B42F4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A18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A9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EEA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CDF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FC2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47793EE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C4F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19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5D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C5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F8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000F858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20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20C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CE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B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1.负责对举报线索进行核查，做好调查取证工作；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2.协调上级部门依据法律法规对违法行为进行处罚。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85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6DB20A8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97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8B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A9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BA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1.制定区级实施方案；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B46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23054B2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1C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67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1F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C0C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DED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64CA607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4B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98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17D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35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7B1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59426EF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1E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BE1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86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2D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09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5.对冒领、重复领取后期扶持直补资金进行追缴。</w:t>
            </w:r>
          </w:p>
        </w:tc>
      </w:tr>
      <w:tr w14:paraId="39EBC4C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E1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14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C55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91D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A0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2.开展日常巡查，排查自备水源井，发现违法行为及时制止并上报；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318CFA09">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639F1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六、自然资源（16项）</w:t>
            </w:r>
          </w:p>
        </w:tc>
      </w:tr>
      <w:tr w14:paraId="5B67F2A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A9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E5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AEF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45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2.负责协调市自然资源执法部门对违法用地进行调查，防止乱占耕地行为反弹，对发现的侵占、破坏耕地和基本农田等违法行为进行查处与整改。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3E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1.配合开展耕地和基本农田确认及保护工作；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2.配合向社会公布永久基本农田的位置范围、设立保护警示标志；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3.落实耕地网格化管理及区块责任人制度，定期开展巡查，定期排查乱占耕地建房等行为，发现破坏耕地违法行为及时制止并上报，配合开展整改和查处。</w:t>
            </w:r>
          </w:p>
        </w:tc>
      </w:tr>
      <w:tr w14:paraId="6B26BAD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9CB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0A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开展土地权属调查工作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CE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42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1.负责拟征收、拟转用的土地组卷上报；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2.负责土地年度变更调查及权属调查工作。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63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1.协助对相关土地权属进行核实调查，协调村、组对土地组卷等材料进行认定；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2.按照下达的年度卫片，协助开展土地权属调查的实地查看工作，做好年度数据库更新。</w:t>
            </w:r>
          </w:p>
        </w:tc>
      </w:tr>
      <w:tr w14:paraId="0AB4E1D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E4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82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66C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62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2.协调上级部门对本行政区域内违法违规勘查、开采矿产资源的行为进行依法处置。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B2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7F059DBE">
        <w:tblPrEx>
          <w:tblCellMar>
            <w:top w:w="0" w:type="dxa"/>
            <w:left w:w="108" w:type="dxa"/>
            <w:bottom w:w="0" w:type="dxa"/>
            <w:right w:w="108" w:type="dxa"/>
          </w:tblCellMar>
        </w:tblPrEx>
        <w:trPr>
          <w:cantSplit/>
          <w:trHeight w:val="1484"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FE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118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4DF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88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7C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1E8F33A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757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3B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04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A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1.区住房城乡建设局、区农业农村局对街道上报的集体土地宅基地历史遗留有照无档房屋材料进行审核，对符合条件的，开展无档房建档登记工作；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2.市自然资源局溪湖分局负责协调市不动产登记中心对街道上报的除集体土地宅基地历史遗留有照无档房屋材料进行审核，对符合条件的，开展无档房建档登记工作。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F33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039A25D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D1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E4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48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841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1.市自然资源局溪湖分局协调市自然资源执法部门对卫片图斑进行对比甄别、实地查看、系统核实认定，立案调查处理；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2.区农业农村局对卫片图斑涉及耕地开展对比甄别、实地核查、综合研判，对涉嫌违法行为进行调查，督促整改，协调上级部门对违法行为进行查处；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12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1DFF08A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05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BF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31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2B8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875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37F2F27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00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3A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开展林业产业发展相关工作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621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0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2.为全区林业产业发展工作提供技术支持和服务保障。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DA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1.配合做好林业产业技术规程编制、项目选定、科学实验和示范基地的建设工作；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2.发展林业产业，为林农发展产业提供相应的服务。</w:t>
            </w:r>
          </w:p>
        </w:tc>
      </w:tr>
      <w:tr w14:paraId="403810C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418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24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3C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BF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2.制定造林绿化规划、计划，统筹安排全区造林绿化；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FE2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5B93117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348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96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开展森林采伐和野外用火管理工作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59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AF3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1.负责森林经营审批及监管，核发采伐许可证；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3.对伐区验收及更新情况进行抽检；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4.复核野外用火申请材料，牵头组织相关部门派出观察员，现场勘验用火范围及防火带情况，勘验合格后核准野外用火申请并上报备案。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62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1.开展森林资源合法采伐宣传教育；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2.协助上级部门进行现场核实，指导监督第三方机构开展森林采伐作业设计工作，审核呈报森林采伐作业设计、实施伐前公示情况、对伐区进行验收及监管；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3.协助开展野外用火现场核实工作，对申请人提交的材料进行初审并上报。</w:t>
            </w:r>
          </w:p>
        </w:tc>
      </w:tr>
      <w:tr w14:paraId="6077318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B5D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A6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CFB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C44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09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3.统计、确认本辖区符合公益林补助资金的村集体和林农信息并上报。</w:t>
            </w:r>
          </w:p>
        </w:tc>
      </w:tr>
      <w:tr w14:paraId="528AFAF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DF3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C6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BF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ED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2.出具区级审核意见，报送上级林业主管部门审批；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9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58AF5B8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B8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6F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E4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E9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4.组织开展全区古树名木复壮修复工作，申请、拨付古树名木复壮修复资金。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B1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2ED9C31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45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F4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4B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0E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2.负责陆生野生动物收容救护，国家一级保护野生动物致害补偿申请材料审核、核实确认、提出补偿意见，报区政府审批。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29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1.协助开展陆生野生动物保护相关法律法规政策宣传；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70A7CA5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35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2D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9A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4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436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185AC66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684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71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50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CB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13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513E4F2C">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0DD90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03EEB51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B4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21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B1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3A5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9D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5322E13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C5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38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C3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E1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585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1D62668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E3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6F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46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0C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1.本溪市溪湖生态环境分局负责制定年度大气污染防治计划，制定重污染天气的应对方案，确定大气污染物减排目标及具体实施方案，协调推进大气污染联防联控机制，推进重点企业行业大气污染防治整治提升；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E9D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0E2AA34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A6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47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开展水、固体废物、土壤、噪声污染等防治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62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7D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FE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3.负责农村污水处理设施的运营监管工作；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7.做好噪声污染防治宣传工作。</w:t>
            </w:r>
          </w:p>
        </w:tc>
      </w:tr>
      <w:tr w14:paraId="48A8FFD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83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8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51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DC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0EC6">
            <w:pPr>
              <w:widowControl/>
              <w:numPr>
                <w:ilvl w:val="0"/>
                <w:numId w:val="2"/>
              </w:numPr>
              <w:kinsoku/>
              <w:spacing w:before="0" w:beforeLines="0" w:after="0" w:afterLines="0"/>
              <w:textAlignment w:val="auto"/>
              <w:rPr>
                <w:rFonts w:hint="eastAsia" w:ascii="Times New Roman" w:hAnsi="方正公文仿宋" w:eastAsia="方正公文仿宋"/>
                <w:kern w:val="0"/>
                <w:szCs w:val="21"/>
                <w:lang w:eastAsia="zh-CN" w:bidi="ar"/>
              </w:rPr>
            </w:pPr>
            <w:r>
              <w:rPr>
                <w:rFonts w:hint="eastAsia" w:ascii="Times New Roman" w:hAnsi="方正公文仿宋" w:eastAsia="方正公文仿宋"/>
                <w:kern w:val="0"/>
                <w:szCs w:val="21"/>
                <w:lang w:bidi="ar"/>
              </w:rPr>
              <w:t>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eastAsia="zh-CN" w:bidi="ar"/>
              </w:rPr>
              <w:t>；</w:t>
            </w:r>
          </w:p>
          <w:p w14:paraId="74FFCD0C">
            <w:pPr>
              <w:widowControl/>
              <w:numPr>
                <w:ilvl w:val="0"/>
                <w:numId w:val="0"/>
              </w:numPr>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2.与养殖户（场）沟通协调整改问题，核实整改情况并上报。</w:t>
            </w:r>
          </w:p>
        </w:tc>
      </w:tr>
      <w:tr w14:paraId="3006B60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FB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36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D0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FE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A3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4EFB87D9">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9BEF0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八、城乡建设（18项）</w:t>
            </w:r>
          </w:p>
        </w:tc>
      </w:tr>
      <w:tr w14:paraId="552BB2F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C2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397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97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53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w:t>
            </w:r>
            <w:r>
              <w:rPr>
                <w:rFonts w:hint="eastAsia" w:ascii="Times New Roman" w:hAnsi="方正公文仿宋" w:eastAsia="方正公文仿宋"/>
                <w:kern w:val="0"/>
                <w:szCs w:val="21"/>
                <w:lang w:val="en-US" w:eastAsia="zh-CN" w:bidi="ar"/>
              </w:rPr>
              <w:t>区域</w:t>
            </w:r>
            <w:r>
              <w:rPr>
                <w:rFonts w:hint="eastAsia" w:ascii="Times New Roman" w:hAnsi="方正公文仿宋" w:eastAsia="方正公文仿宋"/>
                <w:kern w:val="0"/>
                <w:szCs w:val="21"/>
                <w:lang w:bidi="ar"/>
              </w:rPr>
              <w:t>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14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1587428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FAC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AE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5C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9A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2E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2.协调村（社区）做好占地补偿问题沟通工作。</w:t>
            </w:r>
          </w:p>
        </w:tc>
      </w:tr>
      <w:tr w14:paraId="7EDA757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B5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BC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做好农村公路管理工作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387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EB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1.负责组织农村公路基础设施建设、升级扩建、水毁修复项目管理工作；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2.负责控制检查建设项目质量目标、进度目标、安全目标；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3.负责道路日常路况监督、农村道路交通运输领域安全生产隐患排查、维补养护工作；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4.负责对农村公路的路况、沿线设施等进行排查和评定。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F2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1.调查辖区内需要进行建设改造的道路信息并上报；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2.协助参建单位在建设工程中做好与村委、村民的协调工作（召开村民代表大会、收集村民修建意见）；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3.配合排查重载、安全事故多发等特殊路段路况信息，道路用地范围内的设施（广告牌、超限龙门架等）信息，以及道路、基础设施破损情况，发现问题及时上报，设置破损路段安全提醒标志并协助维修维护；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4.配合调查乡村公路路况养护、植被养护等工作。</w:t>
            </w:r>
          </w:p>
        </w:tc>
      </w:tr>
      <w:tr w14:paraId="02A3634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DC8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4DE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E5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F3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6.市公安局溪湖分局负责燃气经营、充装等非法行为的查处。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93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00DAFBC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8F0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97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A0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4B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2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417AA09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EE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41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9AD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15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85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2035851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85E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22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D5E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4A3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19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75F4EBF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F05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C4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AF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53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B3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67DEDE1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9FC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5D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开展国有土地上房屋征收与补偿工作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23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36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3.按照市级主管部门出具的联审单，与相对人签订补偿协议，发放补偿费。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02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p>
        </w:tc>
      </w:tr>
      <w:tr w14:paraId="1DE55A1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8F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1A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3D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F3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E2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04557E0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55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450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0E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E5B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1.市公安局交通管理支队溪湖大队负责统筹提高停车资源利用率，开展划线、规范管理工作，负责停车备案管理工作；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1A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2396DFE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0CF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E2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1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A5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1.开展农村住房安全鉴定评定工作；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2.核实街道上报的改造对象信息，并将核实结果反馈至街道，对符合政策的纳入本年度改造计划；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3.在建设过程中进行质量抽查和技术指导；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5.对危房改造和抗震宜居农房改造兑付资金信息进行最终审核，并发放补助资金。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34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1.开展农村危房防灾常识宣传；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2.开展农村危房安全隐患排查上报；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3.协助上级部门对存在安全隐患的农村危房进行专业鉴定；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4.配合对房屋工程质量监管及初步验收；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5.组织做好村（居）民委员会与村（居）民签订房屋改造协议，提供会议记录等证明材料；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6.开展农村危房（六类重点对象）普查和系统平台录入工作。</w:t>
            </w:r>
          </w:p>
        </w:tc>
      </w:tr>
      <w:tr w14:paraId="401D239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644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DA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3D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6C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27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789C9E0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8C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09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FD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64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6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1F1C7BC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75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80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6C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021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16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65366D2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D6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47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8E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7C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1D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00613A8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D7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1B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76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D73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1.市自然资源局溪湖分局负责对建设单位和个人的违法建设行为进行认定，提供技术支持和保障；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4D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7DD2021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F0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08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F99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3A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3D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4BD552D7">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0BCF7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4746164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7F6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3B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0C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1B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0CE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59EE845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52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F8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F1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FA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C47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716B00A9">
        <w:tblPrEx>
          <w:tblCellMar>
            <w:top w:w="0" w:type="dxa"/>
            <w:left w:w="108" w:type="dxa"/>
            <w:bottom w:w="0" w:type="dxa"/>
            <w:right w:w="108" w:type="dxa"/>
          </w:tblCellMar>
        </w:tblPrEx>
        <w:trPr>
          <w:cantSplit/>
          <w:trHeight w:val="2317"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51F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7F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97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BB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9B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7A14FF2A">
        <w:tblPrEx>
          <w:tblCellMar>
            <w:top w:w="0" w:type="dxa"/>
            <w:left w:w="108" w:type="dxa"/>
            <w:bottom w:w="0" w:type="dxa"/>
            <w:right w:w="108" w:type="dxa"/>
          </w:tblCellMar>
        </w:tblPrEx>
        <w:trPr>
          <w:cantSplit/>
          <w:trHeight w:val="3798"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40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C6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7C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00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6E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21689CF1">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566CC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5611382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F82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91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06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2B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F2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3C8EE8E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75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4F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74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CF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3.市公安局交通管理支队溪湖大队负责做好受灾区域道路交通疏导工作，确保安全畅通；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4.市自然资源局溪湖分局负责开展地质灾害日常防范和管理工作，转发地质灾害预报预警，提供地质灾害发生实况、地质灾害监测等相关资料信息，及时发布应急防治与救灾工作进展情况；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粮油应急储备和供应加工企业参加救灾工作，会同区应急局做好区级救灾物资储备管理，做好区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道路、水、电、气等市政基础设施及房屋的安全鉴定、修复、重建等工作，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F2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524BAA9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436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99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95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9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区住房城乡建设局分别负责非城区、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A0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2A547C2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6C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14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10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25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0B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0131E54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54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42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D4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0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8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7DA04A7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BF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9BD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D75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43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2E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281DB2D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7A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F2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734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10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ADD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4990DD3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79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56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FD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47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DA5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76063BF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9C0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DC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4B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72D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0D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2C7CB47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24D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10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9A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B0B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25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4.根据消防部门反馈的火灾信息，掌握辖区内消防安全形势，做好防范宣传工作。</w:t>
            </w:r>
          </w:p>
        </w:tc>
      </w:tr>
      <w:tr w14:paraId="309C3617">
        <w:tblPrEx>
          <w:tblCellMar>
            <w:top w:w="0" w:type="dxa"/>
            <w:left w:w="108" w:type="dxa"/>
            <w:bottom w:w="0" w:type="dxa"/>
            <w:right w:w="108" w:type="dxa"/>
          </w:tblCellMar>
        </w:tblPrEx>
        <w:trPr>
          <w:cantSplit/>
          <w:trHeight w:val="2767"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118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E1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310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D93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FE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679DF658">
        <w:tblPrEx>
          <w:tblCellMar>
            <w:top w:w="0" w:type="dxa"/>
            <w:left w:w="108" w:type="dxa"/>
            <w:bottom w:w="0" w:type="dxa"/>
            <w:right w:w="108" w:type="dxa"/>
          </w:tblCellMar>
        </w:tblPrEx>
        <w:trPr>
          <w:cantSplit/>
          <w:trHeight w:val="3495"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B4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7D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68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9D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55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6049FFB8">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F5187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十一、市场监管（5项）</w:t>
            </w:r>
          </w:p>
        </w:tc>
      </w:tr>
      <w:tr w14:paraId="3A5793A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63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82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B9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38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C7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2462BC6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0F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77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24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DA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C7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4FC4826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8B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D9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83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F2C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14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3C217E9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F0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C6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D0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A0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CC7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13F1F78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9F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C6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DA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32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9D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1D80D325">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12" w:name="_Toc172077951"/>
      <w:bookmarkStart w:id="13" w:name="_Toc172077418"/>
      <w:bookmarkStart w:id="14" w:name="_Toc30146_WPSOffice_Level1"/>
      <w:bookmarkStart w:id="15" w:name="_Toc172077553"/>
      <w:r>
        <w:rPr>
          <w:rFonts w:hint="eastAsia" w:ascii="Times New Roman" w:hAnsi="Times New Roman" w:eastAsia="方正公文小标宋" w:cs="Times New Roman"/>
          <w:b w:val="0"/>
          <w:lang w:eastAsia="zh-CN"/>
        </w:rPr>
        <w:t>上级部门收回事项清单</w:t>
      </w:r>
      <w:bookmarkEnd w:id="12"/>
      <w:bookmarkEnd w:id="13"/>
      <w:bookmarkEnd w:id="14"/>
      <w:bookmarkEnd w:id="15"/>
    </w:p>
    <w:tbl>
      <w:tblPr>
        <w:tblStyle w:val="8"/>
        <w:tblW w:w="14045" w:type="dxa"/>
        <w:tblInd w:w="0" w:type="dxa"/>
        <w:tblLayout w:type="fixed"/>
        <w:tblCellMar>
          <w:top w:w="0" w:type="dxa"/>
          <w:left w:w="108" w:type="dxa"/>
          <w:bottom w:w="0" w:type="dxa"/>
          <w:right w:w="108" w:type="dxa"/>
        </w:tblCellMar>
      </w:tblPr>
      <w:tblGrid>
        <w:gridCol w:w="726"/>
        <w:gridCol w:w="4990"/>
        <w:gridCol w:w="8329"/>
      </w:tblGrid>
      <w:tr w14:paraId="6F2E2254">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B37C">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C36F">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6B8C">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06B06BE1">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4A0DE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42B4070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A41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97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945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28159469">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EAF06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5ED753B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5B5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F59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A2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2E89BC7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8954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2A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CA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03B71C0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81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37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出具无犯罪记录证明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3A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承接部门：市公安局溪湖分局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关于改进和规范公安派出所出具证明工作的意见》，申请人通过线下或线上两种方式，向公安机关相关窗口提交准备好的材料，公安机关工作人员对材料进行审核，并通过内部系统查询申请人是否存在犯罪记录，如审核通过且无犯罪记录，公安机关在规定时间内出具无犯罪记录证明。</w:t>
            </w:r>
          </w:p>
        </w:tc>
      </w:tr>
      <w:tr w14:paraId="54B699B9">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8C0B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三、乡村振兴（3项）</w:t>
            </w:r>
          </w:p>
        </w:tc>
      </w:tr>
      <w:tr w14:paraId="0DFF0C1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705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3A1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59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贯彻落实《中华人民共和国生物安全法》，对农田生态系统、渔业水域等区域外来物种进行监督管理；通过悬挂横幅、发放宣传资料等方式对农民宣传，引导群众提高警惕性，增强防控意识，推动农业外来入侵物种防控工作有序开展。</w:t>
            </w:r>
          </w:p>
        </w:tc>
      </w:tr>
      <w:tr w14:paraId="7534BF0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8010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E5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B2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工作方式：明确分工和目标任务，对外来物种的种类、范围、危害程度等情况开展普查工作；组织技术人员进行资料收集和实地考察；建立农业外来入侵物种档案和数据库，对普查数据进行整理和分析。</w:t>
            </w:r>
          </w:p>
        </w:tc>
      </w:tr>
      <w:tr w14:paraId="61A906B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FA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55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7F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工作方式：开展动物疫病流行病学调查工作，负责动物疫病的监测、检测、诊断、流行病学调查、疫情报告以及其他预防、控制等技术工作，对采集信息进行汇总。</w:t>
            </w:r>
          </w:p>
        </w:tc>
      </w:tr>
      <w:tr w14:paraId="71D78CE5">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B284C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四、社会管理（3项）</w:t>
            </w:r>
          </w:p>
        </w:tc>
      </w:tr>
      <w:tr w14:paraId="15A9DC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09A2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3B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3A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0229ECC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1D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86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0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3FA715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F651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47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4A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规范性核查；对空间位置准确性、属性信息完整性等数据质量核查；与相关部门协同核查；做好动态更新与维护。</w:t>
            </w:r>
          </w:p>
        </w:tc>
      </w:tr>
      <w:tr w14:paraId="193B45BD">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8FB49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五、社会保障（4项）</w:t>
            </w:r>
          </w:p>
        </w:tc>
      </w:tr>
      <w:tr w14:paraId="12B5DA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06F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C6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7C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6FDEA2E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918C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0D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FE6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落实党中央精简优化基层考核有关要求，不再开展此项工作。</w:t>
            </w:r>
          </w:p>
        </w:tc>
      </w:tr>
      <w:tr w14:paraId="7D9840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46C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04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CB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6E0E94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CD1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27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33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工作方式：通过企业申报、数据对接等渠道获取创业实体及就业务工信息；对收集信息核验真伪，确保数据完整准确；运用统计方法分析创业趋势、用工结构等，形成分析报告，为政策制定、服务优化提供依据。</w:t>
            </w:r>
          </w:p>
        </w:tc>
      </w:tr>
      <w:tr w14:paraId="5A26D374">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873B2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六、自然资源（3项）</w:t>
            </w:r>
          </w:p>
        </w:tc>
      </w:tr>
      <w:tr w14:paraId="453752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9BBB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2B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0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工作方式：依法履行土地征收征用管理职责，对需要征用的集体土地进行土地征收报卷工作，对具备供地条件的地块实施供地，及时解决土地征收征用中存在的问题。</w:t>
            </w:r>
          </w:p>
        </w:tc>
      </w:tr>
      <w:tr w14:paraId="7586FE5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CAB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511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33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区破坏森林资源问题进行核查；对森林资源的保护、修复、利用、更新等进行监督检查，发现问题需要整改的，下达整改通知书并监督落实，适时组织回访复查，做好全面核实验收。</w:t>
            </w:r>
          </w:p>
        </w:tc>
      </w:tr>
      <w:tr w14:paraId="697D680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86C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EA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844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06974F00">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4D0D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七、生态环保（2项）</w:t>
            </w:r>
          </w:p>
        </w:tc>
      </w:tr>
      <w:tr w14:paraId="027E9C3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CDF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76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7E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可采用深埋法处理。采用深埋法的，严格按照规范合理选址、规范操作，防止污染水源和环境。</w:t>
            </w:r>
          </w:p>
        </w:tc>
      </w:tr>
      <w:tr w14:paraId="1B99277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D65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53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1C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承接部门：本溪市溪湖生态环境分局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65B4BEF3">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2CB99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八、城乡建设（12项）</w:t>
            </w:r>
          </w:p>
        </w:tc>
      </w:tr>
      <w:tr w14:paraId="67C303C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56F4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D0C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2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0723BE38">
        <w:tblPrEx>
          <w:tblCellMar>
            <w:top w:w="0" w:type="dxa"/>
            <w:left w:w="108" w:type="dxa"/>
            <w:bottom w:w="0" w:type="dxa"/>
            <w:right w:w="108" w:type="dxa"/>
          </w:tblCellMar>
        </w:tblPrEx>
        <w:trPr>
          <w:cantSplit/>
          <w:trHeight w:val="121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6AA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85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48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工作方式：根据农村住房安全鉴定评定工作要求，组织对辖区内的农房进行安全初判，对初判存在危险的房屋，聘请第三方权威机构进行安全鉴定，根据鉴定结果进行房屋改造。</w:t>
            </w:r>
          </w:p>
        </w:tc>
      </w:tr>
      <w:tr w14:paraId="3738A30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167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53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85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477C664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0BB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56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41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5B79346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F9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1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A3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强化城市绿化工作，明确责任范围，对主干道两侧绿化带进行日常管理与维护，对市城市绿化所交接的公共绿地进行日常养护管理；对主干道两侧树木及绿化带进行修剪、浇水、松土、追肥，做好树木病虫害防治工作；发现枯枝、折枝及时清理，遇到死树、风倒树及时上报并伐除；清理绿地内垃圾。</w:t>
            </w:r>
          </w:p>
        </w:tc>
      </w:tr>
      <w:tr w14:paraId="56FE29D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5C5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C3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负责房屋安全评估工作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B6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4609A67B">
        <w:tblPrEx>
          <w:tblCellMar>
            <w:top w:w="0" w:type="dxa"/>
            <w:left w:w="108" w:type="dxa"/>
            <w:bottom w:w="0" w:type="dxa"/>
            <w:right w:w="108" w:type="dxa"/>
          </w:tblCellMar>
        </w:tblPrEx>
        <w:trPr>
          <w:cantSplit/>
          <w:trHeight w:val="106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C69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10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负责自建房安全等级鉴定工作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C3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工作方式：根据自建房安全等级鉴定工作要求，经区政府批准，聘请具备鉴定资质的第三方鉴定机构对自建房进行安全等级鉴定，为房屋的维修、加固和改造提供科学依据。</w:t>
            </w:r>
          </w:p>
        </w:tc>
      </w:tr>
      <w:tr w14:paraId="2C0A5D7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BAD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71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排查建筑区划红线内庭院排水管网混接错接及破损情况，协调产权单位修复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BE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03F353F3">
        <w:tblPrEx>
          <w:tblCellMar>
            <w:top w:w="0" w:type="dxa"/>
            <w:left w:w="108" w:type="dxa"/>
            <w:bottom w:w="0" w:type="dxa"/>
            <w:right w:w="108" w:type="dxa"/>
          </w:tblCellMar>
        </w:tblPrEx>
        <w:trPr>
          <w:cantSplit/>
          <w:trHeight w:val="140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25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70E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A2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辽宁省实施&lt;中华人民共和国城乡规划法&gt;办法》等有关法律法规，提请人民法院进行行政裁定后，报区人民政府指定有关部门对经过审批的临时建筑物、构筑物和其他设施实施拆除工作。</w:t>
            </w:r>
          </w:p>
        </w:tc>
      </w:tr>
      <w:tr w14:paraId="2CDD3900">
        <w:tblPrEx>
          <w:tblCellMar>
            <w:top w:w="0" w:type="dxa"/>
            <w:left w:w="108" w:type="dxa"/>
            <w:bottom w:w="0" w:type="dxa"/>
            <w:right w:w="108" w:type="dxa"/>
          </w:tblCellMar>
        </w:tblPrEx>
        <w:trPr>
          <w:cantSplit/>
          <w:trHeight w:val="161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32C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AE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2FF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承接部门：区农业农村局、区林草局、区水利局、市自然资源局溪湖分局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森林法》《中华人民共和国河道管理条例》等法律法规，由区林草局、区水利局依法依规对违法用地行为进行查处，由区农业农村局、市自然资源局溪湖分局依法依规协调处置。</w:t>
            </w:r>
          </w:p>
        </w:tc>
      </w:tr>
      <w:tr w14:paraId="2E2ABE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DF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44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C09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承接部门：区住房城乡建设局、区水利局、区农业农村局、区林草局、市自然资源局溪湖分局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提请人民法院进行行政裁定后，报区人民政府指定有关部门对违法占用土地（农用地、建设用地、未利用地）上的建筑物、构筑物和其他设施实施拆除工作。</w:t>
            </w:r>
          </w:p>
        </w:tc>
      </w:tr>
      <w:tr w14:paraId="1EECB45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F42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24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对部分山洪沟道进行清淤疏浚，清理河道垃圾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E3D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政府批准，聘请第三方对郑家河、火连寨河、彩屯河、北沙河、北沙河南支城区段主干河流进行清淤疏浚，清理河道内垃圾。</w:t>
            </w:r>
          </w:p>
        </w:tc>
      </w:tr>
      <w:tr w14:paraId="1D771CC5">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E078F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278F9A5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538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3A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49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13C874DD">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782E9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十、卫生健康（9项）</w:t>
            </w:r>
          </w:p>
        </w:tc>
      </w:tr>
      <w:tr w14:paraId="456E59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E43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A01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36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48B76C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82D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1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266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6BD9CD0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DA5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CC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93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404C9A2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70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559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BD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享受计划生育各类扶助资金、补助资金人员名单进行核查，通过数据比对、群众举报等方式筛查超领、冒领线索；明确违规事实后，下达追缴通知，督促限期退回资金，对拒不退还的依法处理并做好后续记录。</w:t>
            </w:r>
          </w:p>
        </w:tc>
      </w:tr>
      <w:tr w14:paraId="6AA6255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410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49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9C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工作方式：由区妇幼保健中心采购、统筹、免费向已婚育龄夫妻提供避孕药具。通过设立固定发放点、开展入户发放、利用线上平台预约等方式，登记需求信息，按需发放药具，并提供使用指导和随访服务。</w:t>
            </w:r>
          </w:p>
        </w:tc>
      </w:tr>
      <w:tr w14:paraId="0B6CA0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6C5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B10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定期清查免费计划生育药具流入市场情况</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75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14:paraId="3DE6F234">
        <w:tblPrEx>
          <w:tblCellMar>
            <w:top w:w="0" w:type="dxa"/>
            <w:left w:w="108" w:type="dxa"/>
            <w:bottom w:w="0" w:type="dxa"/>
            <w:right w:w="108" w:type="dxa"/>
          </w:tblCellMar>
        </w:tblPrEx>
        <w:trPr>
          <w:cantSplit/>
          <w:trHeight w:val="147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9A7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DC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B2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62BC01E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0F75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98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D3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3672E9E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773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70C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33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007B4694">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A6C46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62A9A5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F39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16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冬季看护房安全工作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A01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33F94D2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FC8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BD4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5D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及时协调、解决安全生产监督管理中存在的问题。</w:t>
            </w:r>
          </w:p>
        </w:tc>
      </w:tr>
      <w:tr w14:paraId="542F988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883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C5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433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70BB3A5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4D3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55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16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分级监管原则，制定安全生产年度监督检查计划，按计划对非煤矿山企业及尾矿库进行安全生产监督检查，检查安全状况、作业场所、生产设备、职工安全教育、培训工作等情况，监督企业履行法定职责，加强安全生产标准化、安全预防控制体系建设等工作。</w:t>
            </w:r>
          </w:p>
        </w:tc>
      </w:tr>
      <w:tr w14:paraId="5F95053D">
        <w:tblPrEx>
          <w:tblCellMar>
            <w:top w:w="0" w:type="dxa"/>
            <w:left w:w="108" w:type="dxa"/>
            <w:bottom w:w="0" w:type="dxa"/>
            <w:right w:w="108" w:type="dxa"/>
          </w:tblCellMar>
        </w:tblPrEx>
        <w:trPr>
          <w:cantSplit/>
          <w:trHeight w:val="148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533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C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57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非煤矿山外包工程安全管理暂行办法》等法律法规，依法对企业和外包施工单位进行监督检查，发现隐患和问题，依据技术规范与标准，及时责令单位进行整改，并依法依规处理。</w:t>
            </w:r>
          </w:p>
        </w:tc>
      </w:tr>
      <w:tr w14:paraId="047E2FD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FF77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56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4D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5A7FE8F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097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078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49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0AA0FD9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65FB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6B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12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工作方式：受理核查烟花爆竹经营（零售）许可证申请，核查许可证申请材料，对烟花爆竹经营（零售）许可证进行现场审查并提出意见，在法定期限内按照规定程序做出行政许可决定。</w:t>
            </w:r>
          </w:p>
        </w:tc>
      </w:tr>
      <w:tr w14:paraId="116BD0F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4E50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CC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A6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581F460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AEC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6B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8A5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按照分级监管原则，制定安全生产年度监督检查计划，按计划对粉尘涉爆企业进行安全生产监督检查，发现隐患和问题，及时责令单位进行整改。</w:t>
            </w:r>
          </w:p>
        </w:tc>
      </w:tr>
      <w:tr w14:paraId="3804B56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5798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932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50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工作方式：按照分级原则，对监管企业是否按要求进行安全生产费用计提、管理和使用进行监督检查。</w:t>
            </w:r>
          </w:p>
        </w:tc>
      </w:tr>
    </w:tbl>
    <w:p w14:paraId="3D1ECE7F">
      <w:pPr>
        <w:pStyle w:val="3"/>
        <w:spacing w:before="0" w:after="0" w:line="240" w:lineRule="auto"/>
        <w:jc w:val="center"/>
        <w:rPr>
          <w:rFonts w:ascii="Times New Roman" w:hAnsi="Times New Roman" w:eastAsia="方正小标宋_GBK" w:cs="Times New Roman"/>
          <w:color w:val="auto"/>
          <w:spacing w:val="7"/>
          <w:lang w:eastAsia="zh-CN"/>
        </w:rPr>
      </w:pPr>
    </w:p>
    <w:p w14:paraId="156C9C03">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公文黑体">
    <w:altName w:val="黑体"/>
    <w:panose1 w:val="02000500000000000000"/>
    <w:charset w:val="86"/>
    <w:family w:val="auto"/>
    <w:pitch w:val="default"/>
    <w:sig w:usb0="00000000" w:usb1="00000000"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056BB">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442BA958">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442BA958">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F4435">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A835779"/>
    <w:multiLevelType w:val="singleLevel"/>
    <w:tmpl w:val="1A835779"/>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1542384B"/>
    <w:rsid w:val="172A56D9"/>
    <w:rsid w:val="221553C9"/>
    <w:rsid w:val="73ED367E"/>
    <w:rsid w:val="78ED1F0A"/>
    <w:rsid w:val="7DD00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14848da-72bf-468b-9824-12d13fe970de}"/>
        <w:style w:val=""/>
        <w:category>
          <w:name w:val="常规"/>
          <w:gallery w:val="placeholder"/>
        </w:category>
        <w:types>
          <w:type w:val="bbPlcHdr"/>
        </w:types>
        <w:behaviors>
          <w:behavior w:val="content"/>
        </w:behaviors>
        <w:description w:val=""/>
        <w:guid w:val="{614848da-72bf-468b-9824-12d13fe970de}"/>
      </w:docPartPr>
      <w:docPartBody>
        <w:p w14:paraId="303B0BBD">
          <w:r>
            <w:rPr>
              <w:color w:val="808080"/>
            </w:rPr>
            <w:t>单击此处输入文字。</w:t>
          </w:r>
        </w:p>
      </w:docPartBody>
    </w:docPart>
    <w:docPart>
      <w:docPartPr>
        <w:name w:val="{e9570eae-4857-4938-b99d-e1945f6211de}"/>
        <w:style w:val=""/>
        <w:category>
          <w:name w:val="常规"/>
          <w:gallery w:val="placeholder"/>
        </w:category>
        <w:types>
          <w:type w:val="bbPlcHdr"/>
        </w:types>
        <w:behaviors>
          <w:behavior w:val="content"/>
        </w:behaviors>
        <w:description w:val=""/>
        <w:guid w:val="{e9570eae-4857-4938-b99d-e1945f6211de}"/>
      </w:docPartPr>
      <w:docPartBody>
        <w:p w14:paraId="0635726F">
          <w:r>
            <w:rPr>
              <w:color w:val="808080"/>
            </w:rPr>
            <w:t>单击此处输入文字。</w:t>
          </w:r>
        </w:p>
      </w:docPartBody>
    </w:docPart>
    <w:docPart>
      <w:docPartPr>
        <w:name w:val="{b760a5e6-9a6d-4ba5-ac00-e2480fb3b2a3}"/>
        <w:style w:val=""/>
        <w:category>
          <w:name w:val="常规"/>
          <w:gallery w:val="placeholder"/>
        </w:category>
        <w:types>
          <w:type w:val="bbPlcHdr"/>
        </w:types>
        <w:behaviors>
          <w:behavior w:val="content"/>
        </w:behaviors>
        <w:description w:val=""/>
        <w:guid w:val="{b760a5e6-9a6d-4ba5-ac00-e2480fb3b2a3}"/>
      </w:docPartPr>
      <w:docPartBody>
        <w:p w14:paraId="4D5FB9E5">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64</Pages>
  <Words>18460</Words>
  <Characters>18983</Characters>
  <Lines>1</Lines>
  <Paragraphs>1</Paragraphs>
  <TotalTime>65</TotalTime>
  <ScaleCrop>false</ScaleCrop>
  <LinksUpToDate>false</LinksUpToDate>
  <CharactersWithSpaces>18994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樹</cp:lastModifiedBy>
  <dcterms:modified xsi:type="dcterms:W3CDTF">2026-03-12T08:55:46Z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eyJoZGlkIjoiYzc1ZGVhNGRiMzU5N2I2YjZlOTMxYWQxNDAyMTlhNGIiLCJ1c2VySWQiOiIzNDk5MTg3NDIifQ==</vt:lpwstr>
  </property>
  <property fmtid="{D5CDD505-2E9C-101B-9397-08002B2CF9AE}" pid="3" name="KSOProductBuildVer">
    <vt:lpwstr>2052-12.1.0.25225</vt:lpwstr>
  </property>
  <property fmtid="{D5CDD505-2E9C-101B-9397-08002B2CF9AE}" pid="4" name="ICV">
    <vt:lpwstr>A928C21AF9564DF19AD1EB49F620EA2D_12</vt:lpwstr>
  </property>
</Properties>
</file>