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auto"/>
          <w:spacing w:val="0"/>
          <w:position w:val="0"/>
          <w:sz w:val="32"/>
          <w:shd w:fill="auto" w:val="clear"/>
        </w:rPr>
      </w:pPr>
      <w:r>
        <w:rPr>
          <w:rFonts w:ascii="宋体" w:hAnsi="宋体" w:cs="宋体" w:eastAsia="宋体"/>
          <w:b/>
          <w:color w:val="auto"/>
          <w:spacing w:val="0"/>
          <w:position w:val="0"/>
          <w:sz w:val="32"/>
          <w:shd w:fill="auto" w:val="clear"/>
        </w:rPr>
        <w:t xml:space="preserve">       住建局2022年1—6月息行政检查决定信公示</w:t>
      </w:r>
    </w:p>
    <w:p>
      <w:pPr>
        <w:spacing w:before="0" w:after="0" w:line="240"/>
        <w:ind w:right="0" w:left="0" w:firstLine="0"/>
        <w:jc w:val="both"/>
        <w:rPr>
          <w:rFonts w:ascii="宋体" w:hAnsi="宋体" w:cs="宋体" w:eastAsia="宋体"/>
          <w:b/>
          <w:color w:val="auto"/>
          <w:spacing w:val="0"/>
          <w:position w:val="0"/>
          <w:sz w:val="32"/>
          <w:shd w:fill="auto" w:val="clear"/>
        </w:rPr>
      </w:pPr>
    </w:p>
    <w:p>
      <w:pPr>
        <w:spacing w:before="0" w:after="0" w:line="240"/>
        <w:ind w:right="0" w:left="0" w:firstLine="0"/>
        <w:jc w:val="both"/>
        <w:rPr>
          <w:rFonts w:ascii="Calibri" w:hAnsi="Calibri" w:cs="Calibri" w:eastAsia="Calibri"/>
          <w:b/>
          <w:color w:val="auto"/>
          <w:spacing w:val="0"/>
          <w:position w:val="0"/>
          <w:sz w:val="32"/>
          <w:shd w:fill="auto" w:val="clear"/>
        </w:rPr>
      </w:pPr>
    </w:p>
    <w:tbl>
      <w:tblPr/>
      <w:tblGrid>
        <w:gridCol w:w="817"/>
        <w:gridCol w:w="2023"/>
        <w:gridCol w:w="1420"/>
        <w:gridCol w:w="1420"/>
        <w:gridCol w:w="1516"/>
        <w:gridCol w:w="1326"/>
      </w:tblGrid>
      <w:tr>
        <w:trPr>
          <w:trHeight w:val="575" w:hRule="auto"/>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序号</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被检查对象名称</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4402" w:leader="none"/>
                <w:tab w:val="left" w:pos="4544"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执法人员</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执法时间</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检查事项</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检查结果</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阳光花园物业</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556" w:leader="none"/>
              </w:tabs>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王超、董振华</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2月10日、3月15日、4月16日、5月19日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小区日常管理</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一切正常</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家和物业</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王超、董振华</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2月10日、3月15日、4月16日、5月19日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小区日常管理</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一切正常</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区内七家燃气企业</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刘丽刚、王斌</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每月25日至30日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企业安全</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一切正常</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区内公共及人员密集场所燃气安全检查</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刘丽刚、王斌</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日常</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燃气报警器、切断阀</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整改进行中</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辽宁实华（集团)房地产开发有限公司</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谭洪、张饶</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1月10日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塔吊安全</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限期整改</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辽宁本溪湖经济开发区同信建设有限公司</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谭洪、张饶</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3月25日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未办理施工许可证</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停工整改</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7</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辽宁本溪湖经济开发区同信建设有限公司</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谭洪、张饶</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4月18日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施工现场安全措施未到位</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限期整改</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8</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本钢板材废钢厂彩西特钢供料站项目</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谭洪、张饶</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4月29日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五一施工现场疫情防控</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一切正常</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9</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本溪湖经济开发区优质废钢加工配送基地标准化厂房及综合楼建设施工项目</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谭洪、张饶</w:t>
            </w: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4月29日</w:t>
            </w: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五一施工现场疫情防控</w:t>
            </w: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一切正常</w:t>
            </w:r>
          </w:p>
        </w:tc>
      </w:tr>
      <w:tr>
        <w:trPr>
          <w:trHeight w:val="1" w:hRule="atLeast"/>
          <w:jc w:val="left"/>
        </w:trPr>
        <w:tc>
          <w:tcPr>
            <w:tcW w:w="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10</w:t>
            </w:r>
          </w:p>
        </w:tc>
        <w:tc>
          <w:tcPr>
            <w:tcW w:w="2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13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bl>
    <w:p>
      <w:pPr>
        <w:spacing w:before="0" w:after="200" w:line="276"/>
        <w:ind w:right="0" w:left="0" w:firstLine="0"/>
        <w:jc w:val="left"/>
        <w:rPr>
          <w:rFonts w:ascii="宋体" w:hAnsi="宋体" w:cs="宋体" w:eastAsia="宋体"/>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